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10" w:rsidRPr="004A3CE7" w:rsidRDefault="00C31E10" w:rsidP="00C31E10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C31E10" w:rsidRPr="004A3CE7" w:rsidRDefault="00E63049" w:rsidP="00C31E10">
      <w:pPr>
        <w:jc w:val="center"/>
        <w:rPr>
          <w:rFonts w:ascii="Courier New" w:hAnsi="Courier New" w:cs="Courier New"/>
          <w:i/>
          <w:sz w:val="32"/>
          <w:szCs w:val="32"/>
          <w:lang w:val="en-US"/>
        </w:rPr>
      </w:pPr>
      <w:r w:rsidRPr="004A3CE7">
        <w:rPr>
          <w:rFonts w:ascii="Courier New" w:hAnsi="Courier New" w:cs="Courier New"/>
          <w:b/>
          <w:i/>
          <w:sz w:val="32"/>
          <w:szCs w:val="32"/>
          <w:u w:val="single"/>
          <w:lang w:val="en-US"/>
        </w:rPr>
        <w:t xml:space="preserve">Geopolitics </w:t>
      </w: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</w:rPr>
        <w:t>I.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Data on the course teachers:</w:t>
      </w:r>
    </w:p>
    <w:p w:rsidR="00C31E10" w:rsidRPr="004A3CE7" w:rsidRDefault="00C31E10" w:rsidP="00C31E1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4008"/>
      </w:tblGrid>
      <w:tr w:rsidR="00C31E10" w:rsidRPr="004A3CE7" w:rsidTr="002F1450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Name and surname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C31E10" w:rsidRPr="004A3CE7" w:rsidRDefault="00D84833" w:rsidP="00C31E10">
            <w:pPr>
              <w:ind w:left="36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Irena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Rajcinovska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Pandeva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Teaching and Academic Designations and Titles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D84833" w:rsidRPr="004A3CE7" w:rsidRDefault="00D84833" w:rsidP="00D8483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Docent/ Assistant Professor,</w:t>
            </w:r>
          </w:p>
          <w:p w:rsidR="00C31E10" w:rsidRPr="004A3CE7" w:rsidRDefault="00D84833" w:rsidP="00D84833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Master in Political Science (International Politics), Doctorate in Political Science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</w:p>
        </w:tc>
      </w:tr>
    </w:tbl>
    <w:p w:rsidR="00C31E10" w:rsidRPr="004A3CE7" w:rsidRDefault="00C31E10" w:rsidP="00C31E10">
      <w:pPr>
        <w:rPr>
          <w:rFonts w:ascii="Courier New" w:hAnsi="Courier New" w:cs="Courier New"/>
          <w:color w:val="FF0000"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0" w:color="auto"/>
        </w:pBdr>
        <w:outlineLvl w:val="1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II.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Data on the teaching assistants and other lecturers:</w:t>
      </w:r>
    </w:p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8"/>
        <w:gridCol w:w="4008"/>
      </w:tblGrid>
      <w:tr w:rsidR="00C31E10" w:rsidRPr="004A3CE7" w:rsidTr="002F1450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Name and surname of the teaching assistant/s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C31E10" w:rsidRPr="004A3CE7" w:rsidRDefault="00C31E10" w:rsidP="002F1450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C31E10" w:rsidRPr="004A3CE7" w:rsidRDefault="00C31E10" w:rsidP="00C31E1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Teaching and Academic Designations and titles:</w:t>
            </w:r>
          </w:p>
          <w:p w:rsidR="00C31E10" w:rsidRPr="004A3CE7" w:rsidRDefault="00C31E10" w:rsidP="002F145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1E10" w:rsidRPr="004A3CE7" w:rsidTr="002F1450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6D76E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Other lectures and experts from the practice: </w:t>
            </w:r>
          </w:p>
        </w:tc>
      </w:tr>
    </w:tbl>
    <w:p w:rsidR="00C31E10" w:rsidRPr="004A3CE7" w:rsidRDefault="00C31E10" w:rsidP="00C31E10">
      <w:pPr>
        <w:keepNext/>
        <w:pBdr>
          <w:bottom w:val="single" w:sz="12" w:space="1" w:color="auto"/>
        </w:pBdr>
        <w:outlineLvl w:val="1"/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III.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Basic information about the course </w:t>
      </w:r>
      <w:proofErr w:type="spellStart"/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programme</w:t>
      </w:r>
      <w:proofErr w:type="spellEnd"/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and materials:</w:t>
      </w:r>
    </w:p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6"/>
        <w:gridCol w:w="4710"/>
      </w:tblGrid>
      <w:tr w:rsidR="00C31E10" w:rsidRPr="004A3CE7" w:rsidTr="002F1450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6D76E3" w:rsidP="002F145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Course title:</w:t>
            </w:r>
          </w:p>
        </w:tc>
      </w:tr>
      <w:tr w:rsidR="00C31E10" w:rsidRPr="004A3CE7" w:rsidTr="002F145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Course Code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31E10" w:rsidRPr="004A3CE7" w:rsidRDefault="00C31E10" w:rsidP="002F145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Number of credits earned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: 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31E10" w:rsidRPr="004A3CE7" w:rsidTr="002F145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Number of course classes/hours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: 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C31E10" w:rsidRPr="004A3CE7" w:rsidRDefault="00C31E10" w:rsidP="002F1450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Number of pages of obligatory course materials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: </w:t>
            </w:r>
          </w:p>
          <w:p w:rsidR="00C31E10" w:rsidRPr="004A3CE7" w:rsidRDefault="00C31E10" w:rsidP="002F1450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C31E10" w:rsidRPr="004A3CE7" w:rsidTr="002F1450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Year of Study</w:t>
            </w:r>
            <w:r w:rsidRPr="004A3CE7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:</w:t>
            </w:r>
          </w:p>
          <w:p w:rsidR="00C31E10" w:rsidRPr="004A3CE7" w:rsidRDefault="00C31E10" w:rsidP="002F1450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  <w:lang w:val="en-US"/>
              </w:rPr>
              <w:t>Semester of Study</w:t>
            </w:r>
            <w:r w:rsidRPr="004A3CE7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</w:tbl>
    <w:p w:rsidR="00C31E10" w:rsidRPr="004A3CE7" w:rsidRDefault="00C31E10" w:rsidP="00C31E10">
      <w:pPr>
        <w:keepNext/>
        <w:jc w:val="both"/>
        <w:outlineLvl w:val="1"/>
        <w:rPr>
          <w:rFonts w:ascii="Courier New" w:hAnsi="Courier New" w:cs="Courier New"/>
          <w:b/>
          <w:bCs/>
          <w:sz w:val="20"/>
          <w:szCs w:val="20"/>
          <w:lang w:val="ru-RU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IV</w:t>
      </w: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Course description and key words and terms:</w:t>
      </w:r>
    </w:p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Course description</w:t>
            </w:r>
            <w:r w:rsidRPr="004A3CE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7A6C58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bCs/>
                <w:sz w:val="20"/>
                <w:szCs w:val="20"/>
                <w:highlight w:val="lightGray"/>
                <w:lang w:val="en-US"/>
              </w:rPr>
              <w:t>Course materials key words and terms</w:t>
            </w:r>
            <w:r w:rsidRPr="004A3CE7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2A3D65" w:rsidP="006D76E3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Style w:val="apple-style-span"/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 xml:space="preserve">Geopolitics, Political Geography, Boundaries, Power, War, Peace, Territorial State, Nation-State, Spheres, Polarized World, Global culture, Globalization, Contemporary Perspectives and Global Politics.    </w:t>
            </w:r>
          </w:p>
        </w:tc>
      </w:tr>
    </w:tbl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V</w:t>
      </w: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Course goals and results:</w:t>
      </w:r>
    </w:p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Course goals and results: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A8591B" w:rsidP="004A3CE7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>The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 course 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goal is to 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>examine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and explore 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the 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geography and 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>history of political, tactical and strategic developments and concepts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of global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 geopolitical 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>events and matters in historical and modern terms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The course gives an introduction to basic geopolitical concepts and perspectives, and applies them to  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specific 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>case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4A3CE7"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>Furthermore, it offers a</w:t>
            </w:r>
            <w:r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c</w:t>
            </w:r>
            <w:r w:rsidRPr="004A3CE7">
              <w:rPr>
                <w:rFonts w:ascii="Courier New" w:hAnsi="Courier New" w:cs="Courier New"/>
                <w:sz w:val="22"/>
                <w:szCs w:val="22"/>
              </w:rPr>
              <w:t xml:space="preserve">omparative analysis of these concepts </w:t>
            </w:r>
            <w:r w:rsidR="004A3CE7" w:rsidRPr="004A3CE7">
              <w:rPr>
                <w:rFonts w:ascii="Courier New" w:hAnsi="Courier New" w:cs="Courier New"/>
                <w:sz w:val="22"/>
                <w:szCs w:val="22"/>
                <w:lang w:val="en-US"/>
              </w:rPr>
              <w:t>and its implications in practice.</w:t>
            </w:r>
          </w:p>
          <w:p w:rsidR="004A3CE7" w:rsidRPr="004A3CE7" w:rsidRDefault="004A3CE7" w:rsidP="004A3CE7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After completing the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course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>successfully, the students should have the following competences: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>a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n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understanding of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geopolitical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concepts and perspectives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an ability to use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key concepts related to geopolitics for the analysis of political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, tactical and strategic developments, events and matters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 and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an ability to formulate critical questions and problems in the geopolitical analysis of 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specific cases</w:t>
            </w:r>
            <w:r w:rsidRPr="004A3CE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VI</w:t>
      </w: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Teaching methodology:</w:t>
      </w:r>
    </w:p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VII</w:t>
      </w: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Detail structure of the course syllabus:</w:t>
      </w:r>
    </w:p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  <w:lang w:val="ru-RU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2"/>
        <w:gridCol w:w="4342"/>
      </w:tblGrid>
      <w:tr w:rsidR="00C31E10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</w:t>
            </w:r>
            <w:r w:rsidR="006D76E3"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D84833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6D76E3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D84833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</w:t>
            </w:r>
            <w:r w:rsidRPr="004A3CE7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1.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Why geopolitics?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(1-15)</w:t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2. Inescapable Geography 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(161-178)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53D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2F53D2" w:rsidRPr="004A3CE7" w:rsidRDefault="002F53D2" w:rsidP="00006049">
            <w:pPr>
              <w:tabs>
                <w:tab w:val="center" w:pos="4320"/>
                <w:tab w:val="right" w:pos="864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Ed. Colin S. Gray and Geoffrey Sloan, “Geopolitics”, Frank Class, London, 1999 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b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 description of the 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no. 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6D76E3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Sir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Halford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Mackinder: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The Heartland and theory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Then and Now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(15-39)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</w:t>
            </w:r>
            <w:r w:rsidRPr="004A3CE7">
              <w:rPr>
                <w:rFonts w:ascii="Courier New" w:hAnsi="Courier New" w:cs="Courier New"/>
                <w:b/>
                <w:i/>
                <w:sz w:val="20"/>
                <w:szCs w:val="20"/>
                <w:lang w:val="en-US"/>
              </w:rPr>
              <w:t xml:space="preserve">tory 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materials</w:t>
            </w:r>
            <w:r w:rsidRPr="004A3CE7">
              <w:rPr>
                <w:rFonts w:ascii="Courier New" w:hAnsi="Courier New" w:cs="Courier New"/>
                <w:b/>
                <w:i/>
                <w:sz w:val="20"/>
                <w:szCs w:val="20"/>
              </w:rPr>
              <w:t>:</w:t>
            </w:r>
          </w:p>
          <w:p w:rsidR="002F53D2" w:rsidRPr="004A3CE7" w:rsidRDefault="002F53D2" w:rsidP="006D76E3">
            <w:pPr>
              <w:spacing w:line="161" w:lineRule="atLeas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Ed. Colin S. Gray and Geoffrey Sloan, “Geopolitics”, Frank Class, London, 1999  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7A6C58">
            <w:pPr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53D2">
            <w:pP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Study unit: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1. Understanding critical Geopolitics: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Geopolitics and Risk Security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(107-125),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2. Geopolitics: International boundaries as fighting places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(125-137)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53D2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Ed. Colin S. Gray and Geoffrey Sloan, “Geopolitics”, Frank Class, London, 1999  </w:t>
            </w:r>
          </w:p>
        </w:tc>
      </w:tr>
      <w:tr w:rsidR="002F53D2" w:rsidRPr="004A3CE7" w:rsidTr="00E63049">
        <w:trPr>
          <w:trHeight w:val="287"/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 description of the 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no. 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53D2">
            <w:pPr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Information power:</w:t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Strategy, Geopolitics and the Fifth Dimension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(137-161)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9C5782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Ed. Colin S. Gray and Geoffrey Sloan, “Geopolitics”, Frank Class, London, 1999  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 Description of the 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9C5782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Some thoughts on war and geography</w:t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(201-218)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2F53D2" w:rsidRPr="004A3CE7" w:rsidRDefault="009C5782" w:rsidP="009C5782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Ed. Colin S. Gray and Geoffrey Sloan, “Geopolitics”, Frank Class, London, 1999  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Detail description of the study </w:t>
            </w:r>
            <w:proofErr w:type="gramStart"/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proofErr w:type="gram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</w:t>
            </w:r>
          </w:p>
        </w:tc>
      </w:tr>
      <w:tr w:rsidR="002F53D2" w:rsidRPr="004A3CE7" w:rsidTr="002F1450">
        <w:trPr>
          <w:trHeight w:val="24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no.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9C578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Study unit: </w:t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9C5782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proofErr w:type="spellStart"/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t>Geopolitik</w:t>
            </w:r>
            <w:proofErr w:type="spellEnd"/>
            <w:r w:rsidR="009C5782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: Haushofer, Hitler and Lebensraum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(218-242)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lastRenderedPageBreak/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2F53D2" w:rsidRPr="004A3CE7" w:rsidRDefault="009C5782" w:rsidP="009C5782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lastRenderedPageBreak/>
              <w:br/>
              <w:t xml:space="preserve">Ed. Colin S. Gray and Geoffrey Sloan, “Geopolitics”, Frank Class, London, 1999  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pStyle w:val="TOC3"/>
              <w:tabs>
                <w:tab w:val="right" w:leader="dot" w:pos="7361"/>
              </w:tabs>
              <w:ind w:left="0"/>
              <w:jc w:val="both"/>
              <w:rPr>
                <w:rFonts w:ascii="Courier New" w:hAnsi="Courier New" w:cs="Courier New"/>
              </w:rPr>
            </w:pPr>
            <w:r w:rsidRPr="004A3CE7">
              <w:rPr>
                <w:rFonts w:ascii="Courier New" w:hAnsi="Courier New" w:cs="Courier New"/>
                <w:b/>
              </w:rPr>
              <w:lastRenderedPageBreak/>
              <w:t xml:space="preserve">Detail description of the study unit: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257EE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A04D78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Study unit: </w:t>
            </w:r>
            <w:r w:rsidR="00A04D78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A04D78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A04D78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Peace and the rise of </w:t>
            </w:r>
            <w:proofErr w:type="spellStart"/>
            <w:r w:rsidR="00A04D78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geopolitique</w:t>
            </w:r>
            <w:proofErr w:type="spellEnd"/>
            <w:r w:rsidR="00A04D78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(46-58)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A04D78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="00A04D78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A04D78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A04D78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Geoffrey Parker, “Geopolitics: Past, Present and Future, Pinter, London, 1998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Detailed description of the study unit</w:t>
            </w:r>
          </w:p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lang w:val="ru-RU"/>
              </w:rPr>
            </w:pP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no.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257EE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4D78" w:rsidRPr="004A3CE7" w:rsidRDefault="00A04D78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Study unit: </w:t>
            </w:r>
          </w:p>
          <w:p w:rsidR="002F53D2" w:rsidRPr="004A3CE7" w:rsidRDefault="00A04D78" w:rsidP="00745C04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The territorial state and global politics 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(35-85)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2F53D2" w:rsidRPr="004A3CE7" w:rsidRDefault="00A04D78" w:rsidP="00A04D78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D. Held &amp; A. McGrew, D.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Goldblatt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Perraton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, “Global Transformations”, Polity, Cambridge, 1999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Detailed description of the study unit: </w:t>
            </w:r>
          </w:p>
        </w:tc>
      </w:tr>
      <w:tr w:rsidR="002F53D2" w:rsidRPr="004A3CE7" w:rsidTr="002F1450">
        <w:trPr>
          <w:trHeight w:val="287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no.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257EE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A04D78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A04D78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A04D78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1.Mighty opposites: The Bipolar World</w:t>
            </w:r>
            <w:r w:rsidR="00A04D78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96-119)</w:t>
            </w:r>
            <w:r w:rsidR="00A04D78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2. Great spheres: The Multipolar World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(119-140)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2A3D65" w:rsidRPr="004A3CE7" w:rsidRDefault="00AC7091" w:rsidP="002A3D65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Geoffrey Parker, “Geopolitics: Past, Present and Future, Pinter, London, 1998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Further study materials: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proofErr w:type="spellStart"/>
            <w:r w:rsidR="002A3D65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Rajcinovska</w:t>
            </w:r>
            <w:proofErr w:type="spellEnd"/>
            <w:r w:rsidR="002A3D65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Pandeva Irena,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“</w:t>
            </w:r>
            <w:r w:rsidR="002A3D65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The Soviet-Middle East Nexus:</w:t>
            </w:r>
          </w:p>
          <w:p w:rsidR="002F53D2" w:rsidRPr="004A3CE7" w:rsidRDefault="002A3D65" w:rsidP="002A3D65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Foreign Policy Of The Soviet Union Towards The Middle” // 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online available here: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4A3CE7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http://law-review.mk/pdf/10/Irena%20Rajchinovska%20Pandeva.pdf</w:t>
              </w:r>
            </w:hyperlink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,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Rajcinovska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Pandeva Irena, “RESURGENT TURKEY: THE TURKISH MODEL AND THE ARAB SPRING” // online available here: </w:t>
            </w:r>
            <w:hyperlink r:id="rId6" w:history="1">
              <w:r w:rsidRPr="004A3CE7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http://law-review.mk/pdf/07/Irena%20Rajchinovska%20Pandeva.pdf</w:t>
              </w:r>
            </w:hyperlink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Detailed description of the study unit</w:t>
            </w:r>
            <w:proofErr w:type="gramStart"/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proofErr w:type="gram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257EE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AC709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proofErr w:type="spellStart"/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Geoculture</w:t>
            </w:r>
            <w:proofErr w:type="spellEnd"/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: The underside of Geopolitics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(139-184)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166E89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</w:p>
          <w:p w:rsidR="002F53D2" w:rsidRPr="004A3CE7" w:rsidRDefault="00AC7091" w:rsidP="00AC709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Wallerstein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Immanuel, “Geopolitics and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Geoculture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”, Cambridge University Press, Cambridge, 1991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Detailed description of the 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2F53D2" w:rsidRPr="004A3CE7" w:rsidTr="002F1450">
        <w:trPr>
          <w:trHeight w:val="242"/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 no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. </w:t>
            </w:r>
            <w:r w:rsidR="00A257EE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AC7091">
            <w:pPr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AC7091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AC7091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proofErr w:type="spellStart"/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Globlization</w:t>
            </w:r>
            <w:proofErr w:type="spellEnd"/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, Culture and Fate of Nations</w:t>
            </w:r>
            <w:r w:rsidR="00AC7091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(327-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342, 369-74)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745C04" w:rsidP="00745C04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D. Held &amp; A. McGrew, D.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Goldblatt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Perraton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, “Global Transformations”, Polity, Cambridge, 1999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3D2" w:rsidRPr="004A3CE7" w:rsidRDefault="00745C04" w:rsidP="00940417">
            <w:pPr>
              <w:jc w:val="both"/>
              <w:rPr>
                <w:rFonts w:ascii="Courier New" w:hAnsi="Courier New" w:cs="Courier New"/>
                <w:b/>
                <w:lang w:val="ru-RU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Detailed description of the 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Course week no.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A257EE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Number of course hours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F53D2" w:rsidRPr="004A3CE7" w:rsidTr="002F1450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745C04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lastRenderedPageBreak/>
              <w:t>Study unit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Shape of contemporary Globalization</w:t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="00745C04"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(424-444)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745C04" w:rsidP="00745C04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>: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D. Held &amp; A. McGrew, D.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Goldblatt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Perraton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, “Global Transformations”, Polity, Cambridge, 1999</w:t>
            </w:r>
          </w:p>
        </w:tc>
      </w:tr>
      <w:tr w:rsidR="002F53D2" w:rsidRPr="004A3CE7" w:rsidTr="002F1450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F53D2" w:rsidRPr="004A3CE7" w:rsidRDefault="002F53D2" w:rsidP="006D76E3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Detailed description of the study </w:t>
            </w:r>
            <w:proofErr w:type="gramStart"/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unit: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proofErr w:type="gram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31E10" w:rsidRPr="004A3CE7" w:rsidRDefault="00C31E10" w:rsidP="00C31E10">
      <w:pPr>
        <w:jc w:val="both"/>
        <w:rPr>
          <w:rFonts w:ascii="Courier New" w:hAnsi="Courier New" w:cs="Courier New"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</w:rPr>
      </w:pP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VIII</w:t>
      </w: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Activities involving other institutions</w:t>
      </w:r>
    </w:p>
    <w:p w:rsidR="00C31E10" w:rsidRPr="004A3CE7" w:rsidRDefault="00C31E10" w:rsidP="00C31E1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Study visits to outside institutions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tabs>
                <w:tab w:val="center" w:pos="4320"/>
                <w:tab w:val="right" w:pos="864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C31E10" w:rsidRPr="004A3CE7" w:rsidRDefault="00C31E10" w:rsidP="002F1450">
            <w:pPr>
              <w:tabs>
                <w:tab w:val="center" w:pos="4320"/>
                <w:tab w:val="right" w:pos="864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N/A</w:t>
            </w:r>
          </w:p>
        </w:tc>
      </w:tr>
    </w:tbl>
    <w:p w:rsidR="00C31E10" w:rsidRPr="004A3CE7" w:rsidRDefault="00C31E10" w:rsidP="00C31E10">
      <w:pPr>
        <w:jc w:val="both"/>
        <w:rPr>
          <w:rFonts w:ascii="Courier New" w:hAnsi="Courier New" w:cs="Courier New"/>
          <w:sz w:val="20"/>
          <w:szCs w:val="20"/>
        </w:rPr>
      </w:pPr>
    </w:p>
    <w:p w:rsidR="00C31E10" w:rsidRPr="004A3CE7" w:rsidRDefault="00C31E10" w:rsidP="00C31E10">
      <w:pPr>
        <w:keepNext/>
        <w:pBdr>
          <w:bottom w:val="single" w:sz="12" w:space="1" w:color="auto"/>
        </w:pBdr>
        <w:jc w:val="both"/>
        <w:outlineLvl w:val="1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4A3CE7">
        <w:rPr>
          <w:rFonts w:ascii="Courier New" w:hAnsi="Courier New" w:cs="Courier New"/>
          <w:b/>
          <w:bCs/>
          <w:sz w:val="20"/>
          <w:szCs w:val="20"/>
        </w:rPr>
        <w:t>I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X</w:t>
      </w:r>
      <w:r w:rsidRPr="004A3CE7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Pr="004A3CE7">
        <w:rPr>
          <w:rFonts w:ascii="Courier New" w:hAnsi="Courier New" w:cs="Courier New"/>
          <w:b/>
          <w:bCs/>
          <w:sz w:val="20"/>
          <w:szCs w:val="20"/>
          <w:lang w:val="en-US"/>
        </w:rPr>
        <w:t>Course materials and literature</w:t>
      </w:r>
    </w:p>
    <w:p w:rsidR="00C31E10" w:rsidRPr="004A3CE7" w:rsidRDefault="00C31E10" w:rsidP="00C31E1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4"/>
      </w:tblGrid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1E10" w:rsidRPr="004A3CE7" w:rsidRDefault="00C31E10" w:rsidP="002F1450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Obligatory course materials</w:t>
            </w:r>
            <w:r w:rsidRPr="004A3CE7">
              <w:rPr>
                <w:rFonts w:ascii="Courier New" w:hAnsi="Courier New" w:cs="Courier New"/>
                <w:b/>
                <w:sz w:val="20"/>
                <w:szCs w:val="20"/>
              </w:rPr>
              <w:t xml:space="preserve">: 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D84833" w:rsidP="00D84833">
            <w:pPr>
              <w:tabs>
                <w:tab w:val="center" w:pos="4320"/>
                <w:tab w:val="right" w:pos="864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- </w:t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Ed. Colin S. Gray and Geoffrey Sloan, “Geopolitics”, Frank Class, London, 1999  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- D. Held &amp; A. McGrew, D. </w:t>
            </w:r>
            <w:proofErr w:type="spellStart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Goldblatt</w:t>
            </w:r>
            <w:proofErr w:type="spellEnd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Perraton</w:t>
            </w:r>
            <w:proofErr w:type="spellEnd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, “Global Transformations”, Polity, Cambridge, 1999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Wallerstein</w:t>
            </w:r>
            <w:proofErr w:type="spellEnd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Immanuel, “Geopolitics and </w:t>
            </w:r>
            <w:proofErr w:type="spellStart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Geoculture</w:t>
            </w:r>
            <w:proofErr w:type="spellEnd"/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”, Cambridge University Press, Cambridge, 1991 </w:t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="00745C04"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>- Geoffrey Parker, “Geopolitics: Past, Present and Future, Pinter, London, 1998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E10" w:rsidRPr="004A3CE7" w:rsidRDefault="00C31E10" w:rsidP="002F1450">
            <w:pPr>
              <w:tabs>
                <w:tab w:val="center" w:pos="4320"/>
                <w:tab w:val="right" w:pos="8640"/>
              </w:tabs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Further study material:</w:t>
            </w:r>
          </w:p>
        </w:tc>
      </w:tr>
      <w:tr w:rsidR="00C31E10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65" w:rsidRPr="004A3CE7" w:rsidRDefault="002A3D65" w:rsidP="002A3D65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       -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Rajcinovska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Pandeva Irena, “The Soviet-Middle East Nexus:</w:t>
            </w:r>
          </w:p>
          <w:p w:rsidR="00924CC0" w:rsidRPr="004A3CE7" w:rsidRDefault="002A3D65" w:rsidP="002A3D65">
            <w:pPr>
              <w:pStyle w:val="ListParagraph"/>
              <w:tabs>
                <w:tab w:val="center" w:pos="4320"/>
                <w:tab w:val="right" w:pos="8640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Foreign Policy Of The Soviet Union Towards The Middle” // online available here: </w:t>
            </w:r>
            <w:hyperlink r:id="rId7" w:history="1">
              <w:r w:rsidRPr="004A3CE7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http://law-review.mk/pdf/10/Irena%20Rajchinovska%20Pandeva.pdf</w:t>
              </w:r>
            </w:hyperlink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</w:r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br/>
              <w:t xml:space="preserve">- </w:t>
            </w:r>
            <w:proofErr w:type="spellStart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>Rajcinovska</w:t>
            </w:r>
            <w:proofErr w:type="spellEnd"/>
            <w:r w:rsidRPr="004A3CE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Pandeva Irena, “RESURGENT TURKEY: THE TURKISH MODEL AND THE ARAB SPRING” // online available here: </w:t>
            </w:r>
            <w:hyperlink r:id="rId8" w:history="1">
              <w:r w:rsidRPr="004A3CE7">
                <w:rPr>
                  <w:rStyle w:val="Hyperlink"/>
                  <w:rFonts w:ascii="Courier New" w:hAnsi="Courier New" w:cs="Courier New"/>
                  <w:sz w:val="20"/>
                  <w:szCs w:val="20"/>
                  <w:lang w:val="en-US"/>
                </w:rPr>
                <w:t>http://law-review.mk/pdf/07/Irena%20Rajchinovska%20Pandeva.pdf</w:t>
              </w:r>
            </w:hyperlink>
          </w:p>
        </w:tc>
      </w:tr>
      <w:tr w:rsidR="00677BEF" w:rsidRPr="004A3CE7" w:rsidTr="002F1450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EF" w:rsidRPr="004A3CE7" w:rsidRDefault="00677BEF" w:rsidP="002F1450">
            <w:pPr>
              <w:tabs>
                <w:tab w:val="center" w:pos="4320"/>
                <w:tab w:val="right" w:pos="8640"/>
              </w:tabs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</w:tbl>
    <w:p w:rsidR="00C31E10" w:rsidRPr="004A3CE7" w:rsidRDefault="00C31E10" w:rsidP="00C31E10">
      <w:pPr>
        <w:rPr>
          <w:rFonts w:ascii="Courier New" w:hAnsi="Courier New" w:cs="Courier New"/>
          <w:sz w:val="20"/>
          <w:szCs w:val="20"/>
        </w:rPr>
      </w:pPr>
    </w:p>
    <w:sectPr w:rsidR="00C31E10" w:rsidRPr="004A3CE7" w:rsidSect="004F5F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73622"/>
    <w:multiLevelType w:val="hybridMultilevel"/>
    <w:tmpl w:val="31EECA5C"/>
    <w:lvl w:ilvl="0" w:tplc="68666A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325C98"/>
    <w:multiLevelType w:val="hybridMultilevel"/>
    <w:tmpl w:val="8D9E7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26FA2"/>
    <w:multiLevelType w:val="hybridMultilevel"/>
    <w:tmpl w:val="60004344"/>
    <w:lvl w:ilvl="0" w:tplc="0F22D008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8F943E6"/>
    <w:multiLevelType w:val="hybridMultilevel"/>
    <w:tmpl w:val="0B308596"/>
    <w:lvl w:ilvl="0" w:tplc="EDB4B39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10"/>
    <w:rsid w:val="00074E61"/>
    <w:rsid w:val="000B3C36"/>
    <w:rsid w:val="00153B7D"/>
    <w:rsid w:val="00166E89"/>
    <w:rsid w:val="002A3D65"/>
    <w:rsid w:val="002E21A4"/>
    <w:rsid w:val="002F53D2"/>
    <w:rsid w:val="00431561"/>
    <w:rsid w:val="00475E6E"/>
    <w:rsid w:val="004A3CE7"/>
    <w:rsid w:val="004F5F4D"/>
    <w:rsid w:val="00501DF1"/>
    <w:rsid w:val="00677BEF"/>
    <w:rsid w:val="006C7EBC"/>
    <w:rsid w:val="006D76E3"/>
    <w:rsid w:val="006E30E1"/>
    <w:rsid w:val="00725935"/>
    <w:rsid w:val="00745C04"/>
    <w:rsid w:val="007A6C58"/>
    <w:rsid w:val="00830996"/>
    <w:rsid w:val="00924CC0"/>
    <w:rsid w:val="00940417"/>
    <w:rsid w:val="00965B41"/>
    <w:rsid w:val="009C5782"/>
    <w:rsid w:val="00A04D78"/>
    <w:rsid w:val="00A257EE"/>
    <w:rsid w:val="00A8591B"/>
    <w:rsid w:val="00AC7091"/>
    <w:rsid w:val="00C037B2"/>
    <w:rsid w:val="00C31E10"/>
    <w:rsid w:val="00C505AC"/>
    <w:rsid w:val="00D84833"/>
    <w:rsid w:val="00E63049"/>
    <w:rsid w:val="00E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C62D"/>
  <w15:docId w15:val="{3EA7444C-1DE9-4E5C-B696-9215064D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31E10"/>
  </w:style>
  <w:style w:type="character" w:styleId="Strong">
    <w:name w:val="Strong"/>
    <w:qFormat/>
    <w:rsid w:val="00C31E10"/>
    <w:rPr>
      <w:b/>
      <w:bCs/>
    </w:rPr>
  </w:style>
  <w:style w:type="paragraph" w:styleId="TOC3">
    <w:name w:val="toc 3"/>
    <w:basedOn w:val="Normal"/>
    <w:next w:val="Normal"/>
    <w:autoRedefine/>
    <w:semiHidden/>
    <w:rsid w:val="00C31E10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166E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-review.mk/pdf/07/Irena%20Rajchinovska%20Pande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-review.mk/pdf/10/Irena%20Rajchinovska%20Pandev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-review.mk/pdf/07/Irena%20Rajchinovska%20Pandeva.pdf" TargetMode="External"/><Relationship Id="rId5" Type="http://schemas.openxmlformats.org/officeDocument/2006/relationships/hyperlink" Target="http://law-review.mk/pdf/10/Irena%20Rajchinovska%20Pandev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borce</dc:creator>
  <cp:lastModifiedBy>irena pandeva</cp:lastModifiedBy>
  <cp:revision>2</cp:revision>
  <dcterms:created xsi:type="dcterms:W3CDTF">2017-05-09T11:48:00Z</dcterms:created>
  <dcterms:modified xsi:type="dcterms:W3CDTF">2017-05-09T11:48:00Z</dcterms:modified>
</cp:coreProperties>
</file>