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AAD8" w14:textId="77777777" w:rsidR="00BA7119" w:rsidRDefault="00BA7119" w:rsidP="005D4750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03A0A7" w14:textId="77777777" w:rsidR="00BA7119" w:rsidRDefault="00BA7119" w:rsidP="005D4750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593FD3" w14:textId="20F945A6" w:rsidR="00BA7119" w:rsidRPr="00BA7119" w:rsidRDefault="005604A8" w:rsidP="005D4750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7119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 FOR APPLICATIONS</w:t>
      </w:r>
    </w:p>
    <w:p w14:paraId="042373D8" w14:textId="77777777" w:rsidR="00C07015" w:rsidRPr="00BA7119" w:rsidRDefault="00CA19E7" w:rsidP="00BA7119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7119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94FF7" w:rsidRPr="00BA7119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</w:t>
      </w:r>
      <w:r w:rsidR="00F94FF7" w:rsidRPr="00BA7119">
        <w:rPr>
          <w:rFonts w:ascii="Times New Roman" w:hAnsi="Times New Roman" w:cs="Times New Roman"/>
          <w:b/>
          <w:bCs/>
          <w:noProof/>
          <w:sz w:val="32"/>
          <w:szCs w:val="3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A7119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ADR</w:t>
      </w:r>
    </w:p>
    <w:p w14:paraId="7E050494" w14:textId="5F1FC8FC" w:rsidR="00F94FF7" w:rsidRPr="00BA7119" w:rsidRDefault="00CB16C7" w:rsidP="00C07015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844">
        <w:rPr>
          <w:rFonts w:ascii="Times New Roman" w:hAnsi="Times New Roman" w:cs="Times New Roman"/>
          <w:b/>
          <w:bCs/>
          <w:noProof/>
          <w:sz w:val="32"/>
          <w:szCs w:val="32"/>
        </w:rPr>
        <w:t>Specialized</w:t>
      </w:r>
      <w:r w:rsidR="00F94FF7" w:rsidRPr="0075484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Training Programme for Professional Development in ADR </w:t>
      </w:r>
    </w:p>
    <w:p w14:paraId="218D995A" w14:textId="5CCEDECD" w:rsidR="00F94FF7" w:rsidRPr="00BA7119" w:rsidRDefault="00F94FF7" w:rsidP="00F94FF7">
      <w:pPr>
        <w:pStyle w:val="whitespace-pre-wrap"/>
        <w:jc w:val="both"/>
        <w:rPr>
          <w:sz w:val="22"/>
          <w:szCs w:val="22"/>
          <w:lang w:val="mk-MK"/>
        </w:rPr>
      </w:pPr>
      <w:r w:rsidRPr="00BA7119">
        <w:rPr>
          <w:sz w:val="22"/>
          <w:szCs w:val="22"/>
        </w:rPr>
        <w:t xml:space="preserve">The Faculty of Law "Iustinianus Primus" - Skopje, in cooperation with the Europa Institute at Saarland University, Saarbrücken, Germany, </w:t>
      </w:r>
      <w:r w:rsidR="00CA19E7" w:rsidRPr="00BA7119">
        <w:rPr>
          <w:sz w:val="22"/>
          <w:szCs w:val="22"/>
        </w:rPr>
        <w:t xml:space="preserve">is pleased to announce the offering of a specialized </w:t>
      </w:r>
      <w:r w:rsidRPr="00BA7119">
        <w:rPr>
          <w:sz w:val="22"/>
          <w:szCs w:val="22"/>
        </w:rPr>
        <w:t xml:space="preserve">training </w:t>
      </w:r>
      <w:proofErr w:type="spellStart"/>
      <w:r w:rsidRPr="00BA7119">
        <w:rPr>
          <w:sz w:val="22"/>
          <w:szCs w:val="22"/>
        </w:rPr>
        <w:t>programmme</w:t>
      </w:r>
      <w:proofErr w:type="spellEnd"/>
      <w:r w:rsidRPr="00BA7119">
        <w:rPr>
          <w:sz w:val="22"/>
          <w:szCs w:val="22"/>
        </w:rPr>
        <w:t xml:space="preserve"> for professional development in the field of Alternative Dispute Resolution (ADR)</w:t>
      </w:r>
      <w:r w:rsidR="00CA19E7" w:rsidRPr="00BA7119">
        <w:rPr>
          <w:sz w:val="22"/>
          <w:szCs w:val="22"/>
        </w:rPr>
        <w:t xml:space="preserve"> launching in early 2025</w:t>
      </w:r>
      <w:r w:rsidR="00580C3C" w:rsidRPr="00BA7119">
        <w:rPr>
          <w:sz w:val="22"/>
          <w:szCs w:val="22"/>
        </w:rPr>
        <w:t xml:space="preserve">, designed within the project </w:t>
      </w:r>
      <w:r w:rsidR="00580C3C" w:rsidRPr="00BA7119">
        <w:rPr>
          <w:sz w:val="22"/>
          <w:szCs w:val="22"/>
          <w:lang w:val="mk-MK"/>
        </w:rPr>
        <w:t>„</w:t>
      </w:r>
      <w:r w:rsidR="00580C3C" w:rsidRPr="00BA7119">
        <w:rPr>
          <w:sz w:val="22"/>
          <w:szCs w:val="22"/>
        </w:rPr>
        <w:t>Promoting Mechanism for Alternative Dispute Resolution and Mediation in North Macedonia: Invest in ADR</w:t>
      </w:r>
      <w:r w:rsidR="00580C3C" w:rsidRPr="00BA7119">
        <w:rPr>
          <w:sz w:val="22"/>
          <w:szCs w:val="22"/>
          <w:lang w:val="mk-MK"/>
        </w:rPr>
        <w:t>“</w:t>
      </w:r>
      <w:r w:rsidR="00C07015" w:rsidRPr="00BA7119">
        <w:rPr>
          <w:sz w:val="22"/>
          <w:szCs w:val="22"/>
        </w:rPr>
        <w:t xml:space="preserve"> funded by the German Federal Ministry of Education and Research</w:t>
      </w:r>
      <w:r w:rsidR="00580C3C" w:rsidRPr="00BA7119">
        <w:rPr>
          <w:sz w:val="22"/>
          <w:szCs w:val="22"/>
          <w:lang w:val="mk-MK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C07015" w:rsidRPr="00BA7119" w14:paraId="42A07A3F" w14:textId="77777777" w:rsidTr="00754844">
        <w:tc>
          <w:tcPr>
            <w:tcW w:w="2263" w:type="dxa"/>
            <w:shd w:val="clear" w:color="auto" w:fill="auto"/>
          </w:tcPr>
          <w:p w14:paraId="37CD92DB" w14:textId="2065FFBB" w:rsidR="00C07015" w:rsidRPr="00754844" w:rsidRDefault="00C07015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54844">
              <w:rPr>
                <w:b/>
                <w:bCs/>
                <w:sz w:val="22"/>
                <w:szCs w:val="22"/>
              </w:rPr>
              <w:t>Programme</w:t>
            </w:r>
            <w:proofErr w:type="spellEnd"/>
            <w:r w:rsidRPr="00754844">
              <w:rPr>
                <w:b/>
                <w:bCs/>
                <w:sz w:val="22"/>
                <w:szCs w:val="22"/>
              </w:rPr>
              <w:t xml:space="preserve"> Purpose</w:t>
            </w:r>
          </w:p>
        </w:tc>
        <w:tc>
          <w:tcPr>
            <w:tcW w:w="7087" w:type="dxa"/>
            <w:shd w:val="clear" w:color="auto" w:fill="auto"/>
          </w:tcPr>
          <w:p w14:paraId="76AE6F9C" w14:textId="77777777" w:rsidR="006B648D" w:rsidRDefault="00C07015" w:rsidP="006B648D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>The purpose of the program is to deepen the knowledge and improve the practical skills of legal practitioners in commercial and investment arbitration and other ADR mechanisms.</w:t>
            </w:r>
          </w:p>
          <w:p w14:paraId="6487A3B6" w14:textId="137C94FA" w:rsidR="006B648D" w:rsidRPr="006B648D" w:rsidRDefault="006B648D" w:rsidP="006B648D">
            <w:pPr>
              <w:pStyle w:val="whitespace-pre-wrap"/>
              <w:spacing w:before="0" w:beforeAutospacing="0"/>
              <w:jc w:val="both"/>
              <w:rPr>
                <w:sz w:val="22"/>
                <w:szCs w:val="22"/>
              </w:rPr>
            </w:pPr>
          </w:p>
        </w:tc>
      </w:tr>
      <w:tr w:rsidR="00C07015" w:rsidRPr="00BA7119" w14:paraId="2094E5E4" w14:textId="77777777" w:rsidTr="00754844">
        <w:tc>
          <w:tcPr>
            <w:tcW w:w="2263" w:type="dxa"/>
            <w:shd w:val="clear" w:color="auto" w:fill="auto"/>
          </w:tcPr>
          <w:p w14:paraId="217EA9C4" w14:textId="46F92AC8" w:rsidR="00C07015" w:rsidRPr="00754844" w:rsidRDefault="00C07015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754844">
              <w:rPr>
                <w:b/>
                <w:bCs/>
                <w:sz w:val="22"/>
                <w:szCs w:val="22"/>
              </w:rPr>
              <w:t>Target Group</w:t>
            </w:r>
          </w:p>
        </w:tc>
        <w:tc>
          <w:tcPr>
            <w:tcW w:w="7087" w:type="dxa"/>
            <w:shd w:val="clear" w:color="auto" w:fill="auto"/>
          </w:tcPr>
          <w:p w14:paraId="2F08A272" w14:textId="77777777" w:rsidR="00C07015" w:rsidRDefault="00C07015" w:rsidP="006B648D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The program is designed for lawyers, in-house legal practitioners, mediators, arbitrators, government representatives involved in investments and arbitration, and other professionals with interest in ADR. </w:t>
            </w:r>
            <w:r w:rsidR="00783EF0" w:rsidRPr="00BA7119">
              <w:rPr>
                <w:sz w:val="22"/>
                <w:szCs w:val="22"/>
              </w:rPr>
              <w:t xml:space="preserve">The </w:t>
            </w:r>
            <w:proofErr w:type="spellStart"/>
            <w:r w:rsidR="00783EF0" w:rsidRPr="00BA7119">
              <w:rPr>
                <w:sz w:val="22"/>
                <w:szCs w:val="22"/>
              </w:rPr>
              <w:t>programme</w:t>
            </w:r>
            <w:proofErr w:type="spellEnd"/>
            <w:r w:rsidR="00783EF0" w:rsidRPr="00BA7119">
              <w:rPr>
                <w:sz w:val="22"/>
                <w:szCs w:val="22"/>
              </w:rPr>
              <w:t xml:space="preserve"> is also available for postgraduate students. </w:t>
            </w:r>
          </w:p>
          <w:p w14:paraId="134386BE" w14:textId="1D021DEF" w:rsidR="006B648D" w:rsidRPr="00BA7119" w:rsidRDefault="006B648D" w:rsidP="006B648D">
            <w:pPr>
              <w:pStyle w:val="whitespace-pre-wrap"/>
              <w:spacing w:before="0" w:beforeAutospacing="0"/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C07015" w:rsidRPr="00BA7119" w14:paraId="50991EEC" w14:textId="77777777" w:rsidTr="00754844">
        <w:tc>
          <w:tcPr>
            <w:tcW w:w="2263" w:type="dxa"/>
            <w:shd w:val="clear" w:color="auto" w:fill="auto"/>
          </w:tcPr>
          <w:p w14:paraId="0B441E85" w14:textId="61ED3206" w:rsidR="00C07015" w:rsidRPr="00754844" w:rsidRDefault="00C07015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754844"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7087" w:type="dxa"/>
            <w:shd w:val="clear" w:color="auto" w:fill="auto"/>
          </w:tcPr>
          <w:p w14:paraId="3694DD1F" w14:textId="77777777" w:rsidR="00783EF0" w:rsidRPr="00BA7119" w:rsidRDefault="00783EF0" w:rsidP="00F94FF7">
            <w:pPr>
              <w:pStyle w:val="whitespace-pre-wrap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The </w:t>
            </w:r>
            <w:proofErr w:type="spellStart"/>
            <w:r w:rsidRPr="00BA7119">
              <w:rPr>
                <w:sz w:val="22"/>
                <w:szCs w:val="22"/>
              </w:rPr>
              <w:t>programme</w:t>
            </w:r>
            <w:proofErr w:type="spellEnd"/>
            <w:r w:rsidRPr="00BA7119">
              <w:rPr>
                <w:sz w:val="22"/>
                <w:szCs w:val="22"/>
              </w:rPr>
              <w:t xml:space="preserve"> content is divided into 11 teaching thematic units (60 teaching hours) covering key aspects of ADR mechanisms and includes introductory and advanced teaching of: </w:t>
            </w:r>
          </w:p>
          <w:p w14:paraId="614E0C3B" w14:textId="77777777" w:rsidR="00783EF0" w:rsidRPr="00754844" w:rsidRDefault="00783EF0" w:rsidP="00783EF0">
            <w:pPr>
              <w:pStyle w:val="whitespace-pre-wrap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Negotiation and mediation as ADR </w:t>
            </w:r>
            <w:proofErr w:type="gramStart"/>
            <w:r w:rsidRPr="00BA7119">
              <w:rPr>
                <w:sz w:val="22"/>
                <w:szCs w:val="22"/>
              </w:rPr>
              <w:t>mechanisms;</w:t>
            </w:r>
            <w:proofErr w:type="gramEnd"/>
            <w:r w:rsidRPr="00BA7119">
              <w:rPr>
                <w:sz w:val="22"/>
                <w:szCs w:val="22"/>
              </w:rPr>
              <w:t xml:space="preserve"> </w:t>
            </w:r>
          </w:p>
          <w:p w14:paraId="63AD490D" w14:textId="77777777" w:rsidR="00783EF0" w:rsidRPr="00754844" w:rsidRDefault="00783EF0" w:rsidP="00783EF0">
            <w:pPr>
              <w:pStyle w:val="whitespace-pre-wrap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Commercial </w:t>
            </w:r>
            <w:proofErr w:type="gramStart"/>
            <w:r w:rsidRPr="00BA7119">
              <w:rPr>
                <w:sz w:val="22"/>
                <w:szCs w:val="22"/>
              </w:rPr>
              <w:t>arbitration;</w:t>
            </w:r>
            <w:proofErr w:type="gramEnd"/>
            <w:r w:rsidRPr="00BA7119">
              <w:rPr>
                <w:sz w:val="22"/>
                <w:szCs w:val="22"/>
              </w:rPr>
              <w:t xml:space="preserve"> </w:t>
            </w:r>
          </w:p>
          <w:p w14:paraId="031F1263" w14:textId="1BF41CAB" w:rsidR="00783EF0" w:rsidRPr="00754844" w:rsidRDefault="00783EF0" w:rsidP="00783EF0">
            <w:pPr>
              <w:pStyle w:val="whitespace-pre-wrap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Arbitration </w:t>
            </w:r>
            <w:proofErr w:type="gramStart"/>
            <w:r w:rsidRPr="00BA7119">
              <w:rPr>
                <w:sz w:val="22"/>
                <w:szCs w:val="22"/>
              </w:rPr>
              <w:t>agreements;</w:t>
            </w:r>
            <w:proofErr w:type="gramEnd"/>
            <w:r w:rsidRPr="00BA7119">
              <w:rPr>
                <w:sz w:val="22"/>
                <w:szCs w:val="22"/>
              </w:rPr>
              <w:t xml:space="preserve"> </w:t>
            </w:r>
          </w:p>
          <w:p w14:paraId="301D19E3" w14:textId="10724DD4" w:rsidR="00783EF0" w:rsidRPr="00754844" w:rsidRDefault="00783EF0" w:rsidP="00783EF0">
            <w:pPr>
              <w:pStyle w:val="whitespace-pre-wrap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The role of the arbitral </w:t>
            </w:r>
            <w:proofErr w:type="gramStart"/>
            <w:r w:rsidRPr="00BA7119">
              <w:rPr>
                <w:sz w:val="22"/>
                <w:szCs w:val="22"/>
              </w:rPr>
              <w:t>tribunal;</w:t>
            </w:r>
            <w:proofErr w:type="gramEnd"/>
            <w:r w:rsidRPr="00BA7119">
              <w:rPr>
                <w:sz w:val="22"/>
                <w:szCs w:val="22"/>
              </w:rPr>
              <w:t xml:space="preserve"> </w:t>
            </w:r>
          </w:p>
          <w:p w14:paraId="65F7D69B" w14:textId="3CD83533" w:rsidR="00783EF0" w:rsidRPr="00BA7119" w:rsidRDefault="00077934" w:rsidP="00783EF0">
            <w:pPr>
              <w:pStyle w:val="whitespace-pre-wrap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</w:t>
            </w:r>
            <w:r w:rsidR="00EF1BBF">
              <w:rPr>
                <w:sz w:val="22"/>
                <w:szCs w:val="22"/>
              </w:rPr>
              <w:t>ct</w:t>
            </w:r>
            <w:r w:rsidR="00783EF0" w:rsidRPr="00BA7119">
              <w:rPr>
                <w:sz w:val="22"/>
                <w:szCs w:val="22"/>
              </w:rPr>
              <w:t xml:space="preserve"> of arbitration </w:t>
            </w:r>
            <w:proofErr w:type="gramStart"/>
            <w:r w:rsidR="00783EF0" w:rsidRPr="00BA7119">
              <w:rPr>
                <w:sz w:val="22"/>
                <w:szCs w:val="22"/>
              </w:rPr>
              <w:t>proce</w:t>
            </w:r>
            <w:r w:rsidR="00EF1BBF">
              <w:rPr>
                <w:sz w:val="22"/>
                <w:szCs w:val="22"/>
              </w:rPr>
              <w:t>edings</w:t>
            </w:r>
            <w:r w:rsidR="00783EF0" w:rsidRPr="00BA7119">
              <w:rPr>
                <w:sz w:val="22"/>
                <w:szCs w:val="22"/>
              </w:rPr>
              <w:t>;</w:t>
            </w:r>
            <w:proofErr w:type="gramEnd"/>
            <w:r w:rsidR="00783EF0" w:rsidRPr="00BA7119">
              <w:rPr>
                <w:sz w:val="22"/>
                <w:szCs w:val="22"/>
              </w:rPr>
              <w:t xml:space="preserve"> </w:t>
            </w:r>
          </w:p>
          <w:p w14:paraId="7213740C" w14:textId="77777777" w:rsidR="00783EF0" w:rsidRPr="00BA7119" w:rsidRDefault="00783EF0" w:rsidP="00754844">
            <w:pPr>
              <w:pStyle w:val="whitespace-pre-wrap"/>
              <w:numPr>
                <w:ilvl w:val="0"/>
                <w:numId w:val="2"/>
              </w:numPr>
              <w:spacing w:after="0" w:afterAutospacing="0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>Investment arbitration;</w:t>
            </w:r>
          </w:p>
          <w:p w14:paraId="0BBA0346" w14:textId="0476A830" w:rsidR="00754844" w:rsidRPr="00754844" w:rsidRDefault="00783EF0" w:rsidP="00754844">
            <w:pPr>
              <w:pStyle w:val="whitespace-pre-wrap"/>
              <w:numPr>
                <w:ilvl w:val="0"/>
                <w:numId w:val="12"/>
              </w:numPr>
              <w:spacing w:before="0" w:beforeAutospacing="0"/>
              <w:rPr>
                <w:color w:val="000000"/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In</w:t>
            </w:r>
            <w:r w:rsidR="00077934">
              <w:rPr>
                <w:sz w:val="22"/>
                <w:szCs w:val="22"/>
              </w:rPr>
              <w:t>vestment treaties and dispute resolution provisions</w:t>
            </w:r>
            <w:r w:rsidRPr="00754844">
              <w:rPr>
                <w:sz w:val="22"/>
                <w:szCs w:val="22"/>
              </w:rPr>
              <w:t>;</w:t>
            </w:r>
          </w:p>
          <w:p w14:paraId="1171D10D" w14:textId="0925D71C" w:rsidR="00783EF0" w:rsidRPr="00754844" w:rsidRDefault="00783EF0" w:rsidP="00787D62">
            <w:pPr>
              <w:pStyle w:val="whitespace-pre-wrap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 w:rsidRPr="00754844">
              <w:rPr>
                <w:color w:val="000000"/>
                <w:sz w:val="22"/>
                <w:szCs w:val="22"/>
              </w:rPr>
              <w:t xml:space="preserve">Scope of investor protection in investment </w:t>
            </w:r>
            <w:proofErr w:type="gramStart"/>
            <w:r w:rsidRPr="00754844">
              <w:rPr>
                <w:color w:val="000000"/>
                <w:sz w:val="22"/>
                <w:szCs w:val="22"/>
              </w:rPr>
              <w:t>arbitration;</w:t>
            </w:r>
            <w:proofErr w:type="gramEnd"/>
          </w:p>
          <w:p w14:paraId="566D9E36" w14:textId="385C3823" w:rsidR="00783EF0" w:rsidRPr="007262EA" w:rsidRDefault="007262EA" w:rsidP="007262EA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Substantive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6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rights in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26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investment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26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arbitration</w:t>
            </w:r>
            <w:r w:rsidR="00783EF0" w:rsidRPr="00726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proofErr w:type="gramEnd"/>
          </w:p>
          <w:p w14:paraId="465B6A30" w14:textId="77777777" w:rsidR="00783EF0" w:rsidRPr="00754844" w:rsidRDefault="00783EF0" w:rsidP="00783EF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48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Recognition and enforcement of arbitral awards.</w:t>
            </w:r>
          </w:p>
          <w:p w14:paraId="3DDB9E49" w14:textId="77777777" w:rsidR="00470CEF" w:rsidRDefault="00783EF0" w:rsidP="006B648D">
            <w:pPr>
              <w:pStyle w:val="NormalWeb"/>
              <w:spacing w:after="0" w:afterAutospacing="0"/>
              <w:rPr>
                <w:color w:val="000000"/>
                <w:sz w:val="22"/>
                <w:szCs w:val="22"/>
              </w:rPr>
            </w:pPr>
            <w:r w:rsidRPr="00754844">
              <w:rPr>
                <w:color w:val="000000"/>
                <w:sz w:val="22"/>
                <w:szCs w:val="22"/>
              </w:rPr>
              <w:t>The program will be delivered in both Macedonian and English</w:t>
            </w:r>
            <w:r w:rsidR="00470CEF">
              <w:rPr>
                <w:color w:val="000000"/>
                <w:sz w:val="22"/>
                <w:szCs w:val="22"/>
              </w:rPr>
              <w:t xml:space="preserve"> language</w:t>
            </w:r>
            <w:r w:rsidRPr="00754844">
              <w:rPr>
                <w:color w:val="000000"/>
                <w:sz w:val="22"/>
                <w:szCs w:val="22"/>
              </w:rPr>
              <w:t>.</w:t>
            </w:r>
          </w:p>
          <w:p w14:paraId="4F537AC1" w14:textId="7F6DEB85" w:rsidR="006B648D" w:rsidRPr="00754844" w:rsidRDefault="006B648D" w:rsidP="006B648D">
            <w:pPr>
              <w:pStyle w:val="NormalWeb"/>
              <w:spacing w:before="0" w:beforeAutospacing="0"/>
              <w:rPr>
                <w:color w:val="000000"/>
                <w:sz w:val="22"/>
                <w:szCs w:val="22"/>
              </w:rPr>
            </w:pPr>
          </w:p>
        </w:tc>
      </w:tr>
      <w:tr w:rsidR="00C07015" w:rsidRPr="00BA7119" w14:paraId="64B67639" w14:textId="77777777" w:rsidTr="00754844">
        <w:tc>
          <w:tcPr>
            <w:tcW w:w="2263" w:type="dxa"/>
            <w:shd w:val="clear" w:color="auto" w:fill="auto"/>
          </w:tcPr>
          <w:p w14:paraId="1D44114A" w14:textId="0261954D" w:rsidR="00C07015" w:rsidRPr="00754844" w:rsidRDefault="00BA7119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754844">
              <w:rPr>
                <w:b/>
                <w:bCs/>
                <w:sz w:val="22"/>
                <w:szCs w:val="22"/>
              </w:rPr>
              <w:t>Lecturers</w:t>
            </w:r>
          </w:p>
        </w:tc>
        <w:tc>
          <w:tcPr>
            <w:tcW w:w="7087" w:type="dxa"/>
            <w:shd w:val="clear" w:color="auto" w:fill="auto"/>
          </w:tcPr>
          <w:p w14:paraId="7F606D30" w14:textId="77777777" w:rsidR="00C07015" w:rsidRDefault="00BA7119" w:rsidP="006B648D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>The program will be conducted by domestic and international experts and practitioners in the field of alternative dispute resolution (ADR).</w:t>
            </w:r>
          </w:p>
          <w:p w14:paraId="5757F748" w14:textId="135E1DAA" w:rsidR="006B648D" w:rsidRPr="00BA7119" w:rsidRDefault="006B648D" w:rsidP="006B648D">
            <w:pPr>
              <w:pStyle w:val="whitespace-pre-wrap"/>
              <w:spacing w:before="0" w:beforeAutospacing="0"/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C07015" w:rsidRPr="00BA7119" w14:paraId="068A6D71" w14:textId="77777777" w:rsidTr="00754844">
        <w:tc>
          <w:tcPr>
            <w:tcW w:w="2263" w:type="dxa"/>
            <w:shd w:val="clear" w:color="auto" w:fill="auto"/>
          </w:tcPr>
          <w:p w14:paraId="46E24638" w14:textId="23BABB8C" w:rsidR="00C07015" w:rsidRPr="00754844" w:rsidRDefault="00BA7119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754844">
              <w:rPr>
                <w:b/>
                <w:bCs/>
                <w:sz w:val="22"/>
                <w:szCs w:val="22"/>
              </w:rPr>
              <w:t>Certificate</w:t>
            </w:r>
          </w:p>
        </w:tc>
        <w:tc>
          <w:tcPr>
            <w:tcW w:w="7087" w:type="dxa"/>
            <w:shd w:val="clear" w:color="auto" w:fill="auto"/>
          </w:tcPr>
          <w:p w14:paraId="4EA9F9FB" w14:textId="77777777" w:rsidR="00C07015" w:rsidRDefault="00BA7119" w:rsidP="006B648D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 xml:space="preserve">After passing the final exam, participants will receive a certificate of participation from the Faculty of Law "Justinian I" – Skopje, at the "Ss. Cyril </w:t>
            </w:r>
            <w:r w:rsidRPr="00BA7119">
              <w:rPr>
                <w:sz w:val="22"/>
                <w:szCs w:val="22"/>
              </w:rPr>
              <w:lastRenderedPageBreak/>
              <w:t>and Methodius" University in Skopje, and the Europe Institute, Saarland University, Germany.</w:t>
            </w:r>
          </w:p>
          <w:p w14:paraId="71ACA031" w14:textId="260387FA" w:rsidR="006B648D" w:rsidRPr="00BA7119" w:rsidRDefault="006B648D" w:rsidP="006B648D">
            <w:pPr>
              <w:pStyle w:val="whitespace-pre-wrap"/>
              <w:spacing w:before="0" w:beforeAutospacing="0"/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C07015" w:rsidRPr="00BA7119" w14:paraId="24FA02D0" w14:textId="77777777" w:rsidTr="00754844">
        <w:tc>
          <w:tcPr>
            <w:tcW w:w="2263" w:type="dxa"/>
            <w:shd w:val="clear" w:color="auto" w:fill="auto"/>
          </w:tcPr>
          <w:p w14:paraId="0795426C" w14:textId="4CD7689C" w:rsidR="00C07015" w:rsidRPr="00754844" w:rsidRDefault="00BA7119" w:rsidP="00F94FF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754844">
              <w:rPr>
                <w:b/>
                <w:bCs/>
                <w:sz w:val="22"/>
                <w:szCs w:val="22"/>
              </w:rPr>
              <w:lastRenderedPageBreak/>
              <w:t xml:space="preserve">Schedule </w:t>
            </w:r>
          </w:p>
        </w:tc>
        <w:tc>
          <w:tcPr>
            <w:tcW w:w="7087" w:type="dxa"/>
            <w:shd w:val="clear" w:color="auto" w:fill="auto"/>
          </w:tcPr>
          <w:p w14:paraId="15FFA0E7" w14:textId="77777777" w:rsidR="00C07015" w:rsidRDefault="00BA7119" w:rsidP="00974930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BA7119">
              <w:rPr>
                <w:sz w:val="22"/>
                <w:szCs w:val="22"/>
              </w:rPr>
              <w:t>The program will be conducted from February to April 2025, in the afternoon hours on weekdays and on Saturdays.</w:t>
            </w:r>
          </w:p>
          <w:p w14:paraId="0421EFD2" w14:textId="6AEC3348" w:rsidR="00974930" w:rsidRPr="00754844" w:rsidRDefault="00974930" w:rsidP="00F94FF7">
            <w:pPr>
              <w:pStyle w:val="whitespace-pre-wrap"/>
              <w:jc w:val="both"/>
              <w:rPr>
                <w:sz w:val="22"/>
                <w:szCs w:val="22"/>
              </w:rPr>
            </w:pPr>
          </w:p>
        </w:tc>
      </w:tr>
      <w:tr w:rsidR="00BA7119" w:rsidRPr="00BA7119" w14:paraId="48A7DE0C" w14:textId="77777777" w:rsidTr="00754844">
        <w:tc>
          <w:tcPr>
            <w:tcW w:w="2263" w:type="dxa"/>
          </w:tcPr>
          <w:p w14:paraId="4D3E6E1C" w14:textId="77777777" w:rsidR="00BA7119" w:rsidRPr="00BA7119" w:rsidRDefault="00BA7119" w:rsidP="00BA7119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Location</w:t>
            </w:r>
          </w:p>
          <w:p w14:paraId="39C9AE69" w14:textId="77777777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0934C64B" w14:textId="6BDBF8AE" w:rsidR="00BA7119" w:rsidRPr="00754844" w:rsidRDefault="00BA7119" w:rsidP="00974930">
            <w:pPr>
              <w:pStyle w:val="whitespace-pre-wrap"/>
              <w:spacing w:after="240" w:afterAutospacing="0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Faculty of Law "Justinian I" – Skopje and online via the MS Teams platform</w:t>
            </w:r>
            <w:r w:rsidR="00974930">
              <w:rPr>
                <w:sz w:val="22"/>
                <w:szCs w:val="22"/>
              </w:rPr>
              <w:t>.</w:t>
            </w:r>
          </w:p>
        </w:tc>
      </w:tr>
      <w:tr w:rsidR="00BA7119" w:rsidRPr="00BA7119" w14:paraId="08414B64" w14:textId="77777777" w:rsidTr="00754844">
        <w:tc>
          <w:tcPr>
            <w:tcW w:w="2263" w:type="dxa"/>
          </w:tcPr>
          <w:p w14:paraId="68A27FEA" w14:textId="77777777" w:rsidR="00BA7119" w:rsidRPr="00BA7119" w:rsidRDefault="00BA7119" w:rsidP="00BA7119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Requirements for Participation</w:t>
            </w:r>
          </w:p>
          <w:p w14:paraId="6AFE520A" w14:textId="77777777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2136BA" w14:textId="77777777" w:rsidR="00BA7119" w:rsidRPr="00754844" w:rsidRDefault="00BA7119" w:rsidP="00BA7119">
            <w:pPr>
              <w:pStyle w:val="whitespace-pre-wrap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Participants in the specialized educational program must have:</w:t>
            </w:r>
          </w:p>
          <w:p w14:paraId="703D2C79" w14:textId="77777777" w:rsidR="00BA7119" w:rsidRPr="00754844" w:rsidRDefault="00BA7119" w:rsidP="00BA7119">
            <w:pPr>
              <w:pStyle w:val="whitespace-pre-wrap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Completed the first cycle of studies (180 ECTS), i.e., a four-year undergraduate degree, which must be verified with a certificate and diploma.</w:t>
            </w:r>
          </w:p>
          <w:p w14:paraId="75E012EB" w14:textId="77777777" w:rsidR="00BA7119" w:rsidRPr="00754844" w:rsidRDefault="00BA7119" w:rsidP="00974930">
            <w:pPr>
              <w:pStyle w:val="whitespace-pre-wrap"/>
              <w:numPr>
                <w:ilvl w:val="0"/>
                <w:numId w:val="13"/>
              </w:numPr>
              <w:spacing w:after="0" w:afterAutospacing="0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Advanced knowledge of the English language.</w:t>
            </w:r>
          </w:p>
          <w:p w14:paraId="399E481D" w14:textId="77777777" w:rsidR="00BA7119" w:rsidRPr="00754844" w:rsidRDefault="00BA7119" w:rsidP="00CA19E7">
            <w:pPr>
              <w:pStyle w:val="whitespace-pre-wrap"/>
              <w:jc w:val="both"/>
              <w:rPr>
                <w:sz w:val="22"/>
                <w:szCs w:val="22"/>
              </w:rPr>
            </w:pPr>
          </w:p>
        </w:tc>
      </w:tr>
      <w:tr w:rsidR="00BA7119" w:rsidRPr="00BA7119" w14:paraId="779056EB" w14:textId="77777777" w:rsidTr="00754844">
        <w:tc>
          <w:tcPr>
            <w:tcW w:w="2263" w:type="dxa"/>
          </w:tcPr>
          <w:p w14:paraId="4BF60069" w14:textId="59E2D328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7087" w:type="dxa"/>
          </w:tcPr>
          <w:p w14:paraId="4F617B64" w14:textId="77777777" w:rsidR="00BA7119" w:rsidRPr="00754844" w:rsidRDefault="00BA7119" w:rsidP="00974930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The participation fee is 600 euros (regular price). Students and young professionals who have not yet passed the bar exam will pay a reduced fee of 300 euros (discounted price). The fee is payable upon enrollment in the program.</w:t>
            </w:r>
          </w:p>
          <w:p w14:paraId="377AA81E" w14:textId="77777777" w:rsidR="00BA7119" w:rsidRPr="00754844" w:rsidRDefault="00BA7119" w:rsidP="00CA19E7">
            <w:pPr>
              <w:pStyle w:val="whitespace-pre-wrap"/>
              <w:jc w:val="both"/>
              <w:rPr>
                <w:sz w:val="22"/>
                <w:szCs w:val="22"/>
              </w:rPr>
            </w:pPr>
          </w:p>
        </w:tc>
      </w:tr>
      <w:tr w:rsidR="00BA7119" w:rsidRPr="00BA7119" w14:paraId="5F4F9CAC" w14:textId="77777777" w:rsidTr="00754844">
        <w:tc>
          <w:tcPr>
            <w:tcW w:w="2263" w:type="dxa"/>
          </w:tcPr>
          <w:p w14:paraId="77637545" w14:textId="6FC1CF9F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Application</w:t>
            </w:r>
          </w:p>
        </w:tc>
        <w:tc>
          <w:tcPr>
            <w:tcW w:w="7087" w:type="dxa"/>
          </w:tcPr>
          <w:p w14:paraId="41F5516B" w14:textId="77777777" w:rsidR="00BA7119" w:rsidRPr="00754844" w:rsidRDefault="00BA7119" w:rsidP="00974930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5484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Applications are accepted through the </w:t>
            </w:r>
            <w:hyperlink r:id="rId8" w:history="1">
              <w:r w:rsidRPr="00754844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linked application form.</w:t>
              </w:r>
            </w:hyperlink>
            <w:r w:rsidRPr="007548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96DAAB" w14:textId="77777777" w:rsidR="00BA7119" w:rsidRPr="00754844" w:rsidRDefault="00BA7119" w:rsidP="00974930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BA7119" w:rsidRPr="00BA7119" w14:paraId="1405DE0B" w14:textId="77777777" w:rsidTr="00754844">
        <w:tc>
          <w:tcPr>
            <w:tcW w:w="2263" w:type="dxa"/>
          </w:tcPr>
          <w:p w14:paraId="5381AEA3" w14:textId="77777777" w:rsidR="00BA7119" w:rsidRPr="00BA7119" w:rsidRDefault="00BA7119" w:rsidP="00BA7119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Deadlines</w:t>
            </w:r>
          </w:p>
          <w:p w14:paraId="0C3A686D" w14:textId="77777777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472BD71" w14:textId="7D94C25D" w:rsidR="00BA7119" w:rsidRPr="00754844" w:rsidRDefault="00BA7119" w:rsidP="00974930">
            <w:pPr>
              <w:pStyle w:val="whitespace-pre-wrap"/>
              <w:spacing w:after="0" w:afterAutospacing="0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>The deadline for submitting applications is 20 January 2025. Selected candidates will be contacted by 27 January 2025.</w:t>
            </w:r>
          </w:p>
          <w:p w14:paraId="37C4CD54" w14:textId="77777777" w:rsidR="00BA7119" w:rsidRPr="00754844" w:rsidRDefault="00BA7119" w:rsidP="00CA19E7">
            <w:pPr>
              <w:pStyle w:val="whitespace-pre-wrap"/>
              <w:jc w:val="both"/>
              <w:rPr>
                <w:sz w:val="22"/>
                <w:szCs w:val="22"/>
              </w:rPr>
            </w:pPr>
          </w:p>
        </w:tc>
      </w:tr>
      <w:tr w:rsidR="00BA7119" w:rsidRPr="00BA7119" w14:paraId="1B33AC8C" w14:textId="77777777" w:rsidTr="00754844">
        <w:tc>
          <w:tcPr>
            <w:tcW w:w="2263" w:type="dxa"/>
          </w:tcPr>
          <w:p w14:paraId="1BCBD4EC" w14:textId="5D990B99" w:rsidR="00BA7119" w:rsidRPr="00BA7119" w:rsidRDefault="00BA7119" w:rsidP="00CA19E7">
            <w:pPr>
              <w:pStyle w:val="whitespace-pre-wrap"/>
              <w:jc w:val="both"/>
              <w:rPr>
                <w:b/>
                <w:bCs/>
                <w:sz w:val="22"/>
                <w:szCs w:val="22"/>
              </w:rPr>
            </w:pPr>
            <w:r w:rsidRPr="00BA7119">
              <w:rPr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7087" w:type="dxa"/>
          </w:tcPr>
          <w:p w14:paraId="75B42671" w14:textId="0D234580" w:rsidR="00BA7119" w:rsidRPr="00754844" w:rsidRDefault="00BA7119" w:rsidP="00CA19E7">
            <w:pPr>
              <w:pStyle w:val="whitespace-pre-wrap"/>
              <w:jc w:val="both"/>
              <w:rPr>
                <w:sz w:val="22"/>
                <w:szCs w:val="22"/>
              </w:rPr>
            </w:pPr>
            <w:r w:rsidRPr="00754844">
              <w:rPr>
                <w:sz w:val="22"/>
                <w:szCs w:val="22"/>
              </w:rPr>
              <w:t xml:space="preserve">The </w:t>
            </w:r>
            <w:proofErr w:type="spellStart"/>
            <w:r w:rsidRPr="00754844">
              <w:rPr>
                <w:sz w:val="22"/>
                <w:szCs w:val="22"/>
              </w:rPr>
              <w:t>programme</w:t>
            </w:r>
            <w:proofErr w:type="spellEnd"/>
            <w:r w:rsidRPr="00754844">
              <w:rPr>
                <w:sz w:val="22"/>
                <w:szCs w:val="22"/>
              </w:rPr>
              <w:t xml:space="preserve"> coordinator is Prof. Dr. Goran </w:t>
            </w:r>
            <w:proofErr w:type="spellStart"/>
            <w:r w:rsidRPr="00754844">
              <w:rPr>
                <w:sz w:val="22"/>
                <w:szCs w:val="22"/>
              </w:rPr>
              <w:t>Koevski</w:t>
            </w:r>
            <w:proofErr w:type="spellEnd"/>
            <w:r w:rsidRPr="00754844">
              <w:rPr>
                <w:sz w:val="22"/>
                <w:szCs w:val="22"/>
              </w:rPr>
              <w:t>. For any inquiries, please send an email to InvestInADRproject@pf.ukim.edu.mk.</w:t>
            </w:r>
          </w:p>
        </w:tc>
      </w:tr>
    </w:tbl>
    <w:p w14:paraId="7B456EC6" w14:textId="361C0AC8" w:rsidR="00FC34B6" w:rsidRPr="00BA7119" w:rsidRDefault="00FC34B6" w:rsidP="005604A8">
      <w:pPr>
        <w:rPr>
          <w:rFonts w:ascii="Times New Roman" w:hAnsi="Times New Roman" w:cs="Times New Roman"/>
          <w:b/>
          <w:noProof/>
          <w:sz w:val="22"/>
          <w:szCs w:val="22"/>
        </w:rPr>
      </w:pPr>
      <w:r w:rsidRPr="00BA7119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</w:p>
    <w:sectPr w:rsidR="00FC34B6" w:rsidRPr="00BA71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3CF9" w14:textId="77777777" w:rsidR="00A25E4A" w:rsidRDefault="00A25E4A" w:rsidP="0058291A">
      <w:r>
        <w:separator/>
      </w:r>
    </w:p>
  </w:endnote>
  <w:endnote w:type="continuationSeparator" w:id="0">
    <w:p w14:paraId="0E989146" w14:textId="77777777" w:rsidR="00A25E4A" w:rsidRDefault="00A25E4A" w:rsidP="0058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B781" w14:textId="77777777" w:rsidR="00A25E4A" w:rsidRDefault="00A25E4A" w:rsidP="0058291A">
      <w:r>
        <w:separator/>
      </w:r>
    </w:p>
  </w:footnote>
  <w:footnote w:type="continuationSeparator" w:id="0">
    <w:p w14:paraId="3EF042E0" w14:textId="77777777" w:rsidR="00A25E4A" w:rsidRDefault="00A25E4A" w:rsidP="0058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1AE" w14:textId="7FEDDF71" w:rsidR="0058291A" w:rsidRDefault="0058291A" w:rsidP="0058291A">
    <w:pPr>
      <w:pStyle w:val="Header"/>
      <w:jc w:val="center"/>
    </w:pPr>
    <w:r>
      <w:rPr>
        <w:noProof/>
      </w:rPr>
      <w:drawing>
        <wp:inline distT="0" distB="0" distL="0" distR="0" wp14:anchorId="44269E2A" wp14:editId="188E9A4F">
          <wp:extent cx="642257" cy="470901"/>
          <wp:effectExtent l="0" t="0" r="5715" b="0"/>
          <wp:docPr id="4" name="Picture 4" descr="A statue of a person holding a sword and sca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tatue of a person holding a sword and scal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54" cy="48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noProof/>
        <w14:ligatures w14:val="standardContextual"/>
      </w:rPr>
      <w:drawing>
        <wp:inline distT="0" distB="0" distL="0" distR="0" wp14:anchorId="4393E93F" wp14:editId="1C67F63F">
          <wp:extent cx="783771" cy="431074"/>
          <wp:effectExtent l="0" t="0" r="3810" b="1270"/>
          <wp:docPr id="5" name="Picture 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42" cy="44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noProof/>
        <w14:ligatures w14:val="standardContextual"/>
      </w:rPr>
      <w:drawing>
        <wp:inline distT="0" distB="0" distL="0" distR="0" wp14:anchorId="63A1E451" wp14:editId="54C0D16A">
          <wp:extent cx="599271" cy="413657"/>
          <wp:effectExtent l="0" t="0" r="0" b="571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5" cy="44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967"/>
    <w:multiLevelType w:val="multilevel"/>
    <w:tmpl w:val="8F9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5449B"/>
    <w:multiLevelType w:val="multilevel"/>
    <w:tmpl w:val="76F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146B6"/>
    <w:multiLevelType w:val="hybridMultilevel"/>
    <w:tmpl w:val="0B261CA4"/>
    <w:lvl w:ilvl="0" w:tplc="AA1458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1F91"/>
    <w:multiLevelType w:val="multilevel"/>
    <w:tmpl w:val="70A6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4B4E88"/>
    <w:multiLevelType w:val="multilevel"/>
    <w:tmpl w:val="17BE3E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E2F22"/>
    <w:multiLevelType w:val="multilevel"/>
    <w:tmpl w:val="B5D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4042BD"/>
    <w:multiLevelType w:val="multilevel"/>
    <w:tmpl w:val="1E0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DF6919"/>
    <w:multiLevelType w:val="multilevel"/>
    <w:tmpl w:val="7436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56B26"/>
    <w:multiLevelType w:val="multilevel"/>
    <w:tmpl w:val="C0E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B64115"/>
    <w:multiLevelType w:val="multilevel"/>
    <w:tmpl w:val="F33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925E68"/>
    <w:multiLevelType w:val="multilevel"/>
    <w:tmpl w:val="FEE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946F1F"/>
    <w:multiLevelType w:val="multilevel"/>
    <w:tmpl w:val="871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FD73C6"/>
    <w:multiLevelType w:val="multilevel"/>
    <w:tmpl w:val="D7126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992006">
    <w:abstractNumId w:val="2"/>
  </w:num>
  <w:num w:numId="2" w16cid:durableId="1373849081">
    <w:abstractNumId w:val="12"/>
  </w:num>
  <w:num w:numId="3" w16cid:durableId="412363935">
    <w:abstractNumId w:val="6"/>
  </w:num>
  <w:num w:numId="4" w16cid:durableId="753011498">
    <w:abstractNumId w:val="10"/>
  </w:num>
  <w:num w:numId="5" w16cid:durableId="379717788">
    <w:abstractNumId w:val="11"/>
  </w:num>
  <w:num w:numId="6" w16cid:durableId="2125808817">
    <w:abstractNumId w:val="0"/>
  </w:num>
  <w:num w:numId="7" w16cid:durableId="1525023915">
    <w:abstractNumId w:val="8"/>
  </w:num>
  <w:num w:numId="8" w16cid:durableId="1452244632">
    <w:abstractNumId w:val="3"/>
  </w:num>
  <w:num w:numId="9" w16cid:durableId="1685326270">
    <w:abstractNumId w:val="1"/>
  </w:num>
  <w:num w:numId="10" w16cid:durableId="334311685">
    <w:abstractNumId w:val="5"/>
  </w:num>
  <w:num w:numId="11" w16cid:durableId="1524903251">
    <w:abstractNumId w:val="9"/>
  </w:num>
  <w:num w:numId="12" w16cid:durableId="327056279">
    <w:abstractNumId w:val="4"/>
  </w:num>
  <w:num w:numId="13" w16cid:durableId="1159268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F7"/>
    <w:rsid w:val="00015913"/>
    <w:rsid w:val="00077934"/>
    <w:rsid w:val="000A1266"/>
    <w:rsid w:val="000C3719"/>
    <w:rsid w:val="000F1D8A"/>
    <w:rsid w:val="001B2340"/>
    <w:rsid w:val="00201123"/>
    <w:rsid w:val="00214904"/>
    <w:rsid w:val="0029023B"/>
    <w:rsid w:val="002B137E"/>
    <w:rsid w:val="00333798"/>
    <w:rsid w:val="003A270B"/>
    <w:rsid w:val="00470CEF"/>
    <w:rsid w:val="004D24B4"/>
    <w:rsid w:val="005604A8"/>
    <w:rsid w:val="00580C3C"/>
    <w:rsid w:val="0058291A"/>
    <w:rsid w:val="005D4750"/>
    <w:rsid w:val="00656A91"/>
    <w:rsid w:val="006B648D"/>
    <w:rsid w:val="007262EA"/>
    <w:rsid w:val="00754844"/>
    <w:rsid w:val="00783EF0"/>
    <w:rsid w:val="007C4294"/>
    <w:rsid w:val="00937922"/>
    <w:rsid w:val="00974930"/>
    <w:rsid w:val="009C7739"/>
    <w:rsid w:val="00A25E4A"/>
    <w:rsid w:val="00AA164D"/>
    <w:rsid w:val="00B074A2"/>
    <w:rsid w:val="00B70163"/>
    <w:rsid w:val="00B82CC9"/>
    <w:rsid w:val="00BA7119"/>
    <w:rsid w:val="00C07015"/>
    <w:rsid w:val="00CA19E7"/>
    <w:rsid w:val="00CB16C7"/>
    <w:rsid w:val="00D06F82"/>
    <w:rsid w:val="00DF7152"/>
    <w:rsid w:val="00E30C2A"/>
    <w:rsid w:val="00E7037A"/>
    <w:rsid w:val="00EF1BBF"/>
    <w:rsid w:val="00F47260"/>
    <w:rsid w:val="00F627C7"/>
    <w:rsid w:val="00F94FF7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A6A8"/>
  <w15:docId w15:val="{8C3DD91F-1716-460F-A44D-82784DEA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F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F7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rsid w:val="00F94F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A19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A19E7"/>
    <w:rPr>
      <w:b/>
      <w:bCs/>
    </w:rPr>
  </w:style>
  <w:style w:type="paragraph" w:styleId="ListParagraph">
    <w:name w:val="List Paragraph"/>
    <w:basedOn w:val="Normal"/>
    <w:uiPriority w:val="34"/>
    <w:qFormat/>
    <w:rsid w:val="00CB1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9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9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1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7015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C0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7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LrsRxg96E87XRy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FD29C-0866-6F44-9146-21806881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Tokarev</dc:creator>
  <cp:lastModifiedBy>Karanović &amp; Partners</cp:lastModifiedBy>
  <cp:revision>11</cp:revision>
  <dcterms:created xsi:type="dcterms:W3CDTF">2024-12-16T16:31:00Z</dcterms:created>
  <dcterms:modified xsi:type="dcterms:W3CDTF">2024-12-17T10:40:00Z</dcterms:modified>
</cp:coreProperties>
</file>