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8AD1" w14:textId="77777777" w:rsidR="00AA1B05" w:rsidRDefault="00AA1B05" w:rsidP="7E5337A6">
      <w:pPr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057DFB" w14:textId="77777777" w:rsidR="00AA1B05" w:rsidRDefault="00AA1B05" w:rsidP="7E5337A6">
      <w:pPr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063B3A" w14:textId="224984D4" w:rsidR="00192A98" w:rsidRDefault="005604A8" w:rsidP="7E5337A6">
      <w:pPr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ПОВИК ЗА </w:t>
      </w:r>
      <w:r w:rsidR="004547CE"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УЧЕСТВО</w:t>
      </w:r>
      <w:r w:rsidR="00AA1B05"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9E7" w:rsidRPr="00CA19E7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58338B06" w14:textId="1E14BE83" w:rsidR="00F94FF7" w:rsidRPr="00900521" w:rsidRDefault="00AA1B05" w:rsidP="7E5337A6">
      <w:pPr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СПЕЦИЈАЛИЗИРАНА </w:t>
      </w:r>
      <w:r w:rsidR="00192A98"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ОБРАЗОВНА </w:t>
      </w:r>
      <w:r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ПРОГРАМА</w:t>
      </w:r>
      <w:r w:rsidR="00192A98"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00521" w:rsidRPr="7E5337A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АЛТЕРНАТИВНО РЕШАВАЊЕ НА СПОРОВИ</w:t>
      </w:r>
    </w:p>
    <w:p w14:paraId="7E050494" w14:textId="14C0DF11" w:rsidR="00F94FF7" w:rsidRPr="00CB16C7" w:rsidRDefault="7E5337A6" w:rsidP="7E5337A6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w:t xml:space="preserve">Специјализирана програма за професионален развој во </w:t>
      </w: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  <w:t>областа на алтернативното решавање на споровите -</w:t>
      </w:r>
    </w:p>
    <w:p w14:paraId="4AC9706F" w14:textId="77777777" w:rsidR="00AA1B05" w:rsidRDefault="00AA1B05" w:rsidP="7E5337A6">
      <w:pPr>
        <w:pStyle w:val="whitespace-pre-wrap"/>
        <w:jc w:val="both"/>
        <w:rPr>
          <w:sz w:val="22"/>
          <w:szCs w:val="22"/>
          <w:lang w:val="mk-MK"/>
        </w:rPr>
      </w:pPr>
    </w:p>
    <w:p w14:paraId="218D995A" w14:textId="44CE65E0" w:rsidR="00F94FF7" w:rsidRPr="00580C3C" w:rsidRDefault="195FF974" w:rsidP="7E5337A6">
      <w:pPr>
        <w:pStyle w:val="whitespace-pre-wrap"/>
        <w:jc w:val="both"/>
        <w:rPr>
          <w:sz w:val="22"/>
          <w:szCs w:val="22"/>
          <w:lang w:val="mk-MK"/>
        </w:rPr>
      </w:pPr>
      <w:r w:rsidRPr="195FF974">
        <w:rPr>
          <w:sz w:val="22"/>
          <w:szCs w:val="22"/>
        </w:rPr>
        <w:t>Правниот факултет „Јустинијан Први“ – Скопје</w:t>
      </w:r>
      <w:r w:rsidRPr="195FF974">
        <w:rPr>
          <w:sz w:val="22"/>
          <w:szCs w:val="22"/>
          <w:lang w:val="mk-MK"/>
        </w:rPr>
        <w:t xml:space="preserve"> при Универзитетот „Св. Кирил и Методиј“  и Европа Институт Универзитетот на </w:t>
      </w:r>
      <w:proofErr w:type="spellStart"/>
      <w:r w:rsidRPr="195FF974">
        <w:rPr>
          <w:sz w:val="22"/>
          <w:szCs w:val="22"/>
          <w:lang w:val="mk-MK"/>
        </w:rPr>
        <w:t>Саарланд</w:t>
      </w:r>
      <w:proofErr w:type="spellEnd"/>
      <w:r w:rsidRPr="195FF974">
        <w:rPr>
          <w:sz w:val="22"/>
          <w:szCs w:val="22"/>
          <w:lang w:val="mk-MK"/>
        </w:rPr>
        <w:t xml:space="preserve"> (</w:t>
      </w:r>
      <w:proofErr w:type="spellStart"/>
      <w:r w:rsidRPr="195FF974">
        <w:rPr>
          <w:sz w:val="22"/>
          <w:szCs w:val="22"/>
          <w:lang w:val="mk-MK"/>
        </w:rPr>
        <w:t>Europa</w:t>
      </w:r>
      <w:proofErr w:type="spellEnd"/>
      <w:r w:rsidRPr="195FF974">
        <w:rPr>
          <w:sz w:val="22"/>
          <w:szCs w:val="22"/>
          <w:lang w:val="mk-MK"/>
        </w:rPr>
        <w:t xml:space="preserve"> </w:t>
      </w:r>
      <w:proofErr w:type="spellStart"/>
      <w:r w:rsidRPr="195FF974">
        <w:rPr>
          <w:sz w:val="22"/>
          <w:szCs w:val="22"/>
          <w:lang w:val="mk-MK"/>
        </w:rPr>
        <w:t>Institut</w:t>
      </w:r>
      <w:proofErr w:type="spellEnd"/>
      <w:r w:rsidRPr="195FF974">
        <w:rPr>
          <w:sz w:val="22"/>
          <w:szCs w:val="22"/>
          <w:lang w:val="mk-MK"/>
        </w:rPr>
        <w:t xml:space="preserve">, </w:t>
      </w:r>
      <w:proofErr w:type="spellStart"/>
      <w:r w:rsidRPr="195FF974">
        <w:rPr>
          <w:sz w:val="22"/>
          <w:szCs w:val="22"/>
          <w:lang w:val="mk-MK"/>
        </w:rPr>
        <w:t>Saarland</w:t>
      </w:r>
      <w:proofErr w:type="spellEnd"/>
      <w:r w:rsidRPr="195FF974">
        <w:rPr>
          <w:sz w:val="22"/>
          <w:szCs w:val="22"/>
          <w:lang w:val="mk-MK"/>
        </w:rPr>
        <w:t xml:space="preserve"> </w:t>
      </w:r>
      <w:proofErr w:type="spellStart"/>
      <w:r w:rsidRPr="195FF974">
        <w:rPr>
          <w:sz w:val="22"/>
          <w:szCs w:val="22"/>
          <w:lang w:val="mk-MK"/>
        </w:rPr>
        <w:t>University</w:t>
      </w:r>
      <w:proofErr w:type="spellEnd"/>
      <w:r w:rsidRPr="195FF974">
        <w:rPr>
          <w:sz w:val="22"/>
          <w:szCs w:val="22"/>
          <w:lang w:val="mk-MK"/>
        </w:rPr>
        <w:t xml:space="preserve">), Германија </w:t>
      </w:r>
      <w:r w:rsidRPr="195FF974">
        <w:rPr>
          <w:sz w:val="22"/>
          <w:szCs w:val="22"/>
        </w:rPr>
        <w:t xml:space="preserve"> </w:t>
      </w:r>
      <w:r w:rsidRPr="195FF974">
        <w:rPr>
          <w:sz w:val="22"/>
          <w:szCs w:val="22"/>
          <w:lang w:val="mk-MK"/>
        </w:rPr>
        <w:t xml:space="preserve">спроведуваат </w:t>
      </w:r>
      <w:r w:rsidRPr="195FF974">
        <w:rPr>
          <w:sz w:val="22"/>
          <w:szCs w:val="22"/>
        </w:rPr>
        <w:t xml:space="preserve">специјализирана </w:t>
      </w:r>
      <w:r w:rsidRPr="195FF974">
        <w:rPr>
          <w:sz w:val="22"/>
          <w:szCs w:val="22"/>
          <w:lang w:val="mk-MK"/>
        </w:rPr>
        <w:t>програма</w:t>
      </w:r>
      <w:r w:rsidRPr="195FF974">
        <w:rPr>
          <w:sz w:val="22"/>
          <w:szCs w:val="22"/>
        </w:rPr>
        <w:t xml:space="preserve"> за професионален развој во областа на алтернативното решавање спорови (</w:t>
      </w:r>
      <w:r w:rsidRPr="195FF974">
        <w:rPr>
          <w:sz w:val="22"/>
          <w:szCs w:val="22"/>
          <w:lang w:val="mk-MK"/>
        </w:rPr>
        <w:t>ADR</w:t>
      </w:r>
      <w:r w:rsidRPr="195FF974">
        <w:rPr>
          <w:sz w:val="22"/>
          <w:szCs w:val="22"/>
        </w:rPr>
        <w:t>)</w:t>
      </w:r>
      <w:r w:rsidRPr="195FF974">
        <w:rPr>
          <w:sz w:val="22"/>
          <w:szCs w:val="22"/>
          <w:lang w:val="mk-MK"/>
        </w:rPr>
        <w:t xml:space="preserve">, </w:t>
      </w:r>
      <w:r w:rsidRPr="195FF974">
        <w:rPr>
          <w:sz w:val="22"/>
          <w:szCs w:val="22"/>
        </w:rPr>
        <w:t>дизајниран</w:t>
      </w:r>
      <w:r w:rsidRPr="195FF974">
        <w:rPr>
          <w:sz w:val="22"/>
          <w:szCs w:val="22"/>
          <w:lang w:val="mk-MK"/>
        </w:rPr>
        <w:t>a</w:t>
      </w:r>
      <w:r w:rsidRPr="195FF974">
        <w:rPr>
          <w:sz w:val="22"/>
          <w:szCs w:val="22"/>
        </w:rPr>
        <w:t xml:space="preserve"> во рамките на проектот </w:t>
      </w:r>
      <w:r w:rsidRPr="195FF974">
        <w:rPr>
          <w:sz w:val="22"/>
          <w:szCs w:val="22"/>
          <w:lang w:val="mk-MK"/>
        </w:rPr>
        <w:t>„</w:t>
      </w:r>
      <w:proofErr w:type="spellStart"/>
      <w:r w:rsidRPr="195FF974">
        <w:rPr>
          <w:sz w:val="22"/>
          <w:szCs w:val="22"/>
        </w:rPr>
        <w:t>Promoting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Mechanism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for</w:t>
      </w:r>
      <w:proofErr w:type="spellEnd"/>
      <w:r w:rsidRPr="195FF974">
        <w:rPr>
          <w:sz w:val="22"/>
          <w:szCs w:val="22"/>
        </w:rPr>
        <w:t> </w:t>
      </w:r>
      <w:proofErr w:type="spellStart"/>
      <w:r w:rsidRPr="195FF974">
        <w:rPr>
          <w:sz w:val="22"/>
          <w:szCs w:val="22"/>
        </w:rPr>
        <w:t>Alternative</w:t>
      </w:r>
      <w:proofErr w:type="spellEnd"/>
      <w:r w:rsidRPr="195FF974">
        <w:rPr>
          <w:sz w:val="22"/>
          <w:szCs w:val="22"/>
        </w:rPr>
        <w:t> </w:t>
      </w:r>
      <w:proofErr w:type="spellStart"/>
      <w:r w:rsidRPr="195FF974">
        <w:rPr>
          <w:sz w:val="22"/>
          <w:szCs w:val="22"/>
        </w:rPr>
        <w:t>Dispute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Resolution</w:t>
      </w:r>
      <w:proofErr w:type="spellEnd"/>
      <w:r w:rsidRPr="195FF974">
        <w:rPr>
          <w:sz w:val="22"/>
          <w:szCs w:val="22"/>
        </w:rPr>
        <w:t> </w:t>
      </w:r>
      <w:proofErr w:type="spellStart"/>
      <w:r w:rsidRPr="195FF974">
        <w:rPr>
          <w:sz w:val="22"/>
          <w:szCs w:val="22"/>
        </w:rPr>
        <w:t>and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Mediation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in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North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Macedonia</w:t>
      </w:r>
      <w:proofErr w:type="spellEnd"/>
      <w:r w:rsidRPr="195FF974">
        <w:rPr>
          <w:sz w:val="22"/>
          <w:szCs w:val="22"/>
        </w:rPr>
        <w:t xml:space="preserve">: </w:t>
      </w:r>
      <w:proofErr w:type="spellStart"/>
      <w:r w:rsidRPr="195FF974">
        <w:rPr>
          <w:sz w:val="22"/>
          <w:szCs w:val="22"/>
        </w:rPr>
        <w:t>Invest</w:t>
      </w:r>
      <w:proofErr w:type="spellEnd"/>
      <w:r w:rsidRPr="195FF974">
        <w:rPr>
          <w:sz w:val="22"/>
          <w:szCs w:val="22"/>
        </w:rPr>
        <w:t xml:space="preserve"> </w:t>
      </w:r>
      <w:proofErr w:type="spellStart"/>
      <w:r w:rsidRPr="195FF974">
        <w:rPr>
          <w:sz w:val="22"/>
          <w:szCs w:val="22"/>
        </w:rPr>
        <w:t>in</w:t>
      </w:r>
      <w:proofErr w:type="spellEnd"/>
      <w:r w:rsidRPr="195FF974">
        <w:rPr>
          <w:sz w:val="22"/>
          <w:szCs w:val="22"/>
        </w:rPr>
        <w:t xml:space="preserve"> ADR</w:t>
      </w:r>
      <w:r w:rsidRPr="195FF974">
        <w:rPr>
          <w:sz w:val="22"/>
          <w:szCs w:val="22"/>
          <w:lang w:val="mk-MK"/>
        </w:rPr>
        <w:t>“, спроведен од двата универзитета со финансиска поддршка на германското Министерство за образование и наука .</w:t>
      </w:r>
    </w:p>
    <w:p w14:paraId="24CA94CA" w14:textId="4940D873" w:rsidR="00AA1B05" w:rsidRDefault="195FF974" w:rsidP="7E5337A6">
      <w:pPr>
        <w:pStyle w:val="whitespace-pre-wrap"/>
        <w:ind w:left="2340" w:hanging="2340"/>
        <w:jc w:val="both"/>
        <w:rPr>
          <w:sz w:val="22"/>
          <w:szCs w:val="22"/>
          <w:lang w:val="sr-Latn-RS"/>
        </w:rPr>
      </w:pPr>
      <w:r w:rsidRPr="195FF974">
        <w:rPr>
          <w:b/>
          <w:bCs/>
          <w:sz w:val="22"/>
          <w:szCs w:val="22"/>
          <w:lang w:val="mk-MK"/>
        </w:rPr>
        <w:t xml:space="preserve">Цел на програмата   </w:t>
      </w:r>
      <w:r w:rsidRPr="195FF974">
        <w:rPr>
          <w:sz w:val="22"/>
          <w:szCs w:val="22"/>
        </w:rPr>
        <w:t>Цел на програмата е овозможување на</w:t>
      </w:r>
      <w:r w:rsidRPr="195FF974">
        <w:rPr>
          <w:sz w:val="22"/>
          <w:szCs w:val="22"/>
          <w:lang w:val="mk-MK"/>
        </w:rPr>
        <w:t xml:space="preserve"> </w:t>
      </w:r>
      <w:r w:rsidRPr="195FF974">
        <w:rPr>
          <w:sz w:val="22"/>
          <w:szCs w:val="22"/>
        </w:rPr>
        <w:t xml:space="preserve">продлабочување </w:t>
      </w:r>
      <w:r w:rsidRPr="195FF974">
        <w:rPr>
          <w:sz w:val="22"/>
          <w:szCs w:val="22"/>
          <w:lang w:val="mk-MK"/>
        </w:rPr>
        <w:t>на знаењата</w:t>
      </w:r>
      <w:r w:rsidRPr="195FF974">
        <w:rPr>
          <w:sz w:val="22"/>
          <w:szCs w:val="22"/>
        </w:rPr>
        <w:t xml:space="preserve"> и </w:t>
      </w:r>
      <w:r w:rsidRPr="195FF974">
        <w:rPr>
          <w:sz w:val="22"/>
          <w:szCs w:val="22"/>
          <w:lang w:val="mk-MK"/>
        </w:rPr>
        <w:t xml:space="preserve">унапредување на </w:t>
      </w:r>
      <w:r w:rsidRPr="195FF974">
        <w:rPr>
          <w:sz w:val="22"/>
          <w:szCs w:val="22"/>
        </w:rPr>
        <w:t xml:space="preserve">вештините во областа на </w:t>
      </w:r>
      <w:r w:rsidRPr="195FF974">
        <w:rPr>
          <w:sz w:val="22"/>
          <w:szCs w:val="22"/>
          <w:lang w:val="mk-MK"/>
        </w:rPr>
        <w:t xml:space="preserve">трговската и инвестициската </w:t>
      </w:r>
      <w:r w:rsidRPr="195FF974">
        <w:rPr>
          <w:sz w:val="22"/>
          <w:szCs w:val="22"/>
        </w:rPr>
        <w:t>арбитража</w:t>
      </w:r>
      <w:r w:rsidRPr="195FF974">
        <w:rPr>
          <w:sz w:val="22"/>
          <w:szCs w:val="22"/>
          <w:lang w:val="mk-MK"/>
        </w:rPr>
        <w:t xml:space="preserve"> </w:t>
      </w:r>
      <w:r w:rsidRPr="195FF974">
        <w:rPr>
          <w:sz w:val="22"/>
          <w:szCs w:val="22"/>
        </w:rPr>
        <w:t xml:space="preserve">и другите механизми за </w:t>
      </w:r>
      <w:r w:rsidRPr="195FF974">
        <w:rPr>
          <w:sz w:val="22"/>
          <w:szCs w:val="22"/>
          <w:lang w:val="mk-MK"/>
        </w:rPr>
        <w:t>алтернативно решавање на споровите</w:t>
      </w:r>
      <w:r w:rsidRPr="195FF974">
        <w:rPr>
          <w:sz w:val="22"/>
          <w:szCs w:val="22"/>
        </w:rPr>
        <w:t>.</w:t>
      </w:r>
    </w:p>
    <w:p w14:paraId="5DC3BBB1" w14:textId="0A56F4CE" w:rsidR="00192A98" w:rsidRDefault="195FF974" w:rsidP="195FF974">
      <w:pPr>
        <w:pStyle w:val="whitespace-pre-wrap"/>
        <w:spacing w:before="0" w:beforeAutospacing="0" w:after="0" w:afterAutospacing="0"/>
        <w:ind w:left="2340" w:hanging="2340"/>
        <w:jc w:val="both"/>
        <w:rPr>
          <w:sz w:val="22"/>
          <w:szCs w:val="22"/>
          <w:lang w:val="mk-MK"/>
        </w:rPr>
      </w:pPr>
      <w:r w:rsidRPr="195FF974">
        <w:rPr>
          <w:b/>
          <w:bCs/>
          <w:sz w:val="22"/>
          <w:szCs w:val="22"/>
          <w:lang w:val="mk-MK"/>
        </w:rPr>
        <w:t xml:space="preserve">Целна група            </w:t>
      </w:r>
      <w:r w:rsidRPr="195FF974">
        <w:rPr>
          <w:sz w:val="22"/>
          <w:szCs w:val="22"/>
          <w:lang w:val="mk-MK"/>
        </w:rPr>
        <w:t>Програмата</w:t>
      </w:r>
      <w:r w:rsidRPr="195FF974">
        <w:rPr>
          <w:sz w:val="22"/>
          <w:szCs w:val="22"/>
        </w:rPr>
        <w:t xml:space="preserve"> е наменета за адвокати, </w:t>
      </w:r>
      <w:r w:rsidRPr="195FF974">
        <w:rPr>
          <w:sz w:val="22"/>
          <w:szCs w:val="22"/>
          <w:lang w:val="mk-MK"/>
        </w:rPr>
        <w:t>корпоративни</w:t>
      </w:r>
      <w:r w:rsidRPr="195FF974">
        <w:rPr>
          <w:sz w:val="22"/>
          <w:szCs w:val="22"/>
        </w:rPr>
        <w:t xml:space="preserve"> правни</w:t>
      </w:r>
      <w:proofErr w:type="spellStart"/>
      <w:r w:rsidRPr="195FF974">
        <w:rPr>
          <w:sz w:val="22"/>
          <w:szCs w:val="22"/>
          <w:lang w:val="mk-MK"/>
        </w:rPr>
        <w:t>ци</w:t>
      </w:r>
      <w:proofErr w:type="spellEnd"/>
      <w:r w:rsidRPr="195FF974">
        <w:rPr>
          <w:sz w:val="22"/>
          <w:szCs w:val="22"/>
          <w:lang w:val="mk-MK"/>
        </w:rPr>
        <w:t xml:space="preserve"> и останати </w:t>
      </w:r>
      <w:r w:rsidRPr="195FF974">
        <w:rPr>
          <w:sz w:val="22"/>
          <w:szCs w:val="22"/>
        </w:rPr>
        <w:t xml:space="preserve">практичари, медијатори, арбитри, владини претставници вклучени во инвестиции и арбитража, и други професионалци кои </w:t>
      </w:r>
      <w:r w:rsidRPr="195FF974">
        <w:rPr>
          <w:sz w:val="22"/>
          <w:szCs w:val="22"/>
          <w:lang w:val="mk-MK"/>
        </w:rPr>
        <w:t>имаат професионален интерес за алтернативното решавање спорови</w:t>
      </w:r>
      <w:r w:rsidRPr="195FF974">
        <w:rPr>
          <w:sz w:val="22"/>
          <w:szCs w:val="22"/>
        </w:rPr>
        <w:t xml:space="preserve">. </w:t>
      </w:r>
      <w:r w:rsidR="7E5337A6">
        <w:tab/>
      </w:r>
      <w:r w:rsidRPr="195FF974">
        <w:rPr>
          <w:sz w:val="22"/>
          <w:szCs w:val="22"/>
          <w:lang w:val="mk-MK"/>
        </w:rPr>
        <w:t xml:space="preserve">Право на учество имаат и </w:t>
      </w:r>
      <w:r w:rsidRPr="195FF974">
        <w:rPr>
          <w:sz w:val="22"/>
          <w:szCs w:val="22"/>
        </w:rPr>
        <w:t xml:space="preserve">студенти </w:t>
      </w:r>
      <w:r w:rsidRPr="195FF974">
        <w:rPr>
          <w:sz w:val="22"/>
          <w:szCs w:val="22"/>
          <w:lang w:val="mk-MK"/>
        </w:rPr>
        <w:t xml:space="preserve">на втор циклус правни студии. </w:t>
      </w:r>
    </w:p>
    <w:p w14:paraId="3E72A8F3" w14:textId="4437C250" w:rsidR="00AA1B05" w:rsidRPr="008127B5" w:rsidRDefault="195FF974" w:rsidP="7E5337A6">
      <w:pPr>
        <w:pStyle w:val="whitespace-pre-wrap"/>
        <w:ind w:left="2340" w:hanging="2340"/>
        <w:jc w:val="both"/>
        <w:rPr>
          <w:sz w:val="22"/>
          <w:szCs w:val="22"/>
          <w:lang w:val="mk-MK"/>
        </w:rPr>
      </w:pPr>
      <w:r w:rsidRPr="195FF974">
        <w:rPr>
          <w:b/>
          <w:bCs/>
          <w:sz w:val="22"/>
          <w:szCs w:val="22"/>
          <w:lang w:val="mk-MK"/>
        </w:rPr>
        <w:t>Содржина</w:t>
      </w:r>
      <w:r w:rsidR="7E5337A6">
        <w:tab/>
      </w:r>
      <w:r w:rsidRPr="195FF974">
        <w:rPr>
          <w:sz w:val="22"/>
          <w:szCs w:val="22"/>
        </w:rPr>
        <w:t xml:space="preserve">Содржината на програмата е поделена на 11 наставни тематски целини </w:t>
      </w:r>
      <w:r w:rsidRPr="195FF974">
        <w:rPr>
          <w:sz w:val="22"/>
          <w:szCs w:val="22"/>
          <w:lang w:val="mk-MK"/>
        </w:rPr>
        <w:t xml:space="preserve">(вкупно 60 наставни часа) </w:t>
      </w:r>
      <w:r w:rsidRPr="195FF974">
        <w:rPr>
          <w:sz w:val="22"/>
          <w:szCs w:val="22"/>
        </w:rPr>
        <w:t>кои ги покриваат клучните аспекти на механизмите за алтернативно</w:t>
      </w:r>
      <w:r w:rsidRPr="195FF974">
        <w:rPr>
          <w:sz w:val="22"/>
          <w:szCs w:val="22"/>
          <w:lang w:val="mk-MK"/>
        </w:rPr>
        <w:t xml:space="preserve"> решавање на споровите и вклучува воведно и длабинско запознавање со: </w:t>
      </w:r>
    </w:p>
    <w:p w14:paraId="56608F8A" w14:textId="20D50344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Преговорите и медијацијата како механизми за решавање на спорови</w:t>
      </w:r>
    </w:p>
    <w:p w14:paraId="0C66A35B" w14:textId="124C6BAD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Трговската арбитража</w:t>
      </w:r>
    </w:p>
    <w:p w14:paraId="20BFE771" w14:textId="32716CB4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Арбитражни спогодби</w:t>
      </w:r>
    </w:p>
    <w:p w14:paraId="121DC421" w14:textId="1666A8BB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 xml:space="preserve">Улогата на </w:t>
      </w:r>
      <w:proofErr w:type="spellStart"/>
      <w:r w:rsidRPr="7E5337A6">
        <w:rPr>
          <w:sz w:val="22"/>
          <w:szCs w:val="22"/>
          <w:lang w:val="mk-MK"/>
        </w:rPr>
        <w:t>арбитражните</w:t>
      </w:r>
      <w:proofErr w:type="spellEnd"/>
      <w:r w:rsidRPr="7E5337A6">
        <w:rPr>
          <w:sz w:val="22"/>
          <w:szCs w:val="22"/>
          <w:lang w:val="mk-MK"/>
        </w:rPr>
        <w:t xml:space="preserve"> трибунали</w:t>
      </w:r>
    </w:p>
    <w:p w14:paraId="22B8D079" w14:textId="52DE1B21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Текот на арбитражната постапка</w:t>
      </w:r>
    </w:p>
    <w:p w14:paraId="38BC4E59" w14:textId="1794E872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Инвестициската арбитража</w:t>
      </w:r>
    </w:p>
    <w:p w14:paraId="2F3D68E0" w14:textId="346D0228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Меѓународните договори за заштита на инвестициите и одредбите за решавање на инвестициските спорови</w:t>
      </w:r>
    </w:p>
    <w:p w14:paraId="25D70D48" w14:textId="7EB7CE07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Опфатот на заштита на инвеститорите во инвестициска арбитража</w:t>
      </w:r>
    </w:p>
    <w:p w14:paraId="169D96FD" w14:textId="0B1D3BF3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Заштитата и третманот на инвестициите</w:t>
      </w:r>
    </w:p>
    <w:p w14:paraId="2DB480B2" w14:textId="3BFE09C5" w:rsidR="7E5337A6" w:rsidRDefault="7E5337A6" w:rsidP="7E5337A6">
      <w:pPr>
        <w:pStyle w:val="whitespace-pre-wrap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lastRenderedPageBreak/>
        <w:t>Признавање и извршувањето на арбитражни одлуки</w:t>
      </w:r>
    </w:p>
    <w:p w14:paraId="470063AF" w14:textId="4885C7D7" w:rsidR="003F3159" w:rsidRPr="008127B5" w:rsidRDefault="008127B5" w:rsidP="7E5337A6">
      <w:pPr>
        <w:pStyle w:val="whitespace-pre-wrap"/>
        <w:ind w:left="2340"/>
        <w:jc w:val="both"/>
        <w:rPr>
          <w:sz w:val="22"/>
          <w:szCs w:val="22"/>
        </w:rPr>
      </w:pPr>
      <w:r w:rsidRPr="7E5337A6">
        <w:rPr>
          <w:sz w:val="22"/>
          <w:szCs w:val="22"/>
        </w:rPr>
        <w:t xml:space="preserve">Програмата ќе се изведува на македонски јазик и на англиски јазик. </w:t>
      </w:r>
    </w:p>
    <w:p w14:paraId="3D2CF7FC" w14:textId="6DC94C0B" w:rsidR="00AA1B05" w:rsidRDefault="7E5337A6" w:rsidP="7E5337A6">
      <w:pPr>
        <w:pStyle w:val="whitespace-pre-wrap"/>
        <w:ind w:left="2340" w:hanging="2340"/>
        <w:jc w:val="both"/>
        <w:rPr>
          <w:sz w:val="22"/>
          <w:szCs w:val="22"/>
          <w:lang w:val="mk-MK"/>
        </w:rPr>
      </w:pPr>
      <w:r w:rsidRPr="7E5337A6">
        <w:rPr>
          <w:b/>
          <w:bCs/>
          <w:sz w:val="22"/>
          <w:szCs w:val="22"/>
          <w:lang w:val="mk-MK"/>
        </w:rPr>
        <w:t>Предавачи</w:t>
      </w:r>
      <w:r w:rsidR="00192A98">
        <w:tab/>
      </w:r>
      <w:r w:rsidRPr="7E5337A6">
        <w:rPr>
          <w:sz w:val="22"/>
          <w:szCs w:val="22"/>
          <w:lang w:val="mk-MK"/>
        </w:rPr>
        <w:t xml:space="preserve">Програмата ќе ја спроведат домашни и меѓународни експерти и практичари од областа на алтернативното решавање на споровите. </w:t>
      </w:r>
    </w:p>
    <w:p w14:paraId="06EDF7D4" w14:textId="2C98EAEB" w:rsidR="00322141" w:rsidRPr="00C615B0" w:rsidRDefault="7E5337A6" w:rsidP="7E5337A6">
      <w:pPr>
        <w:pStyle w:val="whitespace-pre-wrap"/>
        <w:ind w:left="2340" w:hanging="2340"/>
        <w:jc w:val="both"/>
        <w:rPr>
          <w:sz w:val="22"/>
          <w:szCs w:val="22"/>
          <w:lang w:val="mk-MK"/>
        </w:rPr>
      </w:pPr>
      <w:r w:rsidRPr="7E5337A6">
        <w:rPr>
          <w:b/>
          <w:bCs/>
          <w:noProof/>
          <w:sz w:val="22"/>
          <w:szCs w:val="22"/>
          <w:lang w:val="mk-MK"/>
        </w:rPr>
        <w:t>Сертификат</w:t>
      </w:r>
      <w:r w:rsidR="00322141">
        <w:tab/>
      </w:r>
      <w:r w:rsidRPr="7E5337A6">
        <w:rPr>
          <w:sz w:val="22"/>
          <w:szCs w:val="22"/>
          <w:lang w:val="mk-MK"/>
        </w:rPr>
        <w:t xml:space="preserve">По полагање завршен испит, учесниците ќе добијат сертификат за учество Правниот факултет „Јустинијан Први“ – Скопје при </w:t>
      </w:r>
      <w:proofErr w:type="spellStart"/>
      <w:r w:rsidRPr="7E5337A6">
        <w:rPr>
          <w:sz w:val="22"/>
          <w:szCs w:val="22"/>
          <w:lang w:val="mk-MK"/>
        </w:rPr>
        <w:t>Универзиетот</w:t>
      </w:r>
      <w:proofErr w:type="spellEnd"/>
      <w:r w:rsidRPr="7E5337A6">
        <w:rPr>
          <w:sz w:val="22"/>
          <w:szCs w:val="22"/>
          <w:lang w:val="mk-MK"/>
        </w:rPr>
        <w:t xml:space="preserve"> „Св. Кирил и Методиј“ и Европа </w:t>
      </w:r>
      <w:proofErr w:type="spellStart"/>
      <w:r w:rsidRPr="7E5337A6">
        <w:rPr>
          <w:sz w:val="22"/>
          <w:szCs w:val="22"/>
          <w:lang w:val="mk-MK"/>
        </w:rPr>
        <w:t>Инстиут</w:t>
      </w:r>
      <w:proofErr w:type="spellEnd"/>
      <w:r w:rsidRPr="7E5337A6">
        <w:rPr>
          <w:sz w:val="22"/>
          <w:szCs w:val="22"/>
          <w:lang w:val="mk-MK"/>
        </w:rPr>
        <w:t xml:space="preserve">, </w:t>
      </w:r>
      <w:proofErr w:type="spellStart"/>
      <w:r w:rsidRPr="7E5337A6">
        <w:rPr>
          <w:sz w:val="22"/>
          <w:szCs w:val="22"/>
          <w:lang w:val="mk-MK"/>
        </w:rPr>
        <w:t>Универзиет</w:t>
      </w:r>
      <w:proofErr w:type="spellEnd"/>
      <w:r w:rsidRPr="7E5337A6">
        <w:rPr>
          <w:sz w:val="22"/>
          <w:szCs w:val="22"/>
          <w:lang w:val="mk-MK"/>
        </w:rPr>
        <w:t xml:space="preserve"> </w:t>
      </w:r>
      <w:proofErr w:type="spellStart"/>
      <w:r w:rsidRPr="7E5337A6">
        <w:rPr>
          <w:sz w:val="22"/>
          <w:szCs w:val="22"/>
          <w:lang w:val="mk-MK"/>
        </w:rPr>
        <w:t>Саарланд</w:t>
      </w:r>
      <w:proofErr w:type="spellEnd"/>
      <w:r w:rsidRPr="7E5337A6">
        <w:rPr>
          <w:sz w:val="22"/>
          <w:szCs w:val="22"/>
          <w:lang w:val="mk-MK"/>
        </w:rPr>
        <w:t xml:space="preserve">, Германија, </w:t>
      </w:r>
    </w:p>
    <w:p w14:paraId="11D8A71E" w14:textId="094AD3FD" w:rsidR="00192A98" w:rsidRDefault="7E5337A6" w:rsidP="7E5337A6">
      <w:pPr>
        <w:pStyle w:val="whitespace-pre-wrap"/>
        <w:ind w:left="2340" w:hanging="2340"/>
        <w:jc w:val="both"/>
        <w:rPr>
          <w:b/>
          <w:bCs/>
          <w:sz w:val="22"/>
          <w:szCs w:val="22"/>
          <w:lang w:val="mk-MK"/>
        </w:rPr>
      </w:pPr>
      <w:r w:rsidRPr="7E5337A6">
        <w:rPr>
          <w:b/>
          <w:bCs/>
          <w:sz w:val="22"/>
          <w:szCs w:val="22"/>
          <w:lang w:val="mk-MK"/>
        </w:rPr>
        <w:t xml:space="preserve">Време </w:t>
      </w:r>
      <w:r w:rsidR="00AA1B05">
        <w:tab/>
      </w:r>
      <w:r w:rsidRPr="7E5337A6">
        <w:rPr>
          <w:sz w:val="22"/>
          <w:szCs w:val="22"/>
          <w:lang w:val="mk-MK"/>
        </w:rPr>
        <w:t xml:space="preserve">Наставната програма ќе се спроведува  во периодот од февруари – април 2025 во попладневни часови во работни денови и во сабота. </w:t>
      </w:r>
    </w:p>
    <w:p w14:paraId="03514DF2" w14:textId="3802DEC4" w:rsidR="00AA1B05" w:rsidRPr="00322141" w:rsidRDefault="7E5337A6" w:rsidP="7E5337A6">
      <w:pPr>
        <w:pStyle w:val="whitespace-pre-wrap"/>
        <w:ind w:left="2340" w:hanging="2340"/>
        <w:jc w:val="both"/>
        <w:rPr>
          <w:sz w:val="22"/>
          <w:szCs w:val="22"/>
          <w:lang w:val="sr-Latn-RS"/>
        </w:rPr>
      </w:pPr>
      <w:r w:rsidRPr="7E5337A6">
        <w:rPr>
          <w:b/>
          <w:bCs/>
          <w:sz w:val="22"/>
          <w:szCs w:val="22"/>
          <w:lang w:val="mk-MK"/>
        </w:rPr>
        <w:t>Локација</w:t>
      </w:r>
      <w:r w:rsidR="00192A98">
        <w:tab/>
      </w:r>
      <w:r w:rsidRPr="7E5337A6">
        <w:rPr>
          <w:sz w:val="22"/>
          <w:szCs w:val="22"/>
          <w:lang w:val="mk-MK"/>
        </w:rPr>
        <w:t xml:space="preserve">Правен факултет „Јустинијан Први“ – Скопје и </w:t>
      </w:r>
      <w:proofErr w:type="spellStart"/>
      <w:r w:rsidRPr="7E5337A6">
        <w:rPr>
          <w:sz w:val="22"/>
          <w:szCs w:val="22"/>
          <w:lang w:val="sr-Latn-RS"/>
        </w:rPr>
        <w:t>Online</w:t>
      </w:r>
      <w:proofErr w:type="spellEnd"/>
      <w:r w:rsidRPr="7E5337A6">
        <w:rPr>
          <w:sz w:val="22"/>
          <w:szCs w:val="22"/>
          <w:lang w:val="sr-Latn-RS"/>
        </w:rPr>
        <w:t xml:space="preserve"> </w:t>
      </w:r>
      <w:r w:rsidRPr="7E5337A6">
        <w:rPr>
          <w:sz w:val="22"/>
          <w:szCs w:val="22"/>
          <w:lang w:val="mk-MK"/>
        </w:rPr>
        <w:t>преку платформата М</w:t>
      </w:r>
      <w:r w:rsidRPr="7E5337A6">
        <w:rPr>
          <w:sz w:val="22"/>
          <w:szCs w:val="22"/>
          <w:lang w:val="sr-Latn-RS"/>
        </w:rPr>
        <w:t xml:space="preserve">S </w:t>
      </w:r>
      <w:proofErr w:type="spellStart"/>
      <w:r w:rsidRPr="7E5337A6">
        <w:rPr>
          <w:sz w:val="22"/>
          <w:szCs w:val="22"/>
          <w:lang w:val="sr-Latn-RS"/>
        </w:rPr>
        <w:t>Teams</w:t>
      </w:r>
      <w:proofErr w:type="spellEnd"/>
      <w:r w:rsidRPr="7E5337A6">
        <w:rPr>
          <w:sz w:val="22"/>
          <w:szCs w:val="22"/>
          <w:lang w:val="sr-Latn-RS"/>
        </w:rPr>
        <w:t xml:space="preserve"> </w:t>
      </w:r>
    </w:p>
    <w:p w14:paraId="211BFD4C" w14:textId="66572FE1" w:rsidR="00C615B0" w:rsidRDefault="7E5337A6" w:rsidP="7E5337A6">
      <w:pPr>
        <w:pStyle w:val="whitespace-pre-wrap"/>
        <w:ind w:left="2340" w:hanging="2340"/>
        <w:jc w:val="both"/>
        <w:rPr>
          <w:sz w:val="22"/>
          <w:szCs w:val="22"/>
          <w:lang w:val="mk-MK"/>
        </w:rPr>
      </w:pPr>
      <w:r w:rsidRPr="7E5337A6">
        <w:rPr>
          <w:b/>
          <w:bCs/>
          <w:sz w:val="22"/>
          <w:szCs w:val="22"/>
          <w:lang w:val="mk-MK"/>
        </w:rPr>
        <w:t xml:space="preserve">Услови за учество </w:t>
      </w:r>
      <w:r w:rsidR="00C615B0">
        <w:tab/>
      </w:r>
      <w:r w:rsidRPr="7E5337A6">
        <w:rPr>
          <w:sz w:val="22"/>
          <w:szCs w:val="22"/>
          <w:lang w:val="mk-MK"/>
        </w:rPr>
        <w:t xml:space="preserve">Учесниците на специјализираната образовна програма треба да имаат: </w:t>
      </w:r>
    </w:p>
    <w:p w14:paraId="70BFCE42" w14:textId="2B456AB9" w:rsidR="00192A98" w:rsidRPr="00C615B0" w:rsidRDefault="7E5337A6" w:rsidP="7E5337A6">
      <w:pPr>
        <w:pStyle w:val="whitespace-pre-wrap"/>
        <w:numPr>
          <w:ilvl w:val="3"/>
          <w:numId w:val="4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 xml:space="preserve">Завршен прв циклус на студии (180 ЕКТС) односно четиригодишни додипломски студии, што се докажува со уверение и диплома </w:t>
      </w:r>
    </w:p>
    <w:p w14:paraId="489B1E20" w14:textId="321983FE" w:rsidR="00F94FF7" w:rsidRPr="00C615B0" w:rsidRDefault="7E5337A6" w:rsidP="7E5337A6">
      <w:pPr>
        <w:pStyle w:val="whitespace-pre-wrap"/>
        <w:numPr>
          <w:ilvl w:val="3"/>
          <w:numId w:val="4"/>
        </w:numPr>
        <w:jc w:val="both"/>
        <w:rPr>
          <w:sz w:val="22"/>
          <w:szCs w:val="22"/>
          <w:lang w:val="mk-MK"/>
        </w:rPr>
      </w:pPr>
      <w:r w:rsidRPr="7E5337A6">
        <w:rPr>
          <w:sz w:val="22"/>
          <w:szCs w:val="22"/>
          <w:lang w:val="mk-MK"/>
        </w:rPr>
        <w:t>Напредно познавање на англиски јазик.</w:t>
      </w:r>
    </w:p>
    <w:p w14:paraId="0E2BA63C" w14:textId="77777777" w:rsidR="00F94FF7" w:rsidRPr="00CA19E7" w:rsidRDefault="00F94FF7" w:rsidP="7E5337A6">
      <w:pPr>
        <w:ind w:left="2160" w:hanging="216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mk-MK"/>
        </w:rPr>
      </w:pPr>
    </w:p>
    <w:p w14:paraId="6F7C8CB9" w14:textId="59839D32" w:rsidR="00AA164D" w:rsidRPr="00322141" w:rsidRDefault="7E5337A6" w:rsidP="7E5337A6">
      <w:pPr>
        <w:ind w:left="2160" w:hanging="216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w:t>Надомест</w:t>
      </w:r>
      <w:r w:rsidR="00F47260">
        <w:tab/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За учество на програмата, учеснисите плаќаат надоместок од 600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евра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>(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</w:rPr>
        <w:t>редовна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</w:rPr>
        <w:t>цена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).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mk-MK"/>
        </w:rPr>
        <w:t>С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</w:rPr>
        <w:t xml:space="preserve">туденти и млади професионалци кои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mk-MK"/>
        </w:rPr>
        <w:t xml:space="preserve">сè уште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не го положиле правосудниот испит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mk-MK"/>
        </w:rPr>
        <w:t xml:space="preserve">плаќаат </w:t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300 евра (повластена цена). Надоместокот се плаќа при уписот на програмата. </w:t>
      </w:r>
    </w:p>
    <w:p w14:paraId="1DE27F75" w14:textId="77777777" w:rsidR="00AA164D" w:rsidRPr="00900521" w:rsidRDefault="00AA164D" w:rsidP="7E5337A6">
      <w:pPr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</w:pPr>
    </w:p>
    <w:p w14:paraId="62A875DC" w14:textId="77777777" w:rsidR="00AA1B05" w:rsidRDefault="00AA1B05" w:rsidP="7E5337A6">
      <w:pP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</w:p>
    <w:p w14:paraId="0D4C8BD0" w14:textId="19ABF653" w:rsidR="00AA164D" w:rsidRPr="00900521" w:rsidRDefault="7E5337A6" w:rsidP="7E5337A6">
      <w:pPr>
        <w:ind w:left="2160" w:hanging="2160"/>
        <w:jc w:val="both"/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  <w:t xml:space="preserve">Пријавување </w:t>
      </w:r>
      <w:r w:rsidR="00322141">
        <w:tab/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>Пријавата</w:t>
      </w: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w:t xml:space="preserve"> се </w:t>
      </w: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  <w:t>поднесува</w:t>
      </w: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  <w:t xml:space="preserve">со пополнување на </w:t>
      </w:r>
      <w:hyperlink r:id="rId8">
        <w:r w:rsidRPr="7E5337A6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 </w:t>
        </w:r>
        <w:r w:rsidRPr="7E5337A6">
          <w:rPr>
            <w:rStyle w:val="Hyperlink"/>
            <w:rFonts w:ascii="Times New Roman" w:eastAsia="Times New Roman" w:hAnsi="Times New Roman" w:cs="Times New Roman"/>
            <w:b/>
            <w:bCs/>
            <w:lang w:val="mk-MK"/>
          </w:rPr>
          <w:t>формуларот достапен на овој линк</w:t>
        </w:r>
        <w:r w:rsidRPr="7E5337A6">
          <w:rPr>
            <w:rStyle w:val="Hyperlink"/>
            <w:rFonts w:ascii="Times New Roman" w:eastAsia="Times New Roman" w:hAnsi="Times New Roman" w:cs="Times New Roman"/>
            <w:b/>
            <w:bCs/>
          </w:rPr>
          <w:t>.</w:t>
        </w:r>
      </w:hyperlink>
    </w:p>
    <w:p w14:paraId="5E4A29B6" w14:textId="77777777" w:rsidR="00AA164D" w:rsidRDefault="00AA164D" w:rsidP="7E5337A6">
      <w:pP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</w:p>
    <w:p w14:paraId="4875D764" w14:textId="7053811F" w:rsidR="00D85BAE" w:rsidRPr="00322141" w:rsidRDefault="7E5337A6" w:rsidP="7E5337A6">
      <w:pPr>
        <w:ind w:left="2160" w:hanging="216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ru-RU"/>
        </w:rPr>
        <w:t xml:space="preserve">Рокови </w:t>
      </w:r>
      <w:r w:rsidR="00322141">
        <w:tab/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>Краен рок за поднесување апликации е 20 јануари 2025 година. Избраните кандидати ќе бидат контактирани до  27 јануари 2025 година.</w:t>
      </w:r>
    </w:p>
    <w:p w14:paraId="02B23087" w14:textId="77777777" w:rsidR="004547CE" w:rsidRPr="004547CE" w:rsidRDefault="004547CE" w:rsidP="7E5337A6">
      <w:pP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</w:p>
    <w:p w14:paraId="0193FBEE" w14:textId="77777777" w:rsidR="00322141" w:rsidRDefault="00322141" w:rsidP="7E5337A6">
      <w:pP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</w:pPr>
    </w:p>
    <w:p w14:paraId="19121CCE" w14:textId="0FDFA535" w:rsidR="00D85BAE" w:rsidRPr="00322141" w:rsidRDefault="7E5337A6" w:rsidP="7E5337A6">
      <w:pPr>
        <w:ind w:left="2160" w:hanging="216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</w:pPr>
      <w:r w:rsidRPr="7E5337A6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mk-MK"/>
        </w:rPr>
        <w:t xml:space="preserve">Контакт </w:t>
      </w:r>
      <w:r w:rsidR="00322141">
        <w:tab/>
      </w:r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Раководител на програмата е проф. д-р Горан Коевски, а Вашите прашања можете да ги испратите на </w:t>
      </w:r>
      <w:hyperlink r:id="rId9">
        <w:r w:rsidRPr="7E5337A6">
          <w:rPr>
            <w:rFonts w:ascii="Times New Roman" w:eastAsia="Times New Roman" w:hAnsi="Times New Roman" w:cs="Times New Roman"/>
            <w:lang w:val="ru-RU"/>
          </w:rPr>
          <w:t>InvestInADRproject@pf.ukim.edu.mk</w:t>
        </w:r>
      </w:hyperlink>
      <w:r w:rsidRPr="7E5337A6"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t xml:space="preserve"> </w:t>
      </w:r>
    </w:p>
    <w:sectPr w:rsidR="00D85BAE" w:rsidRPr="003221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4A6D" w14:textId="77777777" w:rsidR="004F6505" w:rsidRDefault="004F6505" w:rsidP="0058291A">
      <w:r>
        <w:separator/>
      </w:r>
    </w:p>
  </w:endnote>
  <w:endnote w:type="continuationSeparator" w:id="0">
    <w:p w14:paraId="7032AD8C" w14:textId="77777777" w:rsidR="004F6505" w:rsidRDefault="004F6505" w:rsidP="0058291A">
      <w:r>
        <w:continuationSeparator/>
      </w:r>
    </w:p>
  </w:endnote>
  <w:endnote w:type="continuationNotice" w:id="1">
    <w:p w14:paraId="16011D6D" w14:textId="77777777" w:rsidR="004F6505" w:rsidRDefault="004F6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7B2B" w14:textId="77777777" w:rsidR="004F6505" w:rsidRDefault="004F6505" w:rsidP="0058291A">
      <w:r>
        <w:separator/>
      </w:r>
    </w:p>
  </w:footnote>
  <w:footnote w:type="continuationSeparator" w:id="0">
    <w:p w14:paraId="329F20D3" w14:textId="77777777" w:rsidR="004F6505" w:rsidRDefault="004F6505" w:rsidP="0058291A">
      <w:r>
        <w:continuationSeparator/>
      </w:r>
    </w:p>
  </w:footnote>
  <w:footnote w:type="continuationNotice" w:id="1">
    <w:p w14:paraId="29773BAF" w14:textId="77777777" w:rsidR="004F6505" w:rsidRDefault="004F6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1AE" w14:textId="7FEDDF71" w:rsidR="0058291A" w:rsidRDefault="0058291A" w:rsidP="0058291A">
    <w:pPr>
      <w:pStyle w:val="Header"/>
      <w:jc w:val="center"/>
    </w:pPr>
    <w:r>
      <w:rPr>
        <w:noProof/>
      </w:rPr>
      <w:drawing>
        <wp:inline distT="0" distB="0" distL="0" distR="0" wp14:anchorId="44269E2A" wp14:editId="1F70E6A1">
          <wp:extent cx="1151873" cy="844550"/>
          <wp:effectExtent l="0" t="0" r="0" b="0"/>
          <wp:docPr id="4" name="Picture 4" descr="A statue of a person holding a sword and sca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tatue of a person holding a sword and scal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244" cy="88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noProof/>
        <w14:ligatures w14:val="standardContextual"/>
      </w:rPr>
      <w:drawing>
        <wp:inline distT="0" distB="0" distL="0" distR="0" wp14:anchorId="4393E93F" wp14:editId="7283327C">
          <wp:extent cx="1351976" cy="743585"/>
          <wp:effectExtent l="0" t="0" r="635" b="0"/>
          <wp:docPr id="5" name="Picture 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04" cy="76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noProof/>
        <w14:ligatures w14:val="standardContextual"/>
      </w:rPr>
      <w:drawing>
        <wp:inline distT="0" distB="0" distL="0" distR="0" wp14:anchorId="63A1E451" wp14:editId="6F6AE67B">
          <wp:extent cx="1035050" cy="714460"/>
          <wp:effectExtent l="0" t="0" r="0" b="952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84" cy="79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146B6"/>
    <w:multiLevelType w:val="hybridMultilevel"/>
    <w:tmpl w:val="5C50BC48"/>
    <w:lvl w:ilvl="0" w:tplc="AA1458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B32F"/>
    <w:multiLevelType w:val="hybridMultilevel"/>
    <w:tmpl w:val="FFFFFFFF"/>
    <w:lvl w:ilvl="0" w:tplc="1A5E0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D0A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0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6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4E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C2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C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A0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B706"/>
    <w:multiLevelType w:val="hybridMultilevel"/>
    <w:tmpl w:val="FFFFFFFF"/>
    <w:lvl w:ilvl="0" w:tplc="F0E29A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8C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0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0E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8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8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F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4F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205E"/>
    <w:multiLevelType w:val="hybridMultilevel"/>
    <w:tmpl w:val="FFFFFFFF"/>
    <w:lvl w:ilvl="0" w:tplc="C02E2E7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2582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F64E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5BC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9162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F7566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BB6E43E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3C0C920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3AB1A4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398332247">
    <w:abstractNumId w:val="3"/>
  </w:num>
  <w:num w:numId="2" w16cid:durableId="1437678208">
    <w:abstractNumId w:val="1"/>
  </w:num>
  <w:num w:numId="3" w16cid:durableId="1828672181">
    <w:abstractNumId w:val="2"/>
  </w:num>
  <w:num w:numId="4" w16cid:durableId="115199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F7"/>
    <w:rsid w:val="0003086C"/>
    <w:rsid w:val="000C3719"/>
    <w:rsid w:val="00152985"/>
    <w:rsid w:val="001617CF"/>
    <w:rsid w:val="00192A98"/>
    <w:rsid w:val="001F5E8B"/>
    <w:rsid w:val="00201123"/>
    <w:rsid w:val="00214904"/>
    <w:rsid w:val="002D30E9"/>
    <w:rsid w:val="002F4B54"/>
    <w:rsid w:val="00322141"/>
    <w:rsid w:val="00333798"/>
    <w:rsid w:val="003A270B"/>
    <w:rsid w:val="003F3159"/>
    <w:rsid w:val="004547CE"/>
    <w:rsid w:val="00497D47"/>
    <w:rsid w:val="004D24B4"/>
    <w:rsid w:val="004F6505"/>
    <w:rsid w:val="00524456"/>
    <w:rsid w:val="00546206"/>
    <w:rsid w:val="005604A8"/>
    <w:rsid w:val="00580C3C"/>
    <w:rsid w:val="00582829"/>
    <w:rsid w:val="0058291A"/>
    <w:rsid w:val="00595385"/>
    <w:rsid w:val="005D4750"/>
    <w:rsid w:val="005F5B3D"/>
    <w:rsid w:val="00656A91"/>
    <w:rsid w:val="006E0676"/>
    <w:rsid w:val="006F7D0B"/>
    <w:rsid w:val="00710D21"/>
    <w:rsid w:val="007127C6"/>
    <w:rsid w:val="008127B5"/>
    <w:rsid w:val="008279BE"/>
    <w:rsid w:val="008E3B6B"/>
    <w:rsid w:val="008F4DFE"/>
    <w:rsid w:val="00900521"/>
    <w:rsid w:val="00930FF8"/>
    <w:rsid w:val="00937922"/>
    <w:rsid w:val="00962DCD"/>
    <w:rsid w:val="009C7739"/>
    <w:rsid w:val="009F72B2"/>
    <w:rsid w:val="00A91256"/>
    <w:rsid w:val="00AA1638"/>
    <w:rsid w:val="00AA164D"/>
    <w:rsid w:val="00AA1B05"/>
    <w:rsid w:val="00AB15E2"/>
    <w:rsid w:val="00B074A2"/>
    <w:rsid w:val="00B33D4F"/>
    <w:rsid w:val="00B4426B"/>
    <w:rsid w:val="00B66D73"/>
    <w:rsid w:val="00B70163"/>
    <w:rsid w:val="00C615B0"/>
    <w:rsid w:val="00C756EE"/>
    <w:rsid w:val="00CA0B0B"/>
    <w:rsid w:val="00CA19E7"/>
    <w:rsid w:val="00CB16C7"/>
    <w:rsid w:val="00CD56CA"/>
    <w:rsid w:val="00D06F82"/>
    <w:rsid w:val="00D85BAE"/>
    <w:rsid w:val="00D86CC5"/>
    <w:rsid w:val="00DF7152"/>
    <w:rsid w:val="00E30C2A"/>
    <w:rsid w:val="00E7037A"/>
    <w:rsid w:val="00EA6D38"/>
    <w:rsid w:val="00ED1395"/>
    <w:rsid w:val="00F47260"/>
    <w:rsid w:val="00F627C7"/>
    <w:rsid w:val="00F94FF7"/>
    <w:rsid w:val="00FB6E9E"/>
    <w:rsid w:val="195FF974"/>
    <w:rsid w:val="2E822AEB"/>
    <w:rsid w:val="53ED3C2B"/>
    <w:rsid w:val="58682D48"/>
    <w:rsid w:val="6E99DB19"/>
    <w:rsid w:val="7E5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0A6A8"/>
  <w15:docId w15:val="{546F427E-B87F-4C3F-BB99-84EC51C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F7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F7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rsid w:val="00F94F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A19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A19E7"/>
    <w:rPr>
      <w:b/>
      <w:bCs/>
    </w:rPr>
  </w:style>
  <w:style w:type="paragraph" w:styleId="ListParagraph">
    <w:name w:val="List Paragraph"/>
    <w:basedOn w:val="Normal"/>
    <w:uiPriority w:val="34"/>
    <w:qFormat/>
    <w:rsid w:val="00CB1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9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9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16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52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B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A1B05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LrsRxg96E87XRy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nADRproject@pf.ukim.edu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1E9227-CFBB-6B4B-8E65-ADF4EA38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Tokarev</dc:creator>
  <cp:keywords/>
  <cp:lastModifiedBy>Karanović &amp; Partners</cp:lastModifiedBy>
  <cp:revision>5</cp:revision>
  <dcterms:created xsi:type="dcterms:W3CDTF">2024-12-16T16:43:00Z</dcterms:created>
  <dcterms:modified xsi:type="dcterms:W3CDTF">2024-12-17T10:40:00Z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1f75f2c64ae5ae7c735270a495b1d86845698f966f636cb479afbcf0a586b499</vt:lpwstr>
  </property>
</Properties>
</file>