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F962361" w14:textId="77777777" w:rsidR="00ED2B59" w:rsidRPr="00F53881" w:rsidRDefault="00ED2B59" w:rsidP="00ED2B59">
      <w:pPr>
        <w:pStyle w:val="BodyText"/>
        <w:rPr>
          <w:lang w:val="en-US"/>
        </w:rPr>
      </w:pPr>
      <w:r w:rsidRPr="00F53881">
        <w:rPr>
          <w:noProof/>
          <w:sz w:val="32"/>
          <w:szCs w:val="32"/>
        </w:rPr>
        <w:drawing>
          <wp:anchor distT="0" distB="0" distL="0" distR="0" simplePos="0" relativeHeight="251658241" behindDoc="0" locked="0" layoutInCell="1" allowOverlap="1" wp14:anchorId="20D50554" wp14:editId="273A2901">
            <wp:simplePos x="0" y="0"/>
            <wp:positionH relativeFrom="page">
              <wp:posOffset>6130290</wp:posOffset>
            </wp:positionH>
            <wp:positionV relativeFrom="paragraph">
              <wp:posOffset>-635</wp:posOffset>
            </wp:positionV>
            <wp:extent cx="1195704" cy="1148079"/>
            <wp:effectExtent l="0" t="0" r="0" b="0"/>
            <wp:wrapNone/>
            <wp:docPr id="3" name="image2.jpeg" descr="Правниот факултет “Јустинијан Први” во финалето на меѓународниот натпревар  по деловно право Big Deal | Правдико"/>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image2.jpeg"/>
                    <pic:cNvPicPr/>
                  </pic:nvPicPr>
                  <pic:blipFill>
                    <a:blip r:embed="rId8" cstate="print"/>
                    <a:stretch>
                      <a:fillRect/>
                    </a:stretch>
                  </pic:blipFill>
                  <pic:spPr>
                    <a:xfrm>
                      <a:off x="0" y="0"/>
                      <a:ext cx="1195704" cy="1148079"/>
                    </a:xfrm>
                    <a:prstGeom prst="rect">
                      <a:avLst/>
                    </a:prstGeom>
                  </pic:spPr>
                </pic:pic>
              </a:graphicData>
            </a:graphic>
          </wp:anchor>
        </w:drawing>
      </w:r>
      <w:r w:rsidRPr="00F53881">
        <w:rPr>
          <w:noProof/>
          <w:sz w:val="32"/>
          <w:szCs w:val="32"/>
        </w:rPr>
        <w:drawing>
          <wp:anchor distT="0" distB="0" distL="0" distR="0" simplePos="0" relativeHeight="251658240" behindDoc="0" locked="0" layoutInCell="1" allowOverlap="1" wp14:anchorId="7D43DBC2" wp14:editId="2F529DDC">
            <wp:simplePos x="0" y="0"/>
            <wp:positionH relativeFrom="page">
              <wp:posOffset>635000</wp:posOffset>
            </wp:positionH>
            <wp:positionV relativeFrom="paragraph">
              <wp:posOffset>-3175</wp:posOffset>
            </wp:positionV>
            <wp:extent cx="1066800" cy="1187450"/>
            <wp:effectExtent l="0" t="0" r="0" b="0"/>
            <wp:wrapNone/>
            <wp:docPr id="1" name="image1.png" descr="A picture containing text  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age1.png"/>
                    <pic:cNvPicPr/>
                  </pic:nvPicPr>
                  <pic:blipFill>
                    <a:blip r:embed="rId9" cstate="print"/>
                    <a:stretch>
                      <a:fillRect/>
                    </a:stretch>
                  </pic:blipFill>
                  <pic:spPr>
                    <a:xfrm>
                      <a:off x="0" y="0"/>
                      <a:ext cx="1066800" cy="1187450"/>
                    </a:xfrm>
                    <a:prstGeom prst="rect">
                      <a:avLst/>
                    </a:prstGeom>
                  </pic:spPr>
                </pic:pic>
              </a:graphicData>
            </a:graphic>
          </wp:anchor>
        </w:drawing>
      </w:r>
    </w:p>
    <w:p w14:paraId="7DD80791" w14:textId="77777777" w:rsidR="00ED2B59" w:rsidRPr="00F53881" w:rsidRDefault="00ED2B59" w:rsidP="00ED2B59">
      <w:pPr>
        <w:pStyle w:val="BodyText"/>
        <w:ind w:left="990" w:right="470" w:firstLine="450"/>
        <w:rPr>
          <w:b/>
          <w:bCs/>
          <w:sz w:val="32"/>
          <w:szCs w:val="32"/>
          <w:lang w:val="mk-MK"/>
        </w:rPr>
      </w:pPr>
      <w:r w:rsidRPr="00F53881">
        <w:rPr>
          <w:b/>
          <w:bCs/>
          <w:sz w:val="32"/>
          <w:szCs w:val="32"/>
        </w:rPr>
        <w:t>УНИВЕРЗИТЕТ „СВ. КИРИЛ И МЕТО</w:t>
      </w:r>
      <w:r w:rsidRPr="00F53881">
        <w:rPr>
          <w:b/>
          <w:bCs/>
          <w:sz w:val="32"/>
          <w:szCs w:val="32"/>
          <w:lang w:val="mk-MK"/>
        </w:rPr>
        <w:t>ДИЈ</w:t>
      </w:r>
      <w:r w:rsidRPr="00F53881">
        <w:rPr>
          <w:b/>
          <w:bCs/>
          <w:sz w:val="32"/>
          <w:szCs w:val="32"/>
        </w:rPr>
        <w:t xml:space="preserve">” </w:t>
      </w:r>
    </w:p>
    <w:p w14:paraId="63A742E1" w14:textId="77777777" w:rsidR="00ED2B59" w:rsidRPr="00F53881" w:rsidRDefault="00ED2B59" w:rsidP="00ED2B59">
      <w:pPr>
        <w:pStyle w:val="BodyText"/>
        <w:spacing w:before="240"/>
        <w:ind w:left="720" w:right="1100" w:firstLine="720"/>
        <w:rPr>
          <w:b/>
          <w:bCs/>
          <w:sz w:val="28"/>
          <w:szCs w:val="28"/>
        </w:rPr>
      </w:pPr>
      <w:r w:rsidRPr="00F53881">
        <w:rPr>
          <w:b/>
          <w:bCs/>
          <w:sz w:val="28"/>
          <w:szCs w:val="28"/>
          <w:lang w:val="mk-MK"/>
        </w:rPr>
        <w:t xml:space="preserve">   </w:t>
      </w:r>
      <w:r w:rsidRPr="00F53881">
        <w:rPr>
          <w:b/>
          <w:bCs/>
          <w:sz w:val="28"/>
          <w:szCs w:val="28"/>
        </w:rPr>
        <w:t>ПРАВЕН</w:t>
      </w:r>
      <w:r w:rsidRPr="00F53881">
        <w:rPr>
          <w:b/>
          <w:bCs/>
          <w:spacing w:val="-1"/>
          <w:sz w:val="28"/>
          <w:szCs w:val="28"/>
        </w:rPr>
        <w:t xml:space="preserve"> </w:t>
      </w:r>
      <w:r w:rsidRPr="00F53881">
        <w:rPr>
          <w:b/>
          <w:bCs/>
          <w:sz w:val="28"/>
          <w:szCs w:val="28"/>
        </w:rPr>
        <w:t>ФАКУЛТЕТ</w:t>
      </w:r>
      <w:r w:rsidRPr="00F53881">
        <w:rPr>
          <w:b/>
          <w:bCs/>
          <w:spacing w:val="-1"/>
          <w:sz w:val="28"/>
          <w:szCs w:val="28"/>
        </w:rPr>
        <w:t xml:space="preserve"> </w:t>
      </w:r>
      <w:r w:rsidRPr="00F53881">
        <w:rPr>
          <w:b/>
          <w:bCs/>
          <w:sz w:val="28"/>
          <w:szCs w:val="28"/>
        </w:rPr>
        <w:t>„ЈУСТИНИЈАН</w:t>
      </w:r>
      <w:r w:rsidRPr="00F53881">
        <w:rPr>
          <w:b/>
          <w:bCs/>
          <w:spacing w:val="-1"/>
          <w:sz w:val="28"/>
          <w:szCs w:val="28"/>
        </w:rPr>
        <w:t xml:space="preserve"> </w:t>
      </w:r>
      <w:r w:rsidRPr="00F53881">
        <w:rPr>
          <w:b/>
          <w:bCs/>
          <w:sz w:val="28"/>
          <w:szCs w:val="28"/>
        </w:rPr>
        <w:t>ПРВИ”</w:t>
      </w:r>
    </w:p>
    <w:p w14:paraId="22BD9FA9" w14:textId="77777777" w:rsidR="00ED2B59" w:rsidRPr="00F53881" w:rsidRDefault="00ED2B59" w:rsidP="00ED2B59">
      <w:pPr>
        <w:pStyle w:val="BodyText"/>
      </w:pPr>
    </w:p>
    <w:p w14:paraId="5FA2DBC7" w14:textId="77777777" w:rsidR="00ED2B59" w:rsidRPr="00F53881" w:rsidRDefault="00ED2B59" w:rsidP="00ED2B59">
      <w:pPr>
        <w:pStyle w:val="BodyText"/>
      </w:pPr>
    </w:p>
    <w:p w14:paraId="05D642C7" w14:textId="77777777" w:rsidR="00ED2B59" w:rsidRPr="00F53881" w:rsidRDefault="00ED2B59" w:rsidP="00ED2B59">
      <w:pPr>
        <w:pStyle w:val="BodyText"/>
      </w:pPr>
    </w:p>
    <w:p w14:paraId="07CC8BD6" w14:textId="77777777" w:rsidR="00ED2B59" w:rsidRPr="00F53881" w:rsidRDefault="00ED2B59" w:rsidP="00ED2B59">
      <w:pPr>
        <w:pStyle w:val="BodyText"/>
      </w:pPr>
    </w:p>
    <w:p w14:paraId="4D1D456B" w14:textId="77777777" w:rsidR="00ED2B59" w:rsidRPr="00F53881" w:rsidRDefault="00ED2B59" w:rsidP="00ED2B59">
      <w:pPr>
        <w:pStyle w:val="BodyText"/>
        <w:rPr>
          <w:lang w:val="en-US"/>
        </w:rPr>
      </w:pPr>
    </w:p>
    <w:p w14:paraId="76FCE7F1"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5F5B1317"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43F85403"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28BBDE31"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4A47D53E"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40CC8463" w14:textId="3C1A75FA" w:rsidR="00ED2B59" w:rsidRPr="00F53881" w:rsidRDefault="00ED2B59" w:rsidP="00ED2B59">
      <w:pPr>
        <w:pBdr>
          <w:top w:val="nil"/>
          <w:left w:val="nil"/>
          <w:bottom w:val="nil"/>
          <w:right w:val="nil"/>
          <w:between w:val="nil"/>
          <w:bar w:val="nil"/>
        </w:pBdr>
        <w:ind w:left="2160"/>
        <w:rPr>
          <w:rFonts w:eastAsia="Arial Unicode MS"/>
          <w:smallCaps/>
          <w:color w:val="000000"/>
          <w:sz w:val="28"/>
          <w:szCs w:val="28"/>
          <w:u w:color="000000"/>
          <w:bdr w:val="nil"/>
          <w:lang w:val="mk-MK"/>
        </w:rPr>
      </w:pPr>
      <w:r w:rsidRPr="00F53881">
        <w:rPr>
          <w:rFonts w:eastAsia="Arial Unicode MS"/>
          <w:b/>
          <w:bCs/>
          <w:smallCaps/>
          <w:color w:val="000000"/>
          <w:sz w:val="24"/>
          <w:szCs w:val="24"/>
          <w:u w:color="000000"/>
          <w:bdr w:val="nil"/>
          <w:lang w:val="mk-MK"/>
        </w:rPr>
        <w:t xml:space="preserve">        </w:t>
      </w:r>
      <w:r w:rsidR="00867798" w:rsidRPr="00867798">
        <w:rPr>
          <w:rFonts w:eastAsia="Arial Unicode MS"/>
          <w:smallCaps/>
          <w:color w:val="000000"/>
          <w:sz w:val="24"/>
          <w:szCs w:val="24"/>
          <w:u w:color="000000"/>
          <w:bdr w:val="nil"/>
          <w:lang w:val="mk-MK"/>
        </w:rPr>
        <w:t>М-р</w:t>
      </w:r>
      <w:r w:rsidR="00867798">
        <w:rPr>
          <w:rFonts w:eastAsia="Arial Unicode MS"/>
          <w:smallCaps/>
          <w:color w:val="000000"/>
          <w:sz w:val="24"/>
          <w:szCs w:val="24"/>
          <w:u w:color="000000"/>
          <w:bdr w:val="nil"/>
          <w:lang w:val="mk-MK"/>
        </w:rPr>
        <w:t>.</w:t>
      </w:r>
      <w:r w:rsidR="00867798">
        <w:rPr>
          <w:rFonts w:eastAsia="Arial Unicode MS"/>
          <w:b/>
          <w:bCs/>
          <w:smallCaps/>
          <w:color w:val="000000"/>
          <w:sz w:val="24"/>
          <w:szCs w:val="24"/>
          <w:u w:color="000000"/>
          <w:bdr w:val="nil"/>
          <w:lang w:val="mk-MK"/>
        </w:rPr>
        <w:t xml:space="preserve"> </w:t>
      </w:r>
      <w:r w:rsidRPr="00F53881">
        <w:rPr>
          <w:rFonts w:eastAsia="Arial Unicode MS"/>
          <w:smallCaps/>
          <w:color w:val="000000"/>
          <w:sz w:val="28"/>
          <w:szCs w:val="28"/>
          <w:u w:color="000000"/>
          <w:bdr w:val="nil"/>
          <w:lang w:val="mk-MK"/>
        </w:rPr>
        <w:t>Вилдан Мурадиф Дрпљанин</w:t>
      </w:r>
    </w:p>
    <w:p w14:paraId="00FFB424" w14:textId="77777777" w:rsidR="00ED2B59" w:rsidRPr="00F53881" w:rsidRDefault="00ED2B59" w:rsidP="00ED2B59">
      <w:pPr>
        <w:pBdr>
          <w:top w:val="nil"/>
          <w:left w:val="nil"/>
          <w:bottom w:val="nil"/>
          <w:right w:val="nil"/>
          <w:between w:val="nil"/>
          <w:bar w:val="nil"/>
        </w:pBdr>
        <w:jc w:val="center"/>
        <w:rPr>
          <w:rFonts w:eastAsia="Arial Unicode MS"/>
          <w:color w:val="000000"/>
          <w:sz w:val="24"/>
          <w:szCs w:val="24"/>
          <w:u w:color="000000"/>
          <w:bdr w:val="nil"/>
          <w:lang w:val="mk-MK"/>
        </w:rPr>
      </w:pPr>
    </w:p>
    <w:p w14:paraId="6CAE8B50"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7F236BC7"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0CEAB672"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2365DE5A"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160FD93F"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25A888AD" w14:textId="77777777" w:rsidR="00DB6B16" w:rsidRPr="001270B8" w:rsidRDefault="00F432C5" w:rsidP="00ED2B59">
      <w:pPr>
        <w:pBdr>
          <w:top w:val="nil"/>
          <w:left w:val="nil"/>
          <w:bottom w:val="nil"/>
          <w:right w:val="nil"/>
          <w:between w:val="nil"/>
          <w:bar w:val="nil"/>
        </w:pBdr>
        <w:ind w:left="-990" w:right="-970"/>
        <w:jc w:val="center"/>
        <w:rPr>
          <w:rFonts w:eastAsia="Arial Unicode MS"/>
          <w:b/>
          <w:bCs/>
          <w:color w:val="000000"/>
          <w:sz w:val="27"/>
          <w:szCs w:val="27"/>
          <w:u w:color="000000"/>
          <w:bdr w:val="nil"/>
          <w:lang w:val="en-US"/>
        </w:rPr>
      </w:pPr>
      <w:r w:rsidRPr="001270B8">
        <w:rPr>
          <w:rFonts w:eastAsia="Arial Unicode MS"/>
          <w:b/>
          <w:bCs/>
          <w:color w:val="000000"/>
          <w:sz w:val="27"/>
          <w:szCs w:val="27"/>
          <w:u w:color="000000"/>
          <w:bdr w:val="nil"/>
          <w:lang w:val="mk-MK"/>
        </w:rPr>
        <w:t xml:space="preserve">МОДЕЛИ ПРЕКУ КОИ ТРГОВСКИТЕ ДРУШТВА </w:t>
      </w:r>
    </w:p>
    <w:p w14:paraId="790E025A" w14:textId="0B17A884" w:rsidR="00ED2B59" w:rsidRPr="001270B8" w:rsidRDefault="00F432C5" w:rsidP="00ED2B59">
      <w:pPr>
        <w:pBdr>
          <w:top w:val="nil"/>
          <w:left w:val="nil"/>
          <w:bottom w:val="nil"/>
          <w:right w:val="nil"/>
          <w:between w:val="nil"/>
          <w:bar w:val="nil"/>
        </w:pBdr>
        <w:ind w:left="-990" w:right="-970"/>
        <w:jc w:val="center"/>
        <w:rPr>
          <w:rFonts w:eastAsia="Arial Unicode MS"/>
          <w:b/>
          <w:bCs/>
          <w:color w:val="000000"/>
          <w:sz w:val="27"/>
          <w:szCs w:val="27"/>
          <w:u w:color="000000"/>
          <w:bdr w:val="nil"/>
          <w:lang w:val="en-US"/>
        </w:rPr>
      </w:pPr>
      <w:r w:rsidRPr="001270B8">
        <w:rPr>
          <w:rFonts w:eastAsia="Arial Unicode MS"/>
          <w:b/>
          <w:bCs/>
          <w:color w:val="000000"/>
          <w:sz w:val="27"/>
          <w:szCs w:val="27"/>
          <w:u w:color="000000"/>
          <w:bdr w:val="nil"/>
          <w:lang w:val="mk-MK"/>
        </w:rPr>
        <w:t>ОВОЗМОЖУВААТ ВКЛУЧЕНОСТ НА ВРАБОТЕНИТЕ</w:t>
      </w:r>
    </w:p>
    <w:p w14:paraId="297D26F1" w14:textId="2FF100D1" w:rsidR="00ED2B59" w:rsidRPr="001270B8" w:rsidRDefault="00F432C5" w:rsidP="00ED2B59">
      <w:pPr>
        <w:pBdr>
          <w:top w:val="nil"/>
          <w:left w:val="nil"/>
          <w:bottom w:val="nil"/>
          <w:right w:val="nil"/>
          <w:between w:val="nil"/>
          <w:bar w:val="nil"/>
        </w:pBdr>
        <w:ind w:left="-360" w:right="-970"/>
        <w:jc w:val="center"/>
        <w:rPr>
          <w:rFonts w:eastAsia="Arial Unicode MS"/>
          <w:b/>
          <w:bCs/>
          <w:color w:val="000000"/>
          <w:sz w:val="27"/>
          <w:szCs w:val="27"/>
          <w:u w:color="000000"/>
          <w:bdr w:val="nil"/>
          <w:lang w:val="mk-MK"/>
        </w:rPr>
      </w:pPr>
      <w:r w:rsidRPr="001270B8">
        <w:rPr>
          <w:rFonts w:eastAsia="Calibri"/>
          <w:b/>
          <w:bCs/>
          <w:sz w:val="27"/>
          <w:szCs w:val="27"/>
          <w:lang w:val="mk-MK"/>
        </w:rPr>
        <w:t xml:space="preserve">– </w:t>
      </w:r>
      <w:r w:rsidRPr="001270B8">
        <w:rPr>
          <w:rFonts w:eastAsia="Arial Unicode MS"/>
          <w:b/>
          <w:bCs/>
          <w:color w:val="000000"/>
          <w:sz w:val="27"/>
          <w:szCs w:val="27"/>
          <w:u w:color="000000"/>
          <w:bdr w:val="nil"/>
          <w:lang w:val="mk-MK"/>
        </w:rPr>
        <w:t>УЧЕСТВО ВО ОРГАНИТЕ НА ДРУШТВОТО И РАСПРЕДЕЛБА НА АКЦИИ</w:t>
      </w:r>
      <w:r w:rsidRPr="001270B8">
        <w:rPr>
          <w:rFonts w:eastAsia="Calibri"/>
          <w:b/>
          <w:bCs/>
          <w:sz w:val="27"/>
          <w:szCs w:val="27"/>
          <w:lang w:val="mk-MK"/>
        </w:rPr>
        <w:t xml:space="preserve"> – </w:t>
      </w:r>
    </w:p>
    <w:p w14:paraId="414BA2EC"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0DB61A7E"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1E2316B0"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432A1948"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4118B39A"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6BAEE99E"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304547F6"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6CE6820E" w14:textId="77777777" w:rsidR="00ED2B59" w:rsidRPr="00F53881" w:rsidRDefault="00ED2B59" w:rsidP="00ED2B59">
      <w:pPr>
        <w:pBdr>
          <w:top w:val="nil"/>
          <w:left w:val="nil"/>
          <w:bottom w:val="nil"/>
          <w:right w:val="nil"/>
          <w:between w:val="nil"/>
          <w:bar w:val="nil"/>
        </w:pBdr>
        <w:jc w:val="center"/>
        <w:rPr>
          <w:rFonts w:eastAsia="Arial Unicode MS"/>
          <w:smallCaps/>
          <w:color w:val="000000"/>
          <w:sz w:val="28"/>
          <w:szCs w:val="28"/>
          <w:u w:color="000000"/>
          <w:bdr w:val="nil"/>
          <w:lang w:val="mk-MK"/>
        </w:rPr>
      </w:pPr>
      <w:r w:rsidRPr="00F53881">
        <w:rPr>
          <w:rFonts w:eastAsia="Arial Unicode MS"/>
          <w:smallCaps/>
          <w:color w:val="000000"/>
          <w:sz w:val="28"/>
          <w:szCs w:val="28"/>
          <w:u w:color="000000"/>
          <w:bdr w:val="nil"/>
        </w:rPr>
        <w:t>Бр</w:t>
      </w:r>
      <w:r w:rsidRPr="00F53881">
        <w:rPr>
          <w:rFonts w:eastAsia="Arial Unicode MS"/>
          <w:smallCaps/>
          <w:color w:val="000000"/>
          <w:sz w:val="28"/>
          <w:szCs w:val="28"/>
          <w:u w:color="000000"/>
          <w:bdr w:val="nil"/>
          <w:lang w:val="mk-MK"/>
        </w:rPr>
        <w:t xml:space="preserve">ој </w:t>
      </w:r>
      <w:r w:rsidRPr="00F53881">
        <w:rPr>
          <w:rFonts w:eastAsia="Arial Unicode MS"/>
          <w:smallCaps/>
          <w:color w:val="000000"/>
          <w:sz w:val="28"/>
          <w:szCs w:val="28"/>
          <w:u w:color="000000"/>
          <w:bdr w:val="nil"/>
        </w:rPr>
        <w:t>на</w:t>
      </w:r>
      <w:r w:rsidRPr="00F53881">
        <w:rPr>
          <w:rFonts w:eastAsia="Arial Unicode MS"/>
          <w:smallCaps/>
          <w:color w:val="000000"/>
          <w:sz w:val="28"/>
          <w:szCs w:val="28"/>
          <w:u w:color="000000"/>
          <w:bdr w:val="nil"/>
          <w:lang w:val="mk-MK"/>
        </w:rPr>
        <w:t xml:space="preserve"> студентско досие</w:t>
      </w:r>
      <w:r w:rsidRPr="00F53881">
        <w:rPr>
          <w:rFonts w:eastAsia="Arial Unicode MS"/>
          <w:smallCaps/>
          <w:color w:val="000000"/>
          <w:sz w:val="28"/>
          <w:szCs w:val="28"/>
          <w:u w:color="000000"/>
          <w:bdr w:val="nil"/>
        </w:rPr>
        <w:t>: 100/</w:t>
      </w:r>
      <w:r w:rsidRPr="00F53881">
        <w:rPr>
          <w:rFonts w:eastAsia="Arial Unicode MS"/>
          <w:smallCaps/>
          <w:color w:val="000000"/>
          <w:sz w:val="28"/>
          <w:szCs w:val="28"/>
          <w:u w:color="000000"/>
          <w:bdr w:val="nil"/>
          <w:lang w:val="mk-MK"/>
        </w:rPr>
        <w:t>205</w:t>
      </w:r>
    </w:p>
    <w:p w14:paraId="62183D2F" w14:textId="77777777" w:rsidR="00ED2B59" w:rsidRPr="00F53881" w:rsidRDefault="00ED2B59" w:rsidP="00ED2B59">
      <w:pPr>
        <w:pBdr>
          <w:top w:val="nil"/>
          <w:left w:val="nil"/>
          <w:bottom w:val="nil"/>
          <w:right w:val="nil"/>
          <w:between w:val="nil"/>
          <w:bar w:val="nil"/>
        </w:pBdr>
        <w:jc w:val="center"/>
        <w:rPr>
          <w:rFonts w:eastAsia="Arial Unicode MS"/>
          <w:smallCaps/>
          <w:color w:val="000000"/>
          <w:sz w:val="28"/>
          <w:szCs w:val="28"/>
          <w:u w:color="000000"/>
          <w:bdr w:val="nil"/>
          <w:lang w:val="mk-MK"/>
        </w:rPr>
      </w:pPr>
      <w:r w:rsidRPr="00F53881">
        <w:rPr>
          <w:rFonts w:eastAsia="Arial Unicode MS"/>
          <w:smallCaps/>
          <w:color w:val="000000"/>
          <w:sz w:val="28"/>
          <w:szCs w:val="28"/>
          <w:u w:color="000000"/>
          <w:bdr w:val="nil"/>
        </w:rPr>
        <w:t>Ментор: Проф.</w:t>
      </w:r>
      <w:r w:rsidRPr="00F53881">
        <w:rPr>
          <w:rFonts w:eastAsia="Arial Unicode MS"/>
          <w:smallCaps/>
          <w:color w:val="000000"/>
          <w:sz w:val="28"/>
          <w:szCs w:val="28"/>
          <w:u w:color="000000"/>
          <w:bdr w:val="nil"/>
          <w:lang w:val="mk-MK"/>
        </w:rPr>
        <w:t xml:space="preserve"> </w:t>
      </w:r>
      <w:r w:rsidRPr="00F53881">
        <w:rPr>
          <w:rFonts w:eastAsia="Arial Unicode MS"/>
          <w:smallCaps/>
          <w:color w:val="000000"/>
          <w:sz w:val="28"/>
          <w:szCs w:val="28"/>
          <w:u w:color="000000"/>
          <w:bdr w:val="nil"/>
        </w:rPr>
        <w:t xml:space="preserve">д-р </w:t>
      </w:r>
      <w:r w:rsidRPr="00F53881">
        <w:rPr>
          <w:rFonts w:eastAsia="Arial Unicode MS"/>
          <w:smallCaps/>
          <w:color w:val="000000"/>
          <w:sz w:val="28"/>
          <w:szCs w:val="28"/>
          <w:u w:color="000000"/>
          <w:bdr w:val="nil"/>
          <w:lang w:val="mk-MK"/>
        </w:rPr>
        <w:t>Дарко Спасевски</w:t>
      </w:r>
    </w:p>
    <w:p w14:paraId="537D8E3B"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5A9AE642" w14:textId="77777777" w:rsidR="00ED2B59" w:rsidRDefault="00ED2B59" w:rsidP="00ED2B59">
      <w:pPr>
        <w:pBdr>
          <w:top w:val="nil"/>
          <w:left w:val="nil"/>
          <w:bottom w:val="nil"/>
          <w:right w:val="nil"/>
          <w:between w:val="nil"/>
          <w:bar w:val="nil"/>
        </w:pBdr>
        <w:jc w:val="both"/>
        <w:rPr>
          <w:rFonts w:eastAsia="Arial Unicode MS"/>
          <w:color w:val="000000"/>
          <w:sz w:val="24"/>
          <w:szCs w:val="24"/>
          <w:u w:color="000000"/>
          <w:bdr w:val="nil"/>
          <w:lang w:val="en-US"/>
        </w:rPr>
      </w:pPr>
    </w:p>
    <w:p w14:paraId="6AE58293" w14:textId="77777777" w:rsidR="00B27E24" w:rsidRPr="00F53881" w:rsidRDefault="00B27E24" w:rsidP="00ED2B59">
      <w:pPr>
        <w:pBdr>
          <w:top w:val="nil"/>
          <w:left w:val="nil"/>
          <w:bottom w:val="nil"/>
          <w:right w:val="nil"/>
          <w:between w:val="nil"/>
          <w:bar w:val="nil"/>
        </w:pBdr>
        <w:jc w:val="both"/>
        <w:rPr>
          <w:rFonts w:eastAsia="Arial Unicode MS"/>
          <w:color w:val="000000"/>
          <w:sz w:val="24"/>
          <w:szCs w:val="24"/>
          <w:u w:color="000000"/>
          <w:bdr w:val="nil"/>
          <w:lang w:val="en-US"/>
        </w:rPr>
      </w:pPr>
    </w:p>
    <w:p w14:paraId="6C67DCE8"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en-US"/>
        </w:rPr>
      </w:pPr>
    </w:p>
    <w:p w14:paraId="67929429"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7D4AC7AD" w14:textId="77777777" w:rsidR="00ED2B59" w:rsidRPr="00F53881" w:rsidRDefault="00ED2B59" w:rsidP="00ED2B59">
      <w:pPr>
        <w:pBdr>
          <w:top w:val="nil"/>
          <w:left w:val="nil"/>
          <w:bottom w:val="nil"/>
          <w:right w:val="nil"/>
          <w:between w:val="nil"/>
          <w:bar w:val="nil"/>
        </w:pBdr>
        <w:jc w:val="both"/>
        <w:rPr>
          <w:rFonts w:eastAsia="Arial Unicode MS"/>
          <w:color w:val="000000"/>
          <w:sz w:val="24"/>
          <w:szCs w:val="24"/>
          <w:u w:color="000000"/>
          <w:bdr w:val="nil"/>
          <w:lang w:val="mk-MK"/>
        </w:rPr>
      </w:pPr>
    </w:p>
    <w:p w14:paraId="38DB2F6F" w14:textId="77777777" w:rsidR="00ED2B59" w:rsidRPr="00F53881" w:rsidRDefault="00ED2B59" w:rsidP="00ED2B59">
      <w:pPr>
        <w:pBdr>
          <w:top w:val="nil"/>
          <w:left w:val="nil"/>
          <w:bottom w:val="nil"/>
          <w:right w:val="nil"/>
          <w:between w:val="nil"/>
          <w:bar w:val="nil"/>
        </w:pBdr>
        <w:jc w:val="both"/>
        <w:rPr>
          <w:color w:val="000000"/>
          <w:sz w:val="24"/>
          <w:szCs w:val="24"/>
          <w:u w:color="000000"/>
          <w:bdr w:val="nil"/>
          <w:lang w:val="mk-MK"/>
        </w:rPr>
      </w:pPr>
    </w:p>
    <w:p w14:paraId="4BB78B44" w14:textId="77777777" w:rsidR="00ED2B59" w:rsidRPr="00F53881" w:rsidRDefault="00ED2B59" w:rsidP="00ED2B59">
      <w:pPr>
        <w:pBdr>
          <w:top w:val="nil"/>
          <w:left w:val="nil"/>
          <w:bottom w:val="nil"/>
          <w:right w:val="nil"/>
          <w:between w:val="nil"/>
          <w:bar w:val="nil"/>
        </w:pBdr>
        <w:ind w:left="2880" w:firstLine="720"/>
        <w:rPr>
          <w:color w:val="000000"/>
          <w:sz w:val="24"/>
          <w:szCs w:val="24"/>
          <w:u w:color="000000"/>
          <w:bdr w:val="nil"/>
          <w:lang w:val="mk-MK"/>
        </w:rPr>
      </w:pPr>
      <w:r w:rsidRPr="00F53881">
        <w:rPr>
          <w:color w:val="000000"/>
          <w:sz w:val="24"/>
          <w:szCs w:val="24"/>
          <w:u w:color="000000"/>
          <w:bdr w:val="nil"/>
          <w:lang w:val="mk-MK"/>
        </w:rPr>
        <w:t xml:space="preserve">      </w:t>
      </w:r>
      <w:r w:rsidRPr="00F53881">
        <w:rPr>
          <w:noProof/>
          <w:color w:val="000000"/>
          <w:sz w:val="24"/>
          <w:szCs w:val="24"/>
          <w:u w:color="000000"/>
          <w:bdr w:val="nil"/>
        </w:rPr>
        <w:drawing>
          <wp:inline distT="0" distB="0" distL="0" distR="0" wp14:anchorId="0F7EC87B" wp14:editId="0DDDDC12">
            <wp:extent cx="682950" cy="673100"/>
            <wp:effectExtent l="0" t="0" r="0" b="0"/>
            <wp:docPr id="4" name="Picture 4" descr="Kiril.metodij.png"/>
            <wp:cNvGraphicFramePr/>
            <a:graphic xmlns:a="http://schemas.openxmlformats.org/drawingml/2006/main">
              <a:graphicData uri="http://schemas.openxmlformats.org/drawingml/2006/picture">
                <pic:pic xmlns:pic="http://schemas.openxmlformats.org/drawingml/2006/picture">
                  <pic:nvPicPr>
                    <pic:cNvPr id="1073741825" name="image1.png" descr="Kiril.metodij.png"/>
                    <pic:cNvPicPr>
                      <a:picLocks noChangeAspect="1"/>
                    </pic:cNvPicPr>
                  </pic:nvPicPr>
                  <pic:blipFill>
                    <a:blip r:embed="rId10" cstate="print"/>
                    <a:stretch>
                      <a:fillRect/>
                    </a:stretch>
                  </pic:blipFill>
                  <pic:spPr>
                    <a:xfrm>
                      <a:off x="0" y="0"/>
                      <a:ext cx="682950" cy="673100"/>
                    </a:xfrm>
                    <a:prstGeom prst="rect">
                      <a:avLst/>
                    </a:prstGeom>
                    <a:ln w="12700" cap="flat">
                      <a:noFill/>
                      <a:miter lim="400000"/>
                    </a:ln>
                    <a:effectLst/>
                  </pic:spPr>
                </pic:pic>
              </a:graphicData>
            </a:graphic>
          </wp:inline>
        </w:drawing>
      </w:r>
    </w:p>
    <w:p w14:paraId="5B6696A7" w14:textId="77777777" w:rsidR="00ED2B59" w:rsidRPr="00F53881" w:rsidRDefault="00ED2B59" w:rsidP="00ED2B59">
      <w:pPr>
        <w:pBdr>
          <w:top w:val="nil"/>
          <w:left w:val="nil"/>
          <w:bottom w:val="nil"/>
          <w:right w:val="nil"/>
          <w:between w:val="nil"/>
          <w:bar w:val="nil"/>
        </w:pBdr>
        <w:jc w:val="center"/>
        <w:rPr>
          <w:rFonts w:eastAsia="Arial Unicode MS"/>
          <w:smallCaps/>
          <w:color w:val="000000"/>
          <w:sz w:val="28"/>
          <w:szCs w:val="28"/>
          <w:u w:color="000000"/>
          <w:bdr w:val="nil"/>
          <w:lang w:val="ru-RU"/>
        </w:rPr>
      </w:pPr>
      <w:r w:rsidRPr="00F53881">
        <w:rPr>
          <w:rFonts w:eastAsia="Arial Unicode MS"/>
          <w:smallCaps/>
          <w:color w:val="000000"/>
          <w:sz w:val="28"/>
          <w:szCs w:val="28"/>
          <w:u w:color="000000"/>
          <w:bdr w:val="nil"/>
          <w:lang w:val="ru-RU"/>
        </w:rPr>
        <w:t>Школа за докторски студии</w:t>
      </w:r>
    </w:p>
    <w:p w14:paraId="09AE748A" w14:textId="384A8CE4" w:rsidR="00ED2B59" w:rsidRPr="00F53881" w:rsidRDefault="00320CAF" w:rsidP="00ED2B59">
      <w:pPr>
        <w:pBdr>
          <w:top w:val="nil"/>
          <w:left w:val="nil"/>
          <w:bottom w:val="nil"/>
          <w:right w:val="nil"/>
          <w:between w:val="nil"/>
          <w:bar w:val="nil"/>
        </w:pBdr>
        <w:jc w:val="center"/>
        <w:rPr>
          <w:rFonts w:eastAsia="Arial Unicode MS"/>
          <w:smallCaps/>
          <w:color w:val="000000"/>
          <w:sz w:val="28"/>
          <w:szCs w:val="28"/>
          <w:u w:color="000000"/>
          <w:bdr w:val="nil"/>
          <w:lang w:val="ru-RU"/>
        </w:rPr>
      </w:pPr>
      <w:r>
        <w:rPr>
          <w:rFonts w:eastAsia="Arial Unicode MS"/>
          <w:smallCaps/>
          <w:color w:val="000000"/>
          <w:sz w:val="28"/>
          <w:szCs w:val="28"/>
          <w:u w:color="000000"/>
          <w:bdr w:val="nil"/>
          <w:lang w:val="ru-RU"/>
        </w:rPr>
        <w:t>Докторс</w:t>
      </w:r>
      <w:r w:rsidR="00A249F0">
        <w:rPr>
          <w:rFonts w:eastAsia="Arial Unicode MS"/>
          <w:smallCaps/>
          <w:color w:val="000000"/>
          <w:sz w:val="28"/>
          <w:szCs w:val="28"/>
          <w:u w:color="000000"/>
          <w:bdr w:val="nil"/>
          <w:lang w:val="ru-RU"/>
        </w:rPr>
        <w:t>к</w:t>
      </w:r>
      <w:r>
        <w:rPr>
          <w:rFonts w:eastAsia="Arial Unicode MS"/>
          <w:smallCaps/>
          <w:color w:val="000000"/>
          <w:sz w:val="28"/>
          <w:szCs w:val="28"/>
          <w:u w:color="000000"/>
          <w:bdr w:val="nil"/>
          <w:lang w:val="ru-RU"/>
        </w:rPr>
        <w:t>а Дисертација</w:t>
      </w:r>
    </w:p>
    <w:p w14:paraId="5D5E56CC" w14:textId="7E9BDCAF" w:rsidR="00ED2B59" w:rsidRPr="00B27E24" w:rsidRDefault="00ED2B59" w:rsidP="00E1789D">
      <w:pPr>
        <w:pBdr>
          <w:top w:val="nil"/>
          <w:left w:val="nil"/>
          <w:bottom w:val="nil"/>
          <w:right w:val="nil"/>
          <w:between w:val="nil"/>
          <w:bar w:val="nil"/>
        </w:pBdr>
        <w:jc w:val="center"/>
        <w:rPr>
          <w:rFonts w:eastAsia="Arial Unicode MS"/>
          <w:smallCaps/>
          <w:color w:val="000000"/>
          <w:sz w:val="28"/>
          <w:szCs w:val="28"/>
          <w:u w:color="000000"/>
          <w:bdr w:val="nil"/>
          <w:lang w:val="mk-MK"/>
        </w:rPr>
      </w:pPr>
      <w:r w:rsidRPr="00F53881">
        <w:rPr>
          <w:rFonts w:eastAsia="Arial Unicode MS"/>
          <w:smallCaps/>
          <w:color w:val="000000"/>
          <w:sz w:val="28"/>
          <w:szCs w:val="28"/>
          <w:u w:color="000000"/>
          <w:bdr w:val="nil"/>
          <w:lang w:val="ru-RU"/>
        </w:rPr>
        <w:t>Скопје, 202</w:t>
      </w:r>
      <w:r w:rsidR="00B27E24">
        <w:rPr>
          <w:rFonts w:eastAsia="Arial Unicode MS"/>
          <w:smallCaps/>
          <w:color w:val="000000"/>
          <w:sz w:val="28"/>
          <w:szCs w:val="28"/>
          <w:u w:color="000000"/>
          <w:bdr w:val="nil"/>
          <w:lang w:val="en-US"/>
        </w:rPr>
        <w:t xml:space="preserve">6 </w:t>
      </w:r>
      <w:r w:rsidR="00B27E24">
        <w:rPr>
          <w:rFonts w:eastAsia="Arial Unicode MS"/>
          <w:smallCaps/>
          <w:color w:val="000000"/>
          <w:sz w:val="28"/>
          <w:szCs w:val="28"/>
          <w:u w:color="000000"/>
          <w:bdr w:val="nil"/>
          <w:lang w:val="mk-MK"/>
        </w:rPr>
        <w:t>година</w:t>
      </w:r>
    </w:p>
    <w:p w14:paraId="2C7EE897" w14:textId="77777777" w:rsidR="00DB6B16" w:rsidRPr="001270B8" w:rsidRDefault="00F474A0" w:rsidP="00F474A0">
      <w:pPr>
        <w:pBdr>
          <w:top w:val="nil"/>
          <w:left w:val="nil"/>
          <w:bottom w:val="nil"/>
          <w:right w:val="nil"/>
          <w:between w:val="nil"/>
          <w:bar w:val="nil"/>
        </w:pBdr>
        <w:ind w:left="-990" w:right="-970"/>
        <w:jc w:val="center"/>
        <w:rPr>
          <w:rFonts w:eastAsia="Arial Unicode MS"/>
          <w:b/>
          <w:bCs/>
          <w:color w:val="000000"/>
          <w:sz w:val="27"/>
          <w:szCs w:val="27"/>
          <w:u w:color="000000"/>
          <w:bdr w:val="nil"/>
          <w:lang w:val="en-US"/>
        </w:rPr>
      </w:pPr>
      <w:r w:rsidRPr="001270B8">
        <w:rPr>
          <w:rFonts w:eastAsia="Arial Unicode MS"/>
          <w:b/>
          <w:bCs/>
          <w:color w:val="000000"/>
          <w:sz w:val="27"/>
          <w:szCs w:val="27"/>
          <w:u w:color="000000"/>
          <w:bdr w:val="nil"/>
          <w:lang w:val="mk-MK"/>
        </w:rPr>
        <w:lastRenderedPageBreak/>
        <w:t xml:space="preserve">МОДЕЛИ ПРЕКУ КОИ ТРГОВСКИТЕ ДРУШТВА </w:t>
      </w:r>
    </w:p>
    <w:p w14:paraId="2E5C6CB3" w14:textId="4D901B94" w:rsidR="00F474A0" w:rsidRPr="001270B8" w:rsidRDefault="00F474A0" w:rsidP="00F474A0">
      <w:pPr>
        <w:pBdr>
          <w:top w:val="nil"/>
          <w:left w:val="nil"/>
          <w:bottom w:val="nil"/>
          <w:right w:val="nil"/>
          <w:between w:val="nil"/>
          <w:bar w:val="nil"/>
        </w:pBdr>
        <w:ind w:left="-990" w:right="-970"/>
        <w:jc w:val="center"/>
        <w:rPr>
          <w:rFonts w:eastAsia="Arial Unicode MS"/>
          <w:b/>
          <w:bCs/>
          <w:color w:val="000000"/>
          <w:sz w:val="27"/>
          <w:szCs w:val="27"/>
          <w:u w:color="000000"/>
          <w:bdr w:val="nil"/>
          <w:lang w:val="en-US"/>
        </w:rPr>
      </w:pPr>
      <w:r w:rsidRPr="001270B8">
        <w:rPr>
          <w:rFonts w:eastAsia="Arial Unicode MS"/>
          <w:b/>
          <w:bCs/>
          <w:color w:val="000000"/>
          <w:sz w:val="27"/>
          <w:szCs w:val="27"/>
          <w:u w:color="000000"/>
          <w:bdr w:val="nil"/>
          <w:lang w:val="mk-MK"/>
        </w:rPr>
        <w:t>ОВОЗМОЖУВААТ ВКЛУЧЕНОСТ НА ВРАБОТЕНИТЕ</w:t>
      </w:r>
    </w:p>
    <w:p w14:paraId="5602905A" w14:textId="13FF71FB" w:rsidR="00ED2B59" w:rsidRPr="002A5059" w:rsidRDefault="00F474A0" w:rsidP="002A5059">
      <w:pPr>
        <w:pBdr>
          <w:top w:val="nil"/>
          <w:left w:val="nil"/>
          <w:bottom w:val="nil"/>
          <w:right w:val="nil"/>
          <w:between w:val="nil"/>
          <w:bar w:val="nil"/>
        </w:pBdr>
        <w:ind w:left="-360" w:right="-970"/>
        <w:jc w:val="center"/>
        <w:rPr>
          <w:rFonts w:eastAsia="Arial Unicode MS"/>
          <w:b/>
          <w:bCs/>
          <w:color w:val="000000"/>
          <w:sz w:val="27"/>
          <w:szCs w:val="27"/>
          <w:u w:color="000000"/>
          <w:bdr w:val="nil"/>
          <w:lang w:val="mk-MK"/>
        </w:rPr>
      </w:pPr>
      <w:r w:rsidRPr="001270B8">
        <w:rPr>
          <w:rFonts w:eastAsia="Calibri"/>
          <w:b/>
          <w:bCs/>
          <w:sz w:val="27"/>
          <w:szCs w:val="27"/>
          <w:lang w:val="mk-MK"/>
        </w:rPr>
        <w:t xml:space="preserve">– </w:t>
      </w:r>
      <w:r w:rsidRPr="001270B8">
        <w:rPr>
          <w:rFonts w:eastAsia="Arial Unicode MS"/>
          <w:b/>
          <w:bCs/>
          <w:color w:val="000000"/>
          <w:sz w:val="27"/>
          <w:szCs w:val="27"/>
          <w:u w:color="000000"/>
          <w:bdr w:val="nil"/>
          <w:lang w:val="mk-MK"/>
        </w:rPr>
        <w:t>УЧЕСТВО ВО ОРГАНИТЕ НА ДРУШТВОТО И РАСПРЕДЕЛБА НА АКЦИИ</w:t>
      </w:r>
      <w:r w:rsidRPr="001270B8">
        <w:rPr>
          <w:rFonts w:eastAsia="Calibri"/>
          <w:b/>
          <w:bCs/>
          <w:sz w:val="27"/>
          <w:szCs w:val="27"/>
          <w:lang w:val="mk-MK"/>
        </w:rPr>
        <w:t xml:space="preserve"> – </w:t>
      </w:r>
    </w:p>
    <w:p w14:paraId="01E27DED" w14:textId="77777777" w:rsidR="00ED2B59" w:rsidRPr="00E1789D" w:rsidRDefault="00ED2B59" w:rsidP="00E1789D">
      <w:pPr>
        <w:pBdr>
          <w:top w:val="nil"/>
          <w:left w:val="nil"/>
          <w:bottom w:val="nil"/>
          <w:right w:val="nil"/>
          <w:between w:val="nil"/>
          <w:bar w:val="nil"/>
        </w:pBdr>
        <w:ind w:right="-970"/>
        <w:rPr>
          <w:rFonts w:eastAsia="Arial Unicode MS"/>
          <w:b/>
          <w:bCs/>
          <w:color w:val="000000"/>
          <w:sz w:val="24"/>
          <w:szCs w:val="24"/>
          <w:u w:color="000000"/>
          <w:bdr w:val="nil"/>
          <w:lang w:val="mk-MK"/>
        </w:rPr>
      </w:pPr>
    </w:p>
    <w:p w14:paraId="6905ABF6" w14:textId="77777777" w:rsidR="00ED2B59" w:rsidRPr="00F53881" w:rsidRDefault="00ED2B59" w:rsidP="00ED2B59">
      <w:pPr>
        <w:pBdr>
          <w:top w:val="nil"/>
          <w:left w:val="nil"/>
          <w:bottom w:val="nil"/>
          <w:right w:val="nil"/>
          <w:between w:val="nil"/>
          <w:bar w:val="nil"/>
        </w:pBdr>
        <w:ind w:left="-360" w:right="-970"/>
        <w:rPr>
          <w:rFonts w:eastAsia="Arial Unicode MS"/>
          <w:b/>
          <w:bCs/>
          <w:color w:val="000000"/>
          <w:sz w:val="24"/>
          <w:szCs w:val="24"/>
          <w:u w:color="000000"/>
          <w:bdr w:val="nil"/>
          <w:lang w:val="en-US"/>
        </w:rPr>
      </w:pPr>
    </w:p>
    <w:p w14:paraId="19A2E56C" w14:textId="77777777" w:rsidR="00ED2B59" w:rsidRPr="00F53881" w:rsidRDefault="00ED2B59" w:rsidP="00ED2B59">
      <w:pPr>
        <w:pBdr>
          <w:top w:val="nil"/>
          <w:left w:val="nil"/>
          <w:bottom w:val="nil"/>
          <w:right w:val="nil"/>
          <w:between w:val="nil"/>
          <w:bar w:val="nil"/>
        </w:pBdr>
        <w:ind w:left="-360" w:right="-970"/>
        <w:jc w:val="center"/>
        <w:rPr>
          <w:rFonts w:eastAsia="Arial Unicode MS"/>
          <w:b/>
          <w:bCs/>
          <w:smallCaps/>
          <w:color w:val="000000"/>
          <w:sz w:val="24"/>
          <w:szCs w:val="24"/>
          <w:u w:color="000000"/>
          <w:bdr w:val="nil"/>
          <w:lang w:val="mk-MK"/>
        </w:rPr>
      </w:pPr>
      <w:r w:rsidRPr="00F53881">
        <w:rPr>
          <w:rFonts w:eastAsia="Arial Unicode MS"/>
          <w:b/>
          <w:bCs/>
          <w:smallCaps/>
          <w:color w:val="000000"/>
          <w:sz w:val="24"/>
          <w:szCs w:val="24"/>
          <w:u w:color="000000"/>
          <w:bdr w:val="nil"/>
          <w:lang w:val="mk-MK"/>
        </w:rPr>
        <w:t>Вилдан Мурадиф Дрпљанин</w:t>
      </w:r>
    </w:p>
    <w:p w14:paraId="7358683A" w14:textId="383E5332" w:rsidR="00ED2B59" w:rsidRDefault="00ED2B59" w:rsidP="004E041E">
      <w:pPr>
        <w:pBdr>
          <w:top w:val="nil"/>
          <w:left w:val="nil"/>
          <w:bottom w:val="nil"/>
          <w:right w:val="nil"/>
          <w:between w:val="nil"/>
          <w:bar w:val="nil"/>
        </w:pBdr>
        <w:spacing w:before="240"/>
        <w:ind w:left="-360" w:right="-970"/>
        <w:jc w:val="center"/>
        <w:rPr>
          <w:rFonts w:eastAsia="Calibri"/>
          <w:b/>
          <w:bCs/>
          <w:sz w:val="24"/>
          <w:szCs w:val="24"/>
          <w:lang w:val="mk-MK"/>
        </w:rPr>
      </w:pPr>
      <w:r w:rsidRPr="00F53881">
        <w:rPr>
          <w:rFonts w:eastAsia="Calibri"/>
          <w:b/>
          <w:bCs/>
          <w:sz w:val="24"/>
          <w:szCs w:val="24"/>
          <w:lang w:val="mk-MK"/>
        </w:rPr>
        <w:t xml:space="preserve">– Апстракт – </w:t>
      </w:r>
    </w:p>
    <w:p w14:paraId="03A76D73" w14:textId="77777777" w:rsidR="00404F85" w:rsidRPr="00F53881" w:rsidRDefault="00404F85" w:rsidP="002A5059">
      <w:pPr>
        <w:pBdr>
          <w:top w:val="nil"/>
          <w:left w:val="nil"/>
          <w:bottom w:val="nil"/>
          <w:right w:val="nil"/>
          <w:between w:val="nil"/>
          <w:bar w:val="nil"/>
        </w:pBdr>
        <w:ind w:left="-360" w:right="-970"/>
        <w:jc w:val="center"/>
        <w:rPr>
          <w:rFonts w:eastAsia="Calibri"/>
          <w:b/>
          <w:bCs/>
          <w:sz w:val="24"/>
          <w:szCs w:val="24"/>
          <w:lang w:val="mk-MK"/>
        </w:rPr>
      </w:pPr>
    </w:p>
    <w:p w14:paraId="21A37946" w14:textId="774BCF5D" w:rsidR="00ED2B59" w:rsidRPr="000B67F7" w:rsidRDefault="00164F02" w:rsidP="00C61360">
      <w:pPr>
        <w:pBdr>
          <w:top w:val="nil"/>
          <w:left w:val="nil"/>
          <w:bottom w:val="nil"/>
          <w:right w:val="nil"/>
          <w:between w:val="nil"/>
          <w:bar w:val="nil"/>
        </w:pBdr>
        <w:spacing w:before="240"/>
        <w:ind w:right="-50" w:firstLine="720"/>
        <w:jc w:val="both"/>
        <w:rPr>
          <w:rFonts w:eastAsia="Calibri"/>
          <w:i/>
          <w:iCs/>
          <w:sz w:val="23"/>
          <w:szCs w:val="23"/>
          <w:lang w:val="mk-MK"/>
        </w:rPr>
      </w:pPr>
      <w:r w:rsidRPr="000B67F7">
        <w:rPr>
          <w:rFonts w:eastAsia="Calibri"/>
          <w:i/>
          <w:iCs/>
          <w:sz w:val="23"/>
          <w:szCs w:val="23"/>
          <w:lang w:val="mk-MK"/>
        </w:rPr>
        <w:t>Оваа докторска дисертација ја анализира вклученоста на вработените во корпоративното управување преку два доминантни правни и институционални модели: учество на вработените во управувачките и надзорните органи на трговските друштва и нивно вклучување како акционери преку доделување акции. Истражувањето ја испитува нивната нормативна логика, практична ефективност и демократски потенцијал, со посебен фокус на македонскиот правен и економски контекст.</w:t>
      </w:r>
    </w:p>
    <w:p w14:paraId="693A00AE" w14:textId="02A5B8B9" w:rsidR="00CE2AA0" w:rsidRPr="000B67F7" w:rsidRDefault="00CE2AA0" w:rsidP="00C61360">
      <w:pPr>
        <w:pBdr>
          <w:top w:val="nil"/>
          <w:left w:val="nil"/>
          <w:bottom w:val="nil"/>
          <w:right w:val="nil"/>
          <w:between w:val="nil"/>
          <w:bar w:val="nil"/>
        </w:pBdr>
        <w:spacing w:before="240"/>
        <w:ind w:right="-50" w:firstLine="720"/>
        <w:jc w:val="both"/>
        <w:rPr>
          <w:rFonts w:eastAsia="Calibri"/>
          <w:i/>
          <w:iCs/>
          <w:sz w:val="23"/>
          <w:szCs w:val="23"/>
          <w:lang w:val="mk-MK"/>
        </w:rPr>
      </w:pPr>
      <w:r w:rsidRPr="000B67F7">
        <w:rPr>
          <w:rFonts w:eastAsia="Calibri"/>
          <w:i/>
          <w:iCs/>
          <w:sz w:val="23"/>
          <w:szCs w:val="23"/>
          <w:lang w:val="mk-MK"/>
        </w:rPr>
        <w:t xml:space="preserve">Преку компаративна анализа на дванаесет внимателно одбрани јурисдикции, </w:t>
      </w:r>
      <w:r w:rsidR="00827D7C" w:rsidRPr="000B67F7">
        <w:rPr>
          <w:rFonts w:eastAsia="Calibri"/>
          <w:i/>
          <w:iCs/>
          <w:sz w:val="23"/>
          <w:szCs w:val="23"/>
          <w:lang w:val="mk-MK"/>
        </w:rPr>
        <w:t>Србија,</w:t>
      </w:r>
      <w:r w:rsidRPr="000B67F7">
        <w:rPr>
          <w:rFonts w:eastAsia="Calibri"/>
          <w:i/>
          <w:iCs/>
          <w:sz w:val="23"/>
          <w:szCs w:val="23"/>
          <w:lang w:val="mk-MK"/>
        </w:rPr>
        <w:t xml:space="preserve"> </w:t>
      </w:r>
      <w:r w:rsidR="00827D7C" w:rsidRPr="000B67F7">
        <w:rPr>
          <w:rFonts w:eastAsia="Calibri"/>
          <w:i/>
          <w:iCs/>
          <w:sz w:val="23"/>
          <w:szCs w:val="23"/>
          <w:lang w:val="mk-MK"/>
        </w:rPr>
        <w:t>Босна и Херцеговина, Хрватска,</w:t>
      </w:r>
      <w:r w:rsidR="00410A6A" w:rsidRPr="000B67F7">
        <w:rPr>
          <w:rFonts w:eastAsia="Calibri"/>
          <w:i/>
          <w:iCs/>
          <w:sz w:val="23"/>
          <w:szCs w:val="23"/>
          <w:lang w:val="mk-MK"/>
        </w:rPr>
        <w:t xml:space="preserve"> Словенија, </w:t>
      </w:r>
      <w:r w:rsidRPr="000B67F7">
        <w:rPr>
          <w:rFonts w:eastAsia="Calibri"/>
          <w:i/>
          <w:iCs/>
          <w:sz w:val="23"/>
          <w:szCs w:val="23"/>
          <w:lang w:val="mk-MK"/>
        </w:rPr>
        <w:t xml:space="preserve">Германија, Холандија, Италија, </w:t>
      </w:r>
      <w:r w:rsidR="00410A6A" w:rsidRPr="000B67F7">
        <w:rPr>
          <w:rFonts w:eastAsia="Calibri"/>
          <w:i/>
          <w:iCs/>
          <w:sz w:val="23"/>
          <w:szCs w:val="23"/>
          <w:lang w:val="mk-MK"/>
        </w:rPr>
        <w:t>Полска,</w:t>
      </w:r>
      <w:r w:rsidRPr="000B67F7">
        <w:rPr>
          <w:rFonts w:eastAsia="Calibri"/>
          <w:i/>
          <w:iCs/>
          <w:sz w:val="23"/>
          <w:szCs w:val="23"/>
          <w:lang w:val="mk-MK"/>
        </w:rPr>
        <w:t xml:space="preserve"> Обединетото Кралство, </w:t>
      </w:r>
      <w:r w:rsidR="00410A6A" w:rsidRPr="000B67F7">
        <w:rPr>
          <w:rFonts w:eastAsia="Calibri"/>
          <w:i/>
          <w:iCs/>
          <w:sz w:val="23"/>
          <w:szCs w:val="23"/>
          <w:lang w:val="mk-MK"/>
        </w:rPr>
        <w:t xml:space="preserve">САД, </w:t>
      </w:r>
      <w:r w:rsidRPr="000B67F7">
        <w:rPr>
          <w:rFonts w:eastAsia="Calibri"/>
          <w:i/>
          <w:iCs/>
          <w:sz w:val="23"/>
          <w:szCs w:val="23"/>
          <w:lang w:val="mk-MK"/>
        </w:rPr>
        <w:t>Јапонија</w:t>
      </w:r>
      <w:r w:rsidR="002E3317" w:rsidRPr="000B67F7">
        <w:rPr>
          <w:rFonts w:eastAsia="Calibri"/>
          <w:i/>
          <w:iCs/>
          <w:sz w:val="23"/>
          <w:szCs w:val="23"/>
          <w:lang w:val="mk-MK"/>
        </w:rPr>
        <w:t xml:space="preserve"> и</w:t>
      </w:r>
      <w:r w:rsidRPr="000B67F7">
        <w:rPr>
          <w:rFonts w:eastAsia="Calibri"/>
          <w:i/>
          <w:iCs/>
          <w:sz w:val="23"/>
          <w:szCs w:val="23"/>
          <w:lang w:val="mk-MK"/>
        </w:rPr>
        <w:t xml:space="preserve"> Кина, </w:t>
      </w:r>
      <w:r w:rsidR="002E3317" w:rsidRPr="000B67F7">
        <w:rPr>
          <w:rFonts w:eastAsia="Calibri"/>
          <w:i/>
          <w:iCs/>
          <w:sz w:val="23"/>
          <w:szCs w:val="23"/>
          <w:lang w:val="mk-MK"/>
        </w:rPr>
        <w:t>дисертацијата</w:t>
      </w:r>
      <w:r w:rsidRPr="000B67F7">
        <w:rPr>
          <w:rFonts w:eastAsia="Calibri"/>
          <w:i/>
          <w:iCs/>
          <w:sz w:val="23"/>
          <w:szCs w:val="23"/>
          <w:lang w:val="mk-MK"/>
        </w:rPr>
        <w:t xml:space="preserve"> покажува дека моделите засновани исклучиво на сопственост на акции, особено во англоамериканскиот контекст, ретко резултираат со реално управувачко влијание на вработените. Иако плановите за вработени акционери опфаќаат милиони работници и значајни финансиски ресурси, тие најчесто остануваат инструмент на финансиска инклузија без суштинска прераспределба на моќта во рамките на корпоративното управување.</w:t>
      </w:r>
    </w:p>
    <w:p w14:paraId="33A11492" w14:textId="4438A1B8" w:rsidR="004E041E" w:rsidRPr="000B67F7" w:rsidRDefault="004E041E" w:rsidP="00C61360">
      <w:pPr>
        <w:pBdr>
          <w:top w:val="nil"/>
          <w:left w:val="nil"/>
          <w:bottom w:val="nil"/>
          <w:right w:val="nil"/>
          <w:between w:val="nil"/>
          <w:bar w:val="nil"/>
        </w:pBdr>
        <w:spacing w:before="240"/>
        <w:ind w:right="-50" w:firstLine="720"/>
        <w:jc w:val="both"/>
        <w:rPr>
          <w:rFonts w:eastAsia="Calibri"/>
          <w:i/>
          <w:iCs/>
          <w:sz w:val="23"/>
          <w:szCs w:val="23"/>
          <w:lang w:val="mk-MK"/>
        </w:rPr>
      </w:pPr>
      <w:r w:rsidRPr="000B67F7">
        <w:rPr>
          <w:rFonts w:eastAsia="Calibri"/>
          <w:i/>
          <w:iCs/>
          <w:sz w:val="23"/>
          <w:szCs w:val="23"/>
          <w:lang w:val="mk-MK"/>
        </w:rPr>
        <w:t>Наспроти тоа, германскиот модел на ко-детерминација и одделни европски хибридни решенија демонстрираат дека правно загарантираното учество на вработените во органите на друштвото може да обезбеди стабилна и долгорочна форма на институционализирана работничка демократија, без да ја наруши економската ефикасност или конкурентноста. Анализата на јапонскиот и кинескиот модел дополнително укажува дека корпоративното управување е длабоко условено од пошироки социјални, културни и политички структури и не може механички да се трансплантира.</w:t>
      </w:r>
    </w:p>
    <w:p w14:paraId="34AF89A9" w14:textId="2A7E6BD2" w:rsidR="00E1789D" w:rsidRPr="000B67F7" w:rsidRDefault="00404F85" w:rsidP="00C61360">
      <w:pPr>
        <w:pBdr>
          <w:top w:val="nil"/>
          <w:left w:val="nil"/>
          <w:bottom w:val="nil"/>
          <w:right w:val="nil"/>
          <w:between w:val="nil"/>
          <w:bar w:val="nil"/>
        </w:pBdr>
        <w:spacing w:before="240"/>
        <w:ind w:right="-50" w:firstLine="720"/>
        <w:jc w:val="both"/>
        <w:rPr>
          <w:rFonts w:eastAsia="Calibri"/>
          <w:i/>
          <w:iCs/>
          <w:sz w:val="23"/>
          <w:szCs w:val="23"/>
          <w:lang w:val="mk-MK"/>
        </w:rPr>
      </w:pPr>
      <w:r w:rsidRPr="000B67F7">
        <w:rPr>
          <w:rFonts w:eastAsia="Calibri"/>
          <w:i/>
          <w:iCs/>
          <w:sz w:val="23"/>
          <w:szCs w:val="23"/>
          <w:lang w:val="mk-MK"/>
        </w:rPr>
        <w:t>Во однос на Македонија, дисертацијата утврдува дека постојната правна рамка нуди ограничени и фрагментирани можности за вклучување на вработените, при што доминира формален пристап без суштинска моќ. Во услови на ниска социјална заштита, структурни нееднаквости</w:t>
      </w:r>
      <w:r w:rsidR="00CD7E9F" w:rsidRPr="000B67F7">
        <w:rPr>
          <w:rFonts w:eastAsia="Calibri"/>
          <w:i/>
          <w:iCs/>
          <w:sz w:val="23"/>
          <w:szCs w:val="23"/>
          <w:lang w:val="mk-MK"/>
        </w:rPr>
        <w:t>, недостаток на работна сила, одлив на мозоци</w:t>
      </w:r>
      <w:r w:rsidRPr="000B67F7">
        <w:rPr>
          <w:rFonts w:eastAsia="Calibri"/>
          <w:i/>
          <w:iCs/>
          <w:sz w:val="23"/>
          <w:szCs w:val="23"/>
          <w:lang w:val="mk-MK"/>
        </w:rPr>
        <w:t xml:space="preserve"> и зголемени транзициони притисоци, </w:t>
      </w:r>
      <w:r w:rsidR="00D25CF9" w:rsidRPr="000B67F7">
        <w:rPr>
          <w:rFonts w:eastAsia="Calibri"/>
          <w:i/>
          <w:iCs/>
          <w:sz w:val="23"/>
          <w:szCs w:val="23"/>
          <w:lang w:val="mk-MK"/>
        </w:rPr>
        <w:t>докторатот</w:t>
      </w:r>
      <w:r w:rsidRPr="000B67F7">
        <w:rPr>
          <w:rFonts w:eastAsia="Calibri"/>
          <w:i/>
          <w:iCs/>
          <w:sz w:val="23"/>
          <w:szCs w:val="23"/>
          <w:lang w:val="mk-MK"/>
        </w:rPr>
        <w:t xml:space="preserve"> аргументира дека реформата на корпоративното управување мора да се поврзе со пошироки цели на социјална кохезија, демократска отчетност и одржлив развој.</w:t>
      </w:r>
    </w:p>
    <w:p w14:paraId="1770442E" w14:textId="41683C4A" w:rsidR="00ED2B59" w:rsidRPr="000B67F7" w:rsidRDefault="002A5059" w:rsidP="00C61360">
      <w:pPr>
        <w:pBdr>
          <w:top w:val="nil"/>
          <w:left w:val="nil"/>
          <w:bottom w:val="nil"/>
          <w:right w:val="nil"/>
          <w:between w:val="nil"/>
          <w:bar w:val="nil"/>
        </w:pBdr>
        <w:spacing w:before="240"/>
        <w:ind w:right="-50" w:firstLine="720"/>
        <w:jc w:val="both"/>
        <w:rPr>
          <w:rFonts w:eastAsia="Calibri"/>
          <w:i/>
          <w:iCs/>
          <w:sz w:val="23"/>
          <w:szCs w:val="23"/>
          <w:lang w:val="mk-MK"/>
        </w:rPr>
      </w:pPr>
      <w:r w:rsidRPr="000B67F7">
        <w:rPr>
          <w:rFonts w:eastAsia="Calibri"/>
          <w:i/>
          <w:iCs/>
          <w:sz w:val="23"/>
          <w:szCs w:val="23"/>
          <w:lang w:val="mk-MK"/>
        </w:rPr>
        <w:t>Дисертацијата заклучува дека нема универзален модел, но дека за Македонија најсоодветен пристап е внимателно калибриран хибриден модел, кој ја комбинира ограничената финансиска партиципација со јасно правно втемелено учество на вработените во органите на управување, во согласност со европските стандарди и националните институционални капацитети.</w:t>
      </w:r>
    </w:p>
    <w:p w14:paraId="62DA7A4D" w14:textId="4470F856" w:rsidR="00ED2B59" w:rsidRPr="00F36E3D" w:rsidRDefault="00ED2B59" w:rsidP="00F36E3D">
      <w:pPr>
        <w:pBdr>
          <w:top w:val="nil"/>
          <w:left w:val="nil"/>
          <w:bottom w:val="nil"/>
          <w:right w:val="nil"/>
          <w:between w:val="nil"/>
          <w:bar w:val="nil"/>
        </w:pBdr>
        <w:spacing w:before="240"/>
        <w:ind w:right="-50"/>
        <w:jc w:val="both"/>
        <w:rPr>
          <w:rFonts w:eastAsia="Calibri"/>
          <w:sz w:val="24"/>
          <w:szCs w:val="24"/>
          <w:lang w:val="mk-MK"/>
        </w:rPr>
      </w:pPr>
      <w:r w:rsidRPr="000B67F7">
        <w:rPr>
          <w:rFonts w:eastAsia="Calibri"/>
          <w:b/>
          <w:bCs/>
          <w:i/>
          <w:iCs/>
          <w:sz w:val="23"/>
          <w:szCs w:val="23"/>
          <w:lang w:val="mk-MK"/>
        </w:rPr>
        <w:t xml:space="preserve">Клучни зборови: </w:t>
      </w:r>
      <w:r w:rsidR="004E041E" w:rsidRPr="000B67F7">
        <w:rPr>
          <w:rFonts w:eastAsia="Calibri"/>
          <w:i/>
          <w:iCs/>
          <w:sz w:val="23"/>
          <w:szCs w:val="23"/>
          <w:lang w:val="mk-MK"/>
        </w:rPr>
        <w:t xml:space="preserve">корпоративно управување, учество на вработените, ко-детерминација, вработени акционери, ESOP, работничка демократија, компаративно корпоративно право, реформа на трговското право, </w:t>
      </w:r>
      <w:r w:rsidR="00FC4833" w:rsidRPr="000B67F7">
        <w:rPr>
          <w:rFonts w:eastAsia="Calibri"/>
          <w:i/>
          <w:iCs/>
          <w:sz w:val="23"/>
          <w:szCs w:val="23"/>
          <w:lang w:val="mk-MK"/>
        </w:rPr>
        <w:t>македонски правен систем</w:t>
      </w:r>
      <w:r w:rsidR="004E041E" w:rsidRPr="000B67F7">
        <w:rPr>
          <w:rFonts w:eastAsia="Calibri"/>
          <w:i/>
          <w:iCs/>
          <w:sz w:val="23"/>
          <w:szCs w:val="23"/>
          <w:lang w:val="mk-MK"/>
        </w:rPr>
        <w:t>, социјална одржливост</w:t>
      </w:r>
      <w:r w:rsidR="00FC4833">
        <w:rPr>
          <w:rFonts w:eastAsia="Calibri"/>
          <w:sz w:val="24"/>
          <w:szCs w:val="24"/>
          <w:lang w:val="mk-MK"/>
        </w:rPr>
        <w:t>.</w:t>
      </w:r>
    </w:p>
    <w:p w14:paraId="7292C65E" w14:textId="3B10D091" w:rsidR="00ED2B59" w:rsidRPr="00F53881" w:rsidRDefault="00807F70" w:rsidP="00ED2B59">
      <w:pPr>
        <w:pBdr>
          <w:top w:val="nil"/>
          <w:left w:val="nil"/>
          <w:bottom w:val="nil"/>
          <w:right w:val="nil"/>
          <w:between w:val="nil"/>
          <w:bar w:val="nil"/>
        </w:pBdr>
        <w:spacing w:before="240"/>
        <w:ind w:left="-360" w:right="-970"/>
        <w:jc w:val="center"/>
        <w:rPr>
          <w:rFonts w:eastAsia="Calibri"/>
          <w:b/>
          <w:bCs/>
          <w:sz w:val="24"/>
          <w:szCs w:val="24"/>
          <w:lang w:val="en-US"/>
        </w:rPr>
      </w:pPr>
      <w:r w:rsidRPr="00F53881">
        <w:rPr>
          <w:rFonts w:eastAsia="Calibri"/>
          <w:b/>
          <w:bCs/>
          <w:sz w:val="24"/>
          <w:szCs w:val="24"/>
          <w:lang w:val="en-US"/>
        </w:rPr>
        <w:lastRenderedPageBreak/>
        <w:t xml:space="preserve">MODELS FOR ENHANCING EMPLOYEE INVOLVEMENT </w:t>
      </w:r>
    </w:p>
    <w:p w14:paraId="03D101A8" w14:textId="57B7A3B9" w:rsidR="00ED2B59" w:rsidRPr="00F53881" w:rsidRDefault="00807F70" w:rsidP="00ED2B59">
      <w:pPr>
        <w:pBdr>
          <w:top w:val="nil"/>
          <w:left w:val="nil"/>
          <w:bottom w:val="nil"/>
          <w:right w:val="nil"/>
          <w:between w:val="nil"/>
          <w:bar w:val="nil"/>
        </w:pBdr>
        <w:spacing w:before="240"/>
        <w:ind w:left="-360" w:right="-970"/>
        <w:jc w:val="center"/>
        <w:rPr>
          <w:rFonts w:eastAsia="Calibri"/>
          <w:b/>
          <w:bCs/>
          <w:sz w:val="24"/>
          <w:szCs w:val="24"/>
          <w:lang w:val="en-US"/>
        </w:rPr>
      </w:pPr>
      <w:r w:rsidRPr="00F53881">
        <w:rPr>
          <w:rFonts w:eastAsia="Calibri"/>
          <w:b/>
          <w:bCs/>
          <w:sz w:val="24"/>
          <w:szCs w:val="24"/>
          <w:lang w:val="en-US"/>
        </w:rPr>
        <w:t xml:space="preserve"> – PARTICIPATION IN CORPORATE GOVERNANCE AND SHARE OWNERSHIP –</w:t>
      </w:r>
    </w:p>
    <w:p w14:paraId="7A61C3F2" w14:textId="77777777" w:rsidR="00ED2B59" w:rsidRPr="00F53881" w:rsidRDefault="00ED2B59" w:rsidP="00F36E3D">
      <w:pPr>
        <w:pBdr>
          <w:top w:val="nil"/>
          <w:left w:val="nil"/>
          <w:bottom w:val="nil"/>
          <w:right w:val="nil"/>
          <w:between w:val="nil"/>
          <w:bar w:val="nil"/>
        </w:pBdr>
        <w:ind w:right="-970"/>
        <w:rPr>
          <w:rFonts w:eastAsia="Calibri"/>
          <w:b/>
          <w:bCs/>
          <w:sz w:val="24"/>
          <w:szCs w:val="24"/>
          <w:lang w:val="mk-MK"/>
        </w:rPr>
      </w:pPr>
    </w:p>
    <w:p w14:paraId="7D319BC1" w14:textId="77777777" w:rsidR="00ED49BB" w:rsidRDefault="00ED49BB" w:rsidP="00ED2B59">
      <w:pPr>
        <w:pBdr>
          <w:top w:val="nil"/>
          <w:left w:val="nil"/>
          <w:bottom w:val="nil"/>
          <w:right w:val="nil"/>
          <w:between w:val="nil"/>
          <w:bar w:val="nil"/>
        </w:pBdr>
        <w:spacing w:before="240"/>
        <w:ind w:left="-360" w:right="-970"/>
        <w:jc w:val="center"/>
        <w:rPr>
          <w:rFonts w:eastAsia="Calibri"/>
          <w:b/>
          <w:bCs/>
          <w:smallCaps/>
          <w:sz w:val="24"/>
          <w:szCs w:val="24"/>
          <w:lang w:val="en-US"/>
        </w:rPr>
      </w:pPr>
    </w:p>
    <w:p w14:paraId="13A71919" w14:textId="380A4624" w:rsidR="00ED2B59" w:rsidRPr="00F53881" w:rsidRDefault="00ED2B59" w:rsidP="00ED2B59">
      <w:pPr>
        <w:pBdr>
          <w:top w:val="nil"/>
          <w:left w:val="nil"/>
          <w:bottom w:val="nil"/>
          <w:right w:val="nil"/>
          <w:between w:val="nil"/>
          <w:bar w:val="nil"/>
        </w:pBdr>
        <w:spacing w:before="240"/>
        <w:ind w:left="-360" w:right="-970"/>
        <w:jc w:val="center"/>
        <w:rPr>
          <w:rFonts w:eastAsia="Calibri"/>
          <w:b/>
          <w:bCs/>
          <w:smallCaps/>
          <w:sz w:val="24"/>
          <w:szCs w:val="24"/>
          <w:lang w:val="en-US"/>
        </w:rPr>
      </w:pPr>
      <w:r w:rsidRPr="00F53881">
        <w:rPr>
          <w:rFonts w:eastAsia="Calibri"/>
          <w:b/>
          <w:bCs/>
          <w:smallCaps/>
          <w:sz w:val="24"/>
          <w:szCs w:val="24"/>
          <w:lang w:val="en-US"/>
        </w:rPr>
        <w:t>Vildan Muradif Drpljanin</w:t>
      </w:r>
    </w:p>
    <w:p w14:paraId="2E4DBDB6" w14:textId="083F3D89" w:rsidR="00ED2B59" w:rsidRDefault="00ED2B59" w:rsidP="00F36E3D">
      <w:pPr>
        <w:pBdr>
          <w:top w:val="nil"/>
          <w:left w:val="nil"/>
          <w:bottom w:val="nil"/>
          <w:right w:val="nil"/>
          <w:between w:val="nil"/>
          <w:bar w:val="nil"/>
        </w:pBdr>
        <w:spacing w:before="240"/>
        <w:ind w:left="-360" w:right="-970"/>
        <w:jc w:val="center"/>
        <w:rPr>
          <w:rFonts w:eastAsia="Calibri"/>
          <w:b/>
          <w:bCs/>
          <w:sz w:val="24"/>
          <w:szCs w:val="24"/>
          <w:lang w:val="mk-MK"/>
        </w:rPr>
      </w:pPr>
      <w:r w:rsidRPr="00F53881">
        <w:rPr>
          <w:rFonts w:eastAsia="Calibri"/>
          <w:b/>
          <w:bCs/>
          <w:sz w:val="24"/>
          <w:szCs w:val="24"/>
          <w:lang w:val="mk-MK"/>
        </w:rPr>
        <w:t xml:space="preserve">– </w:t>
      </w:r>
      <w:r w:rsidRPr="00F53881">
        <w:rPr>
          <w:rFonts w:eastAsia="Calibri"/>
          <w:b/>
          <w:bCs/>
          <w:sz w:val="24"/>
          <w:szCs w:val="24"/>
          <w:lang w:val="en-US"/>
        </w:rPr>
        <w:t>Abstract</w:t>
      </w:r>
      <w:r w:rsidRPr="00F53881">
        <w:rPr>
          <w:rFonts w:eastAsia="Calibri"/>
          <w:b/>
          <w:bCs/>
          <w:sz w:val="24"/>
          <w:szCs w:val="24"/>
          <w:lang w:val="mk-MK"/>
        </w:rPr>
        <w:t xml:space="preserve"> – </w:t>
      </w:r>
    </w:p>
    <w:p w14:paraId="10F6BDEF" w14:textId="77777777" w:rsidR="00F36E3D" w:rsidRPr="00F53881" w:rsidRDefault="00F36E3D" w:rsidP="00F36E3D">
      <w:pPr>
        <w:pBdr>
          <w:top w:val="nil"/>
          <w:left w:val="nil"/>
          <w:bottom w:val="nil"/>
          <w:right w:val="nil"/>
          <w:between w:val="nil"/>
          <w:bar w:val="nil"/>
        </w:pBdr>
        <w:ind w:left="-360" w:right="-970"/>
        <w:jc w:val="center"/>
        <w:rPr>
          <w:rFonts w:eastAsia="Calibri"/>
          <w:b/>
          <w:bCs/>
          <w:sz w:val="24"/>
          <w:szCs w:val="24"/>
          <w:lang w:val="mk-MK"/>
        </w:rPr>
      </w:pPr>
    </w:p>
    <w:p w14:paraId="300B2EAC" w14:textId="77777777" w:rsidR="00ED49BB" w:rsidRDefault="00ED49BB" w:rsidP="00ED2B59">
      <w:pPr>
        <w:pBdr>
          <w:top w:val="nil"/>
          <w:left w:val="nil"/>
          <w:bottom w:val="nil"/>
          <w:right w:val="nil"/>
          <w:between w:val="nil"/>
          <w:bar w:val="nil"/>
        </w:pBdr>
        <w:spacing w:before="240"/>
        <w:ind w:right="-50"/>
        <w:jc w:val="both"/>
        <w:rPr>
          <w:rFonts w:eastAsia="Calibri"/>
          <w:i/>
          <w:iCs/>
          <w:sz w:val="23"/>
          <w:szCs w:val="23"/>
          <w:lang w:val="en-US"/>
        </w:rPr>
      </w:pPr>
    </w:p>
    <w:p w14:paraId="7773CD39" w14:textId="12505CF7" w:rsidR="00ED2B59" w:rsidRPr="00ED49BB" w:rsidRDefault="00DF79D8" w:rsidP="00ED2B59">
      <w:pPr>
        <w:pBdr>
          <w:top w:val="nil"/>
          <w:left w:val="nil"/>
          <w:bottom w:val="nil"/>
          <w:right w:val="nil"/>
          <w:between w:val="nil"/>
          <w:bar w:val="nil"/>
        </w:pBdr>
        <w:spacing w:before="240"/>
        <w:ind w:right="-50"/>
        <w:jc w:val="both"/>
        <w:rPr>
          <w:rFonts w:eastAsia="Calibri"/>
          <w:i/>
          <w:iCs/>
          <w:sz w:val="23"/>
          <w:szCs w:val="23"/>
          <w:lang w:val="en-US"/>
        </w:rPr>
      </w:pPr>
      <w:r w:rsidRPr="00ED49BB">
        <w:rPr>
          <w:rFonts w:eastAsia="Calibri"/>
          <w:i/>
          <w:iCs/>
          <w:sz w:val="23"/>
          <w:szCs w:val="23"/>
          <w:lang w:val="en-US"/>
        </w:rPr>
        <w:t>This doctoral dissertation examines employee involvement in corporate governance through two dominant legal and institutional models: employee participation in corporate governing bodies and employee share ownership schemes. The study evaluates their normative foundations, practical effectiveness, and democratic potential, with particular emphasis on the legal and economic context of North Macedonia.</w:t>
      </w:r>
    </w:p>
    <w:p w14:paraId="456423DF" w14:textId="7F6A282B" w:rsidR="002F68D9" w:rsidRPr="00ED49BB" w:rsidRDefault="002F68D9" w:rsidP="00ED2B59">
      <w:pPr>
        <w:pBdr>
          <w:top w:val="nil"/>
          <w:left w:val="nil"/>
          <w:bottom w:val="nil"/>
          <w:right w:val="nil"/>
          <w:between w:val="nil"/>
          <w:bar w:val="nil"/>
        </w:pBdr>
        <w:spacing w:before="240"/>
        <w:ind w:right="-50"/>
        <w:jc w:val="both"/>
        <w:rPr>
          <w:rFonts w:eastAsia="Calibri"/>
          <w:i/>
          <w:iCs/>
          <w:sz w:val="23"/>
          <w:szCs w:val="23"/>
          <w:lang w:val="en-US"/>
        </w:rPr>
      </w:pPr>
      <w:r w:rsidRPr="00ED49BB">
        <w:rPr>
          <w:rFonts w:eastAsia="Calibri"/>
          <w:i/>
          <w:iCs/>
          <w:sz w:val="23"/>
          <w:szCs w:val="23"/>
          <w:lang w:val="en-US"/>
        </w:rPr>
        <w:t xml:space="preserve">Through a comparative analysis of twelve </w:t>
      </w:r>
      <w:r w:rsidR="00AC0904" w:rsidRPr="00ED49BB">
        <w:rPr>
          <w:rFonts w:eastAsia="Calibri"/>
          <w:i/>
          <w:iCs/>
          <w:sz w:val="23"/>
          <w:szCs w:val="23"/>
          <w:lang w:val="en-US"/>
        </w:rPr>
        <w:t xml:space="preserve">carefully selected </w:t>
      </w:r>
      <w:r w:rsidRPr="00ED49BB">
        <w:rPr>
          <w:rFonts w:eastAsia="Calibri"/>
          <w:i/>
          <w:iCs/>
          <w:sz w:val="23"/>
          <w:szCs w:val="23"/>
          <w:lang w:val="en-US"/>
        </w:rPr>
        <w:t xml:space="preserve">jurisdictions including </w:t>
      </w:r>
      <w:r w:rsidR="003E26C9" w:rsidRPr="00ED49BB">
        <w:rPr>
          <w:rFonts w:eastAsia="Calibri"/>
          <w:i/>
          <w:iCs/>
          <w:sz w:val="23"/>
          <w:szCs w:val="23"/>
          <w:lang w:val="en-US"/>
        </w:rPr>
        <w:t>Serbia, Bosnia and Herzegovina, Croatia, Slovenia, Germany, Netherlands, Italy, Poland, United Kingdom, United States, Japan and China</w:t>
      </w:r>
      <w:r w:rsidRPr="00ED49BB">
        <w:rPr>
          <w:rFonts w:eastAsia="Calibri"/>
          <w:i/>
          <w:iCs/>
          <w:sz w:val="23"/>
          <w:szCs w:val="23"/>
          <w:lang w:val="en-US"/>
        </w:rPr>
        <w:t>, the dissertation demonstrates that share-based participation models, especially in Anglo-American systems, rarely translate into meaningful managerial or strategic influence for employees. Despite their broad coverage and significant economic scale, employee share ownership plans generally function as financial participation mechanisms rather than instruments of corporate democratization.</w:t>
      </w:r>
    </w:p>
    <w:p w14:paraId="32B48C91" w14:textId="228338C5" w:rsidR="00BE2383" w:rsidRPr="00ED49BB" w:rsidRDefault="00BE2383" w:rsidP="00ED2B59">
      <w:pPr>
        <w:pBdr>
          <w:top w:val="nil"/>
          <w:left w:val="nil"/>
          <w:bottom w:val="nil"/>
          <w:right w:val="nil"/>
          <w:between w:val="nil"/>
          <w:bar w:val="nil"/>
        </w:pBdr>
        <w:spacing w:before="240"/>
        <w:ind w:right="-50"/>
        <w:jc w:val="both"/>
        <w:rPr>
          <w:rFonts w:eastAsia="Calibri"/>
          <w:i/>
          <w:iCs/>
          <w:sz w:val="23"/>
          <w:szCs w:val="23"/>
          <w:lang w:val="en-US"/>
        </w:rPr>
      </w:pPr>
      <w:r w:rsidRPr="00ED49BB">
        <w:rPr>
          <w:rFonts w:eastAsia="Calibri"/>
          <w:i/>
          <w:iCs/>
          <w:sz w:val="23"/>
          <w:szCs w:val="23"/>
          <w:lang w:val="en-US"/>
        </w:rPr>
        <w:t>By contrast, the German system of codetermination and selected European hybrid models illustrate how legally entrenched employee representation in corporate bodies can provide a durable and effective form of institutionalized worker voice without undermining economic efficiency or competitiveness. The analysis of the Japanese and Chinese models further highlights that corporate governance structures are deeply embedded in broader social, cultural, and political contexts, limiting the feasibility of direct legal transplantation.</w:t>
      </w:r>
    </w:p>
    <w:p w14:paraId="52E4865A" w14:textId="3D204747" w:rsidR="006329C1" w:rsidRPr="00ED49BB" w:rsidRDefault="008D539B" w:rsidP="00ED2B59">
      <w:pPr>
        <w:pBdr>
          <w:top w:val="nil"/>
          <w:left w:val="nil"/>
          <w:bottom w:val="nil"/>
          <w:right w:val="nil"/>
          <w:between w:val="nil"/>
          <w:bar w:val="nil"/>
        </w:pBdr>
        <w:spacing w:before="240"/>
        <w:ind w:right="-50"/>
        <w:jc w:val="both"/>
        <w:rPr>
          <w:rFonts w:eastAsia="Calibri"/>
          <w:i/>
          <w:iCs/>
          <w:sz w:val="23"/>
          <w:szCs w:val="23"/>
          <w:lang w:val="en-US"/>
        </w:rPr>
      </w:pPr>
      <w:r w:rsidRPr="00ED49BB">
        <w:rPr>
          <w:rFonts w:eastAsia="Calibri"/>
          <w:i/>
          <w:iCs/>
          <w:sz w:val="23"/>
          <w:szCs w:val="23"/>
          <w:lang w:val="en-US"/>
        </w:rPr>
        <w:t>In relation to North Macedonia, the dissertation finds that the existing legal framework offers only limited and fragmented avenues for employee involvement, largely symbolic in nature. Against the backdrop of weak social protection coverage, structural inequalities, workers’ shortage, brain drain and ongoing economic and institutional transitions, the study argues that corporate governance reform should be understood as part of a broader social contract aimed at enhancing democratic accountability, social cohesion, and sustainable development</w:t>
      </w:r>
      <w:r w:rsidR="00ED49BB" w:rsidRPr="00ED49BB">
        <w:rPr>
          <w:rFonts w:eastAsia="Calibri"/>
          <w:i/>
          <w:iCs/>
          <w:sz w:val="23"/>
          <w:szCs w:val="23"/>
          <w:lang w:val="en-US"/>
        </w:rPr>
        <w:t>.</w:t>
      </w:r>
    </w:p>
    <w:p w14:paraId="3095094E" w14:textId="33F9D440" w:rsidR="00ED2B59" w:rsidRPr="00ED49BB" w:rsidRDefault="00ED49BB" w:rsidP="00ED2B59">
      <w:pPr>
        <w:pBdr>
          <w:top w:val="nil"/>
          <w:left w:val="nil"/>
          <w:bottom w:val="nil"/>
          <w:right w:val="nil"/>
          <w:between w:val="nil"/>
          <w:bar w:val="nil"/>
        </w:pBdr>
        <w:spacing w:before="240"/>
        <w:ind w:right="-50"/>
        <w:jc w:val="both"/>
        <w:rPr>
          <w:rFonts w:eastAsia="Calibri"/>
          <w:i/>
          <w:iCs/>
          <w:sz w:val="23"/>
          <w:szCs w:val="23"/>
          <w:lang w:val="en-US"/>
        </w:rPr>
      </w:pPr>
      <w:r w:rsidRPr="00ED49BB">
        <w:rPr>
          <w:rFonts w:eastAsia="Calibri"/>
          <w:i/>
          <w:iCs/>
          <w:sz w:val="23"/>
          <w:szCs w:val="23"/>
          <w:lang w:val="en-US"/>
        </w:rPr>
        <w:t>The dissertation concludes that while no single model can be universally applied, a carefully calibrated hybrid approach combining modest forms of financial participation with clearly defined and legally enforceable employee representation in corporate bodies offers the most viable path forward for North Macedonia, consistent with European standards and domestic institutional capacities.</w:t>
      </w:r>
    </w:p>
    <w:p w14:paraId="122473D7" w14:textId="4533F1F1" w:rsidR="00663729" w:rsidRPr="00332DFA" w:rsidRDefault="00ED2B59" w:rsidP="00332DFA">
      <w:pPr>
        <w:pBdr>
          <w:top w:val="nil"/>
          <w:left w:val="nil"/>
          <w:bottom w:val="nil"/>
          <w:right w:val="nil"/>
          <w:between w:val="nil"/>
          <w:bar w:val="nil"/>
        </w:pBdr>
        <w:spacing w:before="240"/>
        <w:ind w:right="-50"/>
        <w:jc w:val="both"/>
        <w:rPr>
          <w:rFonts w:eastAsia="Calibri"/>
          <w:i/>
          <w:iCs/>
          <w:sz w:val="23"/>
          <w:szCs w:val="23"/>
          <w:lang w:val="mk-MK"/>
        </w:rPr>
      </w:pPr>
      <w:r w:rsidRPr="00ED49BB">
        <w:rPr>
          <w:rFonts w:eastAsia="Calibri"/>
          <w:b/>
          <w:bCs/>
          <w:i/>
          <w:iCs/>
          <w:sz w:val="23"/>
          <w:szCs w:val="23"/>
          <w:lang w:val="en-US"/>
        </w:rPr>
        <w:t>Keywords</w:t>
      </w:r>
      <w:r w:rsidRPr="00ED49BB">
        <w:rPr>
          <w:rFonts w:eastAsia="Calibri"/>
          <w:i/>
          <w:iCs/>
          <w:sz w:val="23"/>
          <w:szCs w:val="23"/>
          <w:lang w:val="en-US"/>
        </w:rPr>
        <w:t xml:space="preserve">: </w:t>
      </w:r>
      <w:r w:rsidR="008261AE" w:rsidRPr="00ED49BB">
        <w:rPr>
          <w:i/>
          <w:iCs/>
          <w:sz w:val="23"/>
          <w:szCs w:val="23"/>
        </w:rPr>
        <w:t>corporate governance, employee participation, codetermination, employee share ownership, ESOPs, worker democracy, comparative corporate law, corporate law reform, Macedonia</w:t>
      </w:r>
      <w:r w:rsidR="00DF79D8" w:rsidRPr="00ED49BB">
        <w:rPr>
          <w:i/>
          <w:iCs/>
          <w:sz w:val="23"/>
          <w:szCs w:val="23"/>
          <w:lang w:val="en-US"/>
        </w:rPr>
        <w:t>n legal system</w:t>
      </w:r>
      <w:r w:rsidR="008261AE" w:rsidRPr="00ED49BB">
        <w:rPr>
          <w:i/>
          <w:iCs/>
          <w:sz w:val="23"/>
          <w:szCs w:val="23"/>
        </w:rPr>
        <w:t>, social sustainability</w:t>
      </w:r>
      <w:r w:rsidR="00DF79D8" w:rsidRPr="00ED49BB">
        <w:rPr>
          <w:i/>
          <w:iCs/>
          <w:sz w:val="23"/>
          <w:szCs w:val="23"/>
          <w:lang w:val="en-US"/>
        </w:rPr>
        <w:t>.</w:t>
      </w:r>
    </w:p>
    <w:p w14:paraId="49E1CEC5" w14:textId="77777777" w:rsidR="00F6698E" w:rsidRDefault="00F6698E" w:rsidP="007E08DA">
      <w:pPr>
        <w:pBdr>
          <w:top w:val="nil"/>
          <w:left w:val="nil"/>
          <w:bottom w:val="nil"/>
          <w:right w:val="nil"/>
          <w:between w:val="nil"/>
          <w:bar w:val="nil"/>
        </w:pBdr>
        <w:ind w:left="-360" w:right="-970"/>
        <w:jc w:val="center"/>
        <w:rPr>
          <w:rFonts w:eastAsia="Calibri"/>
          <w:b/>
          <w:bCs/>
          <w:sz w:val="24"/>
          <w:szCs w:val="24"/>
          <w:lang w:val="mk-MK"/>
        </w:rPr>
      </w:pPr>
    </w:p>
    <w:p w14:paraId="31ABE069" w14:textId="1789CC4D" w:rsidR="007A6CB8" w:rsidRPr="00645F92" w:rsidRDefault="007A6CB8" w:rsidP="00645F92">
      <w:pPr>
        <w:pBdr>
          <w:top w:val="nil"/>
          <w:left w:val="nil"/>
          <w:bottom w:val="nil"/>
          <w:right w:val="nil"/>
          <w:between w:val="nil"/>
          <w:bar w:val="nil"/>
        </w:pBdr>
        <w:spacing w:before="240" w:after="240"/>
        <w:ind w:right="30"/>
        <w:jc w:val="center"/>
        <w:rPr>
          <w:rFonts w:eastAsia="Calibri"/>
          <w:b/>
          <w:bCs/>
          <w:sz w:val="28"/>
          <w:szCs w:val="28"/>
          <w:lang w:val="en-US"/>
        </w:rPr>
      </w:pPr>
      <w:r w:rsidRPr="007A6CB8">
        <w:rPr>
          <w:rFonts w:eastAsia="Calibri"/>
          <w:b/>
          <w:bCs/>
          <w:sz w:val="28"/>
          <w:szCs w:val="28"/>
          <w:lang w:val="mk-MK"/>
        </w:rPr>
        <w:lastRenderedPageBreak/>
        <w:t>БЛАГОДАРНОСТ</w:t>
      </w:r>
    </w:p>
    <w:p w14:paraId="1CCFA626" w14:textId="77777777" w:rsidR="00DA2DA5" w:rsidRDefault="00F6698E" w:rsidP="00825244">
      <w:pPr>
        <w:pBdr>
          <w:top w:val="nil"/>
          <w:left w:val="nil"/>
          <w:bottom w:val="nil"/>
          <w:right w:val="nil"/>
          <w:between w:val="nil"/>
          <w:bar w:val="nil"/>
        </w:pBdr>
        <w:spacing w:before="240" w:after="240"/>
        <w:ind w:left="180" w:right="30" w:firstLine="540"/>
        <w:jc w:val="both"/>
        <w:rPr>
          <w:rFonts w:eastAsia="Calibri"/>
          <w:sz w:val="24"/>
          <w:szCs w:val="24"/>
          <w:lang w:val="en-US"/>
        </w:rPr>
      </w:pPr>
      <w:r w:rsidRPr="00F6698E">
        <w:rPr>
          <w:rFonts w:eastAsia="Calibri"/>
          <w:sz w:val="24"/>
          <w:szCs w:val="24"/>
          <w:lang w:val="mk-MK"/>
        </w:rPr>
        <w:t xml:space="preserve">Најголемиот дел од изминатите десет години, на еден или друг начин, размислував, истражував и пишував за прашањата што се опфатени во оваа дисертација. Имаше денови во кои напредував онолку колку што понекогаш се постигнува за цел месец, но имаше и долги периоди кога не успевав да напишам ниту еден збор. Токму затоа, ова дело за мене претставува потврда дека ниту едно сериозно истражување не е резултат единствено на индивидуален труд, туку и на поддршката, трпението, довербата и великодушноста на луѓето што стојат зад него. </w:t>
      </w:r>
    </w:p>
    <w:p w14:paraId="786748CD" w14:textId="3BEB7837" w:rsidR="00447D03" w:rsidRDefault="00F6698E" w:rsidP="00DA2DA5">
      <w:pPr>
        <w:pBdr>
          <w:top w:val="nil"/>
          <w:left w:val="nil"/>
          <w:bottom w:val="nil"/>
          <w:right w:val="nil"/>
          <w:between w:val="nil"/>
          <w:bar w:val="nil"/>
        </w:pBdr>
        <w:spacing w:before="240" w:after="240"/>
        <w:ind w:left="180" w:right="30" w:firstLine="540"/>
        <w:jc w:val="both"/>
        <w:rPr>
          <w:rFonts w:eastAsia="Calibri"/>
          <w:sz w:val="24"/>
          <w:szCs w:val="24"/>
          <w:lang w:val="mk-MK"/>
        </w:rPr>
      </w:pPr>
      <w:r w:rsidRPr="00F6698E">
        <w:rPr>
          <w:rFonts w:eastAsia="Calibri"/>
          <w:sz w:val="24"/>
          <w:szCs w:val="24"/>
          <w:lang w:val="mk-MK"/>
        </w:rPr>
        <w:t>Во текот на сите овие години ја имав ретката привилегија да бидам опкружен со луѓе кои, секој на свој начин, придонесуваа за мојата слобода да мислам, да читам и да пишувам.</w:t>
      </w:r>
      <w:r w:rsidR="00DA2DA5">
        <w:rPr>
          <w:rFonts w:eastAsia="Calibri"/>
          <w:sz w:val="24"/>
          <w:szCs w:val="24"/>
          <w:lang w:val="en-US"/>
        </w:rPr>
        <w:t xml:space="preserve"> </w:t>
      </w:r>
      <w:r w:rsidR="00447D03" w:rsidRPr="00447D03">
        <w:rPr>
          <w:rFonts w:eastAsia="Calibri"/>
          <w:sz w:val="24"/>
          <w:szCs w:val="24"/>
          <w:lang w:val="mk-MK"/>
        </w:rPr>
        <w:t>Затоа, оваа дисертација не ја доживувам како личен успех, туку како плод на заеднички напор, создаден благодарение на грижата, солидарноста и големината на духот на луѓе</w:t>
      </w:r>
      <w:r w:rsidR="00E25507">
        <w:rPr>
          <w:rFonts w:eastAsia="Calibri"/>
          <w:sz w:val="24"/>
          <w:szCs w:val="24"/>
          <w:lang w:val="mk-MK"/>
        </w:rPr>
        <w:t>то</w:t>
      </w:r>
      <w:r w:rsidR="00447D03" w:rsidRPr="00447D03">
        <w:rPr>
          <w:rFonts w:eastAsia="Calibri"/>
          <w:sz w:val="24"/>
          <w:szCs w:val="24"/>
          <w:lang w:val="mk-MK"/>
        </w:rPr>
        <w:t xml:space="preserve"> околу мене. </w:t>
      </w:r>
    </w:p>
    <w:p w14:paraId="1DDE8835" w14:textId="462B4F12" w:rsidR="002D721A" w:rsidRDefault="00FB6C72" w:rsidP="008817A8">
      <w:pPr>
        <w:pBdr>
          <w:top w:val="nil"/>
          <w:left w:val="nil"/>
          <w:bottom w:val="nil"/>
          <w:right w:val="nil"/>
          <w:between w:val="nil"/>
          <w:bar w:val="nil"/>
        </w:pBdr>
        <w:spacing w:before="240" w:after="240"/>
        <w:ind w:left="180" w:right="30" w:firstLine="540"/>
        <w:jc w:val="both"/>
        <w:rPr>
          <w:rFonts w:eastAsia="Calibri"/>
          <w:sz w:val="24"/>
          <w:szCs w:val="24"/>
          <w:lang w:val="mk-MK"/>
        </w:rPr>
      </w:pPr>
      <w:r w:rsidRPr="00FB6C72">
        <w:rPr>
          <w:rFonts w:eastAsia="Calibri"/>
          <w:sz w:val="24"/>
          <w:szCs w:val="24"/>
          <w:lang w:val="mk-MK"/>
        </w:rPr>
        <w:t xml:space="preserve">Најнапред, особено сум му благодарен на мојот ментор, Дарко Спасевски, за неговата постојана достапност, искрената поддршка, внимателните и прецизни коментари, како и за довербата во вредноста на ова истражување. </w:t>
      </w:r>
      <w:r w:rsidR="008817A8" w:rsidRPr="00996177">
        <w:rPr>
          <w:rFonts w:eastAsia="Calibri"/>
          <w:sz w:val="24"/>
          <w:szCs w:val="24"/>
          <w:lang w:val="mk-MK"/>
        </w:rPr>
        <w:t>Искрена благодарност упатувам и до</w:t>
      </w:r>
      <w:r w:rsidR="008817A8">
        <w:rPr>
          <w:rFonts w:eastAsia="Calibri"/>
          <w:sz w:val="24"/>
          <w:szCs w:val="24"/>
          <w:lang w:val="mk-MK"/>
        </w:rPr>
        <w:t xml:space="preserve"> професорите</w:t>
      </w:r>
      <w:r w:rsidR="008817A8" w:rsidRPr="00996177">
        <w:rPr>
          <w:rFonts w:eastAsia="Calibri"/>
          <w:sz w:val="24"/>
          <w:szCs w:val="24"/>
          <w:lang w:val="mk-MK"/>
        </w:rPr>
        <w:t xml:space="preserve"> Антон Хемеријк од Фиренца, Кристоф Опустил од Краков, Гери од Сијетл и Мери од Даблин, за нивниот конструктивен придонес и корисните согледувања поврзани со неколку поглавја од оваа дисертација.</w:t>
      </w:r>
    </w:p>
    <w:p w14:paraId="788BACC6" w14:textId="250EB8E1" w:rsidR="004658CF" w:rsidRDefault="00486A18" w:rsidP="008817A8">
      <w:pPr>
        <w:pBdr>
          <w:top w:val="nil"/>
          <w:left w:val="nil"/>
          <w:bottom w:val="nil"/>
          <w:right w:val="nil"/>
          <w:between w:val="nil"/>
          <w:bar w:val="nil"/>
        </w:pBdr>
        <w:spacing w:before="240" w:after="240"/>
        <w:ind w:left="180" w:right="30" w:firstLine="540"/>
        <w:jc w:val="both"/>
        <w:rPr>
          <w:rFonts w:eastAsia="Calibri"/>
          <w:sz w:val="24"/>
          <w:szCs w:val="24"/>
          <w:lang w:val="mk-MK"/>
        </w:rPr>
      </w:pPr>
      <w:r w:rsidRPr="00486A18">
        <w:rPr>
          <w:rFonts w:eastAsia="Calibri"/>
          <w:sz w:val="24"/>
          <w:szCs w:val="24"/>
          <w:lang w:val="mk-MK"/>
        </w:rPr>
        <w:t>Со особена почит и нежност ги споменувам моите покојни вујко и баба, чии разговори за вредностите на секојдневниот живот</w:t>
      </w:r>
      <w:r w:rsidR="00B47206">
        <w:rPr>
          <w:rFonts w:eastAsia="Calibri"/>
          <w:sz w:val="24"/>
          <w:szCs w:val="24"/>
          <w:lang w:val="mk-MK"/>
        </w:rPr>
        <w:t xml:space="preserve"> ми беа </w:t>
      </w:r>
      <w:r w:rsidR="00B47206">
        <w:rPr>
          <w:rFonts w:eastAsia="Calibri"/>
          <w:sz w:val="24"/>
          <w:szCs w:val="24"/>
          <w:lang w:val="en-US"/>
        </w:rPr>
        <w:t>s</w:t>
      </w:r>
      <w:r w:rsidR="00B47206">
        <w:rPr>
          <w:rFonts w:eastAsia="Calibri"/>
          <w:sz w:val="24"/>
          <w:szCs w:val="24"/>
          <w:lang w:val="mk-MK"/>
        </w:rPr>
        <w:t xml:space="preserve">везда водилка во целиот процес на пишувањето. </w:t>
      </w:r>
      <w:r w:rsidR="004658CF" w:rsidRPr="004658CF">
        <w:rPr>
          <w:rFonts w:eastAsia="Calibri"/>
          <w:sz w:val="24"/>
          <w:szCs w:val="24"/>
          <w:lang w:val="mk-MK"/>
        </w:rPr>
        <w:t>Им благодарам и на Илин, Кристина</w:t>
      </w:r>
      <w:r w:rsidR="008817A8">
        <w:rPr>
          <w:rFonts w:eastAsia="Calibri"/>
          <w:sz w:val="24"/>
          <w:szCs w:val="24"/>
          <w:lang w:val="mk-MK"/>
        </w:rPr>
        <w:t>, Дино</w:t>
      </w:r>
      <w:r w:rsidR="004658CF" w:rsidRPr="004658CF">
        <w:rPr>
          <w:rFonts w:eastAsia="Calibri"/>
          <w:sz w:val="24"/>
          <w:szCs w:val="24"/>
          <w:lang w:val="mk-MK"/>
        </w:rPr>
        <w:t xml:space="preserve"> и Сара, чии размислувања, охрабрувања и поддршка во претходни проекти беа важен поттик во мојата одлука посериозно да му се посветам на правното истражување.</w:t>
      </w:r>
    </w:p>
    <w:p w14:paraId="3A5E05AF" w14:textId="6FC27AEA" w:rsidR="00BE0AFB" w:rsidRDefault="00BE0AFB" w:rsidP="00825244">
      <w:pPr>
        <w:pBdr>
          <w:top w:val="nil"/>
          <w:left w:val="nil"/>
          <w:bottom w:val="nil"/>
          <w:right w:val="nil"/>
          <w:between w:val="nil"/>
          <w:bar w:val="nil"/>
        </w:pBdr>
        <w:spacing w:before="240" w:after="240"/>
        <w:ind w:left="180" w:right="30" w:firstLine="540"/>
        <w:jc w:val="both"/>
        <w:rPr>
          <w:rFonts w:eastAsia="Calibri"/>
          <w:sz w:val="24"/>
          <w:szCs w:val="24"/>
          <w:lang w:val="mk-MK"/>
        </w:rPr>
      </w:pPr>
      <w:r w:rsidRPr="00BE0AFB">
        <w:rPr>
          <w:rFonts w:eastAsia="Calibri"/>
          <w:sz w:val="24"/>
          <w:szCs w:val="24"/>
          <w:lang w:val="mk-MK"/>
        </w:rPr>
        <w:t>Особено, над сè, им благодарам на моите најблиски. Оваа дисертација не би постоела без постојаната поддршка на моето семејство, чиј труд, љубов и пожртвуваност ми го отворија патот кон знаењето и ме научија да го ценам достоинството на секојдневниот напор.</w:t>
      </w:r>
    </w:p>
    <w:p w14:paraId="03790B7B" w14:textId="58DEFABC" w:rsidR="005B2BA7" w:rsidRDefault="005B2BA7" w:rsidP="00825244">
      <w:pPr>
        <w:pBdr>
          <w:top w:val="nil"/>
          <w:left w:val="nil"/>
          <w:bottom w:val="nil"/>
          <w:right w:val="nil"/>
          <w:between w:val="nil"/>
          <w:bar w:val="nil"/>
        </w:pBdr>
        <w:spacing w:before="240" w:after="240"/>
        <w:ind w:left="180" w:right="30" w:firstLine="540"/>
        <w:jc w:val="both"/>
        <w:rPr>
          <w:rFonts w:eastAsia="Calibri"/>
          <w:sz w:val="24"/>
          <w:szCs w:val="24"/>
          <w:lang w:val="mk-MK"/>
        </w:rPr>
      </w:pPr>
      <w:r w:rsidRPr="005B2BA7">
        <w:rPr>
          <w:rFonts w:eastAsia="Calibri"/>
          <w:sz w:val="24"/>
          <w:szCs w:val="24"/>
          <w:lang w:val="mk-MK"/>
        </w:rPr>
        <w:t>Академските престои во Србија, Холандија, Италија, Полска и САД</w:t>
      </w:r>
      <w:r>
        <w:rPr>
          <w:rFonts w:eastAsia="Calibri"/>
          <w:sz w:val="24"/>
          <w:szCs w:val="24"/>
          <w:lang w:val="mk-MK"/>
        </w:rPr>
        <w:t xml:space="preserve"> и финансиската поддршка што ја добив таму</w:t>
      </w:r>
      <w:r w:rsidRPr="005B2BA7">
        <w:rPr>
          <w:rFonts w:eastAsia="Calibri"/>
          <w:sz w:val="24"/>
          <w:szCs w:val="24"/>
          <w:lang w:val="mk-MK"/>
        </w:rPr>
        <w:t xml:space="preserve"> ми овозможија одблизу да се соочам со различните реалности во кои прашањата на ова истражување добиваат свое посебно значење. Тие искуства ме променија и како истражувач и како човек.</w:t>
      </w:r>
    </w:p>
    <w:p w14:paraId="69FCC6E3" w14:textId="54C73C24" w:rsidR="00F5756E" w:rsidRDefault="00C33765" w:rsidP="009036A3">
      <w:pPr>
        <w:pBdr>
          <w:top w:val="nil"/>
          <w:left w:val="nil"/>
          <w:bottom w:val="nil"/>
          <w:right w:val="nil"/>
          <w:between w:val="nil"/>
          <w:bar w:val="nil"/>
        </w:pBdr>
        <w:spacing w:before="240" w:after="240"/>
        <w:ind w:left="180" w:right="30" w:firstLine="540"/>
        <w:jc w:val="both"/>
        <w:rPr>
          <w:rFonts w:eastAsia="Calibri"/>
          <w:sz w:val="24"/>
          <w:szCs w:val="24"/>
          <w:lang w:val="mk-MK"/>
        </w:rPr>
      </w:pPr>
      <w:r w:rsidRPr="00C33765">
        <w:rPr>
          <w:rFonts w:eastAsia="Calibri"/>
          <w:sz w:val="24"/>
          <w:szCs w:val="24"/>
          <w:lang w:val="mk-MK"/>
        </w:rPr>
        <w:t>Најпосле</w:t>
      </w:r>
      <w:r w:rsidR="00BC6E11">
        <w:rPr>
          <w:rFonts w:eastAsia="Calibri"/>
          <w:sz w:val="24"/>
          <w:szCs w:val="24"/>
          <w:lang w:val="mk-MK"/>
        </w:rPr>
        <w:t xml:space="preserve"> и најбитно</w:t>
      </w:r>
      <w:r w:rsidRPr="00C33765">
        <w:rPr>
          <w:rFonts w:eastAsia="Calibri"/>
          <w:sz w:val="24"/>
          <w:szCs w:val="24"/>
          <w:lang w:val="mk-MK"/>
        </w:rPr>
        <w:t>, на Агнеса ѝ благодарам за сè што постоеше надвор од академијата, и за постојаниот потсетник дека животот не се мери во страници, белешки и рокови. Нејзе ѝ должам повеќе отколку што може да се искаже со зборови бидејќи трпеливо ги слушаше сите мои мисли, дилеми, стравови и надежи поврзани со овој докторат, одново и одново, низ години што понекогаш изгледаа бескрајни.</w:t>
      </w:r>
    </w:p>
    <w:p w14:paraId="08E17C9A" w14:textId="1B59FA45" w:rsidR="002D41F0" w:rsidRDefault="002D41F0" w:rsidP="009036A3">
      <w:pPr>
        <w:pBdr>
          <w:top w:val="nil"/>
          <w:left w:val="nil"/>
          <w:bottom w:val="nil"/>
          <w:right w:val="nil"/>
          <w:between w:val="nil"/>
          <w:bar w:val="nil"/>
        </w:pBdr>
        <w:ind w:left="6660" w:right="30"/>
        <w:jc w:val="center"/>
        <w:rPr>
          <w:rFonts w:eastAsia="Calibri"/>
          <w:sz w:val="24"/>
          <w:szCs w:val="24"/>
          <w:lang w:val="mk-MK"/>
        </w:rPr>
      </w:pPr>
      <w:r w:rsidRPr="00C64F6D">
        <w:rPr>
          <w:rFonts w:eastAsia="Calibri"/>
          <w:sz w:val="24"/>
          <w:szCs w:val="24"/>
          <w:lang w:val="mk-MK"/>
        </w:rPr>
        <w:t>Вилдан Дрпљанин</w:t>
      </w:r>
      <w:r>
        <w:rPr>
          <w:rFonts w:eastAsia="Calibri"/>
          <w:sz w:val="24"/>
          <w:szCs w:val="24"/>
          <w:lang w:val="mk-MK"/>
        </w:rPr>
        <w:t>,</w:t>
      </w:r>
    </w:p>
    <w:p w14:paraId="09D893C9" w14:textId="44082E35" w:rsidR="002D41F0" w:rsidRDefault="00F5756E" w:rsidP="009036A3">
      <w:pPr>
        <w:pBdr>
          <w:top w:val="nil"/>
          <w:left w:val="nil"/>
          <w:bottom w:val="nil"/>
          <w:right w:val="nil"/>
          <w:between w:val="nil"/>
          <w:bar w:val="nil"/>
        </w:pBdr>
        <w:ind w:left="5940" w:right="30" w:firstLine="540"/>
        <w:jc w:val="center"/>
        <w:rPr>
          <w:rFonts w:eastAsia="Calibri"/>
          <w:sz w:val="24"/>
          <w:szCs w:val="24"/>
          <w:lang w:val="mk-MK"/>
        </w:rPr>
      </w:pPr>
      <w:r>
        <w:rPr>
          <w:rFonts w:eastAsia="Calibri"/>
          <w:sz w:val="24"/>
          <w:szCs w:val="24"/>
          <w:lang w:val="mk-MK"/>
        </w:rPr>
        <w:t xml:space="preserve">Правен Факултет </w:t>
      </w:r>
    </w:p>
    <w:p w14:paraId="0122CDB8" w14:textId="48373AD3" w:rsidR="00F5756E" w:rsidRDefault="00F5756E" w:rsidP="009036A3">
      <w:pPr>
        <w:pBdr>
          <w:top w:val="nil"/>
          <w:left w:val="nil"/>
          <w:bottom w:val="nil"/>
          <w:right w:val="nil"/>
          <w:between w:val="nil"/>
          <w:bar w:val="nil"/>
        </w:pBdr>
        <w:ind w:left="5940" w:right="30" w:firstLine="540"/>
        <w:jc w:val="center"/>
        <w:rPr>
          <w:rFonts w:eastAsia="Calibri"/>
          <w:sz w:val="24"/>
          <w:szCs w:val="24"/>
          <w:lang w:val="mk-MK"/>
        </w:rPr>
      </w:pPr>
      <w:r>
        <w:rPr>
          <w:rFonts w:eastAsia="Calibri"/>
          <w:sz w:val="24"/>
          <w:szCs w:val="24"/>
          <w:lang w:val="mk-MK"/>
        </w:rPr>
        <w:t>„Јустинијан Први“</w:t>
      </w:r>
    </w:p>
    <w:p w14:paraId="5A6B3934" w14:textId="5DE0AECE" w:rsidR="002D41F0" w:rsidRDefault="00C64F6D" w:rsidP="009036A3">
      <w:pPr>
        <w:pBdr>
          <w:top w:val="nil"/>
          <w:left w:val="nil"/>
          <w:bottom w:val="nil"/>
          <w:right w:val="nil"/>
          <w:between w:val="nil"/>
          <w:bar w:val="nil"/>
        </w:pBdr>
        <w:ind w:left="5940" w:right="30" w:firstLine="540"/>
        <w:jc w:val="center"/>
        <w:rPr>
          <w:rFonts w:eastAsia="Calibri"/>
          <w:sz w:val="24"/>
          <w:szCs w:val="24"/>
          <w:lang w:val="mk-MK"/>
        </w:rPr>
      </w:pPr>
      <w:r>
        <w:rPr>
          <w:rFonts w:eastAsia="Calibri"/>
          <w:sz w:val="24"/>
          <w:szCs w:val="24"/>
          <w:lang w:val="mk-MK"/>
        </w:rPr>
        <w:t>Ј</w:t>
      </w:r>
      <w:r w:rsidR="005B469A">
        <w:rPr>
          <w:rFonts w:eastAsia="Calibri"/>
          <w:sz w:val="24"/>
          <w:szCs w:val="24"/>
          <w:lang w:val="mk-MK"/>
        </w:rPr>
        <w:t>уни</w:t>
      </w:r>
      <w:r w:rsidR="00BC6E11">
        <w:rPr>
          <w:rFonts w:eastAsia="Calibri"/>
          <w:sz w:val="24"/>
          <w:szCs w:val="24"/>
          <w:lang w:val="mk-MK"/>
        </w:rPr>
        <w:t>,</w:t>
      </w:r>
      <w:r w:rsidR="005B469A">
        <w:rPr>
          <w:rFonts w:eastAsia="Calibri"/>
          <w:sz w:val="24"/>
          <w:szCs w:val="24"/>
          <w:lang w:val="mk-MK"/>
        </w:rPr>
        <w:t xml:space="preserve"> 2026 година</w:t>
      </w:r>
      <w:r>
        <w:rPr>
          <w:rFonts w:eastAsia="Calibri"/>
          <w:sz w:val="24"/>
          <w:szCs w:val="24"/>
          <w:lang w:val="mk-MK"/>
        </w:rPr>
        <w:t xml:space="preserve"> </w:t>
      </w:r>
    </w:p>
    <w:p w14:paraId="12F9F3F9" w14:textId="6A4563F9" w:rsidR="001762F7" w:rsidRPr="001A46D0" w:rsidRDefault="00C64F6D" w:rsidP="004C5EFF">
      <w:pPr>
        <w:pBdr>
          <w:top w:val="nil"/>
          <w:left w:val="nil"/>
          <w:bottom w:val="nil"/>
          <w:right w:val="nil"/>
          <w:between w:val="nil"/>
          <w:bar w:val="nil"/>
        </w:pBdr>
        <w:ind w:left="6660" w:right="30"/>
        <w:jc w:val="center"/>
        <w:rPr>
          <w:rFonts w:eastAsia="Calibri"/>
          <w:sz w:val="24"/>
          <w:szCs w:val="24"/>
          <w:lang w:val="mk-MK"/>
        </w:rPr>
      </w:pPr>
      <w:r>
        <w:rPr>
          <w:rFonts w:eastAsia="Calibri"/>
          <w:sz w:val="24"/>
          <w:szCs w:val="24"/>
          <w:lang w:val="mk-MK"/>
        </w:rPr>
        <w:t>Скопје, Македонија</w:t>
      </w:r>
    </w:p>
    <w:sdt>
      <w:sdtPr>
        <w:rPr>
          <w:rFonts w:ascii="Times New Roman" w:eastAsia="Times New Roman" w:hAnsi="Times New Roman" w:cs="Times New Roman"/>
          <w:color w:val="auto"/>
          <w:sz w:val="22"/>
          <w:szCs w:val="22"/>
          <w:lang w:val="bg-BG"/>
        </w:rPr>
        <w:id w:val="2103139676"/>
        <w:docPartObj>
          <w:docPartGallery w:val="Table of Contents"/>
          <w:docPartUnique/>
        </w:docPartObj>
      </w:sdtPr>
      <w:sdtEndPr>
        <w:rPr>
          <w:b/>
          <w:bCs/>
          <w:noProof/>
        </w:rPr>
      </w:sdtEndPr>
      <w:sdtContent>
        <w:p w14:paraId="40D1AA45" w14:textId="7A8866C3" w:rsidR="00ED2B59" w:rsidRPr="00225038" w:rsidRDefault="00ED2B59" w:rsidP="00225038">
          <w:pPr>
            <w:pStyle w:val="TOCHeading"/>
            <w:jc w:val="center"/>
            <w:rPr>
              <w:rFonts w:ascii="Times New Roman" w:hAnsi="Times New Roman" w:cs="Times New Roman"/>
              <w:b/>
              <w:bCs/>
              <w:color w:val="auto"/>
              <w:lang w:val="mk-MK"/>
            </w:rPr>
          </w:pPr>
          <w:r w:rsidRPr="00166399">
            <w:rPr>
              <w:rFonts w:ascii="Times New Roman" w:hAnsi="Times New Roman" w:cs="Times New Roman"/>
              <w:b/>
              <w:bCs/>
              <w:color w:val="auto"/>
              <w:lang w:val="mk-MK"/>
            </w:rPr>
            <w:t>Содржина</w:t>
          </w:r>
        </w:p>
        <w:p w14:paraId="41B809CB" w14:textId="633BB0C2" w:rsidR="0087719A" w:rsidRDefault="00ED2B59">
          <w:pPr>
            <w:pStyle w:val="TOC1"/>
            <w:rPr>
              <w:rFonts w:asciiTheme="minorHAnsi" w:eastAsiaTheme="minorEastAsia" w:hAnsiTheme="minorHAnsi" w:cstheme="minorBidi"/>
              <w:noProof/>
              <w:kern w:val="2"/>
              <w:sz w:val="24"/>
              <w:szCs w:val="24"/>
              <w:lang w:val="en-US"/>
              <w14:ligatures w14:val="standardContextual"/>
            </w:rPr>
          </w:pPr>
          <w:r w:rsidRPr="00F53881">
            <w:fldChar w:fldCharType="begin"/>
          </w:r>
          <w:r w:rsidRPr="00F53881">
            <w:instrText xml:space="preserve"> TOC \o "1-3" \h \z \u </w:instrText>
          </w:r>
          <w:r w:rsidRPr="00F53881">
            <w:fldChar w:fldCharType="separate"/>
          </w:r>
          <w:hyperlink w:anchor="_Toc230523853" w:history="1">
            <w:r w:rsidR="0087719A" w:rsidRPr="00917194">
              <w:rPr>
                <w:rStyle w:val="Hyperlink"/>
                <w:noProof/>
                <w:lang w:val="mk-MK"/>
              </w:rPr>
              <w:t>Табела на кратенки</w:t>
            </w:r>
            <w:r w:rsidR="0087719A" w:rsidRPr="00917194">
              <w:rPr>
                <w:rStyle w:val="Hyperlink"/>
                <w:noProof/>
                <w:lang w:val="en-US"/>
              </w:rPr>
              <w:t xml:space="preserve"> </w:t>
            </w:r>
            <w:r w:rsidR="0087719A" w:rsidRPr="00917194">
              <w:rPr>
                <w:rStyle w:val="Hyperlink"/>
                <w:noProof/>
                <w:lang w:val="mk-MK"/>
              </w:rPr>
              <w:t>и значење</w:t>
            </w:r>
            <w:r w:rsidR="0087719A">
              <w:rPr>
                <w:noProof/>
                <w:webHidden/>
              </w:rPr>
              <w:tab/>
            </w:r>
            <w:r w:rsidR="0087719A">
              <w:rPr>
                <w:noProof/>
                <w:webHidden/>
              </w:rPr>
              <w:fldChar w:fldCharType="begin"/>
            </w:r>
            <w:r w:rsidR="0087719A">
              <w:rPr>
                <w:noProof/>
                <w:webHidden/>
              </w:rPr>
              <w:instrText xml:space="preserve"> PAGEREF _Toc230523853 \h </w:instrText>
            </w:r>
            <w:r w:rsidR="0087719A">
              <w:rPr>
                <w:noProof/>
                <w:webHidden/>
              </w:rPr>
            </w:r>
            <w:r w:rsidR="0087719A">
              <w:rPr>
                <w:noProof/>
                <w:webHidden/>
              </w:rPr>
              <w:fldChar w:fldCharType="separate"/>
            </w:r>
            <w:r w:rsidR="0000720E">
              <w:rPr>
                <w:noProof/>
                <w:webHidden/>
              </w:rPr>
              <w:t>xi</w:t>
            </w:r>
            <w:r w:rsidR="0087719A">
              <w:rPr>
                <w:noProof/>
                <w:webHidden/>
              </w:rPr>
              <w:fldChar w:fldCharType="end"/>
            </w:r>
          </w:hyperlink>
        </w:p>
        <w:p w14:paraId="4C5C7E39" w14:textId="107D1732"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854" w:history="1">
            <w:r w:rsidRPr="00917194">
              <w:rPr>
                <w:rStyle w:val="Hyperlink"/>
                <w:noProof/>
                <w:lang w:val="mk-MK"/>
              </w:rPr>
              <w:t>Табела на релевантни случаи</w:t>
            </w:r>
            <w:r>
              <w:rPr>
                <w:noProof/>
                <w:webHidden/>
              </w:rPr>
              <w:tab/>
            </w:r>
            <w:r>
              <w:rPr>
                <w:noProof/>
                <w:webHidden/>
              </w:rPr>
              <w:fldChar w:fldCharType="begin"/>
            </w:r>
            <w:r>
              <w:rPr>
                <w:noProof/>
                <w:webHidden/>
              </w:rPr>
              <w:instrText xml:space="preserve"> PAGEREF _Toc230523854 \h </w:instrText>
            </w:r>
            <w:r>
              <w:rPr>
                <w:noProof/>
                <w:webHidden/>
              </w:rPr>
            </w:r>
            <w:r>
              <w:rPr>
                <w:noProof/>
                <w:webHidden/>
              </w:rPr>
              <w:fldChar w:fldCharType="separate"/>
            </w:r>
            <w:r w:rsidR="0000720E">
              <w:rPr>
                <w:noProof/>
                <w:webHidden/>
              </w:rPr>
              <w:t>xii</w:t>
            </w:r>
            <w:r>
              <w:rPr>
                <w:noProof/>
                <w:webHidden/>
              </w:rPr>
              <w:fldChar w:fldCharType="end"/>
            </w:r>
          </w:hyperlink>
        </w:p>
        <w:p w14:paraId="13632381" w14:textId="658331CB"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855" w:history="1">
            <w:r w:rsidRPr="00917194">
              <w:rPr>
                <w:rStyle w:val="Hyperlink"/>
                <w:noProof/>
                <w:lang w:val="mk-MK"/>
              </w:rPr>
              <w:t>Релевантно законодавство</w:t>
            </w:r>
            <w:r>
              <w:rPr>
                <w:noProof/>
                <w:webHidden/>
              </w:rPr>
              <w:tab/>
            </w:r>
            <w:r>
              <w:rPr>
                <w:noProof/>
                <w:webHidden/>
              </w:rPr>
              <w:fldChar w:fldCharType="begin"/>
            </w:r>
            <w:r>
              <w:rPr>
                <w:noProof/>
                <w:webHidden/>
              </w:rPr>
              <w:instrText xml:space="preserve"> PAGEREF _Toc230523855 \h </w:instrText>
            </w:r>
            <w:r>
              <w:rPr>
                <w:noProof/>
                <w:webHidden/>
              </w:rPr>
            </w:r>
            <w:r>
              <w:rPr>
                <w:noProof/>
                <w:webHidden/>
              </w:rPr>
              <w:fldChar w:fldCharType="separate"/>
            </w:r>
            <w:r w:rsidR="0000720E">
              <w:rPr>
                <w:noProof/>
                <w:webHidden/>
              </w:rPr>
              <w:t>xiv</w:t>
            </w:r>
            <w:r>
              <w:rPr>
                <w:noProof/>
                <w:webHidden/>
              </w:rPr>
              <w:fldChar w:fldCharType="end"/>
            </w:r>
          </w:hyperlink>
        </w:p>
        <w:p w14:paraId="5D55DAB0" w14:textId="077F6114"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856" w:history="1">
            <w:r w:rsidRPr="00917194">
              <w:rPr>
                <w:rStyle w:val="Hyperlink"/>
                <w:noProof/>
                <w:lang w:val="mk-MK"/>
              </w:rPr>
              <w:t>Вовед, контекст и цели</w:t>
            </w:r>
            <w:r>
              <w:rPr>
                <w:noProof/>
                <w:webHidden/>
              </w:rPr>
              <w:tab/>
            </w:r>
            <w:r>
              <w:rPr>
                <w:noProof/>
                <w:webHidden/>
              </w:rPr>
              <w:fldChar w:fldCharType="begin"/>
            </w:r>
            <w:r>
              <w:rPr>
                <w:noProof/>
                <w:webHidden/>
              </w:rPr>
              <w:instrText xml:space="preserve"> PAGEREF _Toc230523856 \h </w:instrText>
            </w:r>
            <w:r>
              <w:rPr>
                <w:noProof/>
                <w:webHidden/>
              </w:rPr>
            </w:r>
            <w:r>
              <w:rPr>
                <w:noProof/>
                <w:webHidden/>
              </w:rPr>
              <w:fldChar w:fldCharType="separate"/>
            </w:r>
            <w:r w:rsidR="0000720E">
              <w:rPr>
                <w:noProof/>
                <w:webHidden/>
              </w:rPr>
              <w:t>- 1 -</w:t>
            </w:r>
            <w:r>
              <w:rPr>
                <w:noProof/>
                <w:webHidden/>
              </w:rPr>
              <w:fldChar w:fldCharType="end"/>
            </w:r>
          </w:hyperlink>
        </w:p>
        <w:p w14:paraId="41B36F13" w14:textId="11A1156C"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57" w:history="1">
            <w:r w:rsidRPr="00917194">
              <w:rPr>
                <w:rStyle w:val="Hyperlink"/>
                <w:noProof/>
                <w:lang w:val="en-US"/>
              </w:rPr>
              <w:t>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Академски пристап, структура, хипотези и теза</w:t>
            </w:r>
            <w:r>
              <w:rPr>
                <w:noProof/>
                <w:webHidden/>
              </w:rPr>
              <w:tab/>
            </w:r>
            <w:r>
              <w:rPr>
                <w:noProof/>
                <w:webHidden/>
              </w:rPr>
              <w:fldChar w:fldCharType="begin"/>
            </w:r>
            <w:r>
              <w:rPr>
                <w:noProof/>
                <w:webHidden/>
              </w:rPr>
              <w:instrText xml:space="preserve"> PAGEREF _Toc230523857 \h </w:instrText>
            </w:r>
            <w:r>
              <w:rPr>
                <w:noProof/>
                <w:webHidden/>
              </w:rPr>
            </w:r>
            <w:r>
              <w:rPr>
                <w:noProof/>
                <w:webHidden/>
              </w:rPr>
              <w:fldChar w:fldCharType="separate"/>
            </w:r>
            <w:r w:rsidR="0000720E">
              <w:rPr>
                <w:noProof/>
                <w:webHidden/>
              </w:rPr>
              <w:t>- 3 -</w:t>
            </w:r>
            <w:r>
              <w:rPr>
                <w:noProof/>
                <w:webHidden/>
              </w:rPr>
              <w:fldChar w:fldCharType="end"/>
            </w:r>
          </w:hyperlink>
        </w:p>
        <w:p w14:paraId="1BB8FD47" w14:textId="2DD3674A"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858" w:history="1">
            <w:r w:rsidRPr="00917194">
              <w:rPr>
                <w:rStyle w:val="Hyperlink"/>
                <w:noProof/>
                <w:lang w:val="en-US"/>
              </w:rPr>
              <w:t>II.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Терминологија</w:t>
            </w:r>
            <w:r>
              <w:rPr>
                <w:noProof/>
                <w:webHidden/>
              </w:rPr>
              <w:tab/>
            </w:r>
            <w:r>
              <w:rPr>
                <w:noProof/>
                <w:webHidden/>
              </w:rPr>
              <w:fldChar w:fldCharType="begin"/>
            </w:r>
            <w:r>
              <w:rPr>
                <w:noProof/>
                <w:webHidden/>
              </w:rPr>
              <w:instrText xml:space="preserve"> PAGEREF _Toc230523858 \h </w:instrText>
            </w:r>
            <w:r>
              <w:rPr>
                <w:noProof/>
                <w:webHidden/>
              </w:rPr>
            </w:r>
            <w:r>
              <w:rPr>
                <w:noProof/>
                <w:webHidden/>
              </w:rPr>
              <w:fldChar w:fldCharType="separate"/>
            </w:r>
            <w:r w:rsidR="0000720E">
              <w:rPr>
                <w:noProof/>
                <w:webHidden/>
              </w:rPr>
              <w:t>- 6 -</w:t>
            </w:r>
            <w:r>
              <w:rPr>
                <w:noProof/>
                <w:webHidden/>
              </w:rPr>
              <w:fldChar w:fldCharType="end"/>
            </w:r>
          </w:hyperlink>
        </w:p>
        <w:p w14:paraId="22D94A50" w14:textId="661D29EA"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859" w:history="1">
            <w:r w:rsidRPr="00917194">
              <w:rPr>
                <w:rStyle w:val="Hyperlink"/>
                <w:noProof/>
                <w:lang w:val="en-US"/>
              </w:rPr>
              <w:t>III.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Дефиниции и ограничувања</w:t>
            </w:r>
            <w:r>
              <w:rPr>
                <w:noProof/>
                <w:webHidden/>
              </w:rPr>
              <w:tab/>
            </w:r>
            <w:r>
              <w:rPr>
                <w:noProof/>
                <w:webHidden/>
              </w:rPr>
              <w:fldChar w:fldCharType="begin"/>
            </w:r>
            <w:r>
              <w:rPr>
                <w:noProof/>
                <w:webHidden/>
              </w:rPr>
              <w:instrText xml:space="preserve"> PAGEREF _Toc230523859 \h </w:instrText>
            </w:r>
            <w:r>
              <w:rPr>
                <w:noProof/>
                <w:webHidden/>
              </w:rPr>
            </w:r>
            <w:r>
              <w:rPr>
                <w:noProof/>
                <w:webHidden/>
              </w:rPr>
              <w:fldChar w:fldCharType="separate"/>
            </w:r>
            <w:r w:rsidR="0000720E">
              <w:rPr>
                <w:noProof/>
                <w:webHidden/>
              </w:rPr>
              <w:t>- 7 -</w:t>
            </w:r>
            <w:r>
              <w:rPr>
                <w:noProof/>
                <w:webHidden/>
              </w:rPr>
              <w:fldChar w:fldCharType="end"/>
            </w:r>
          </w:hyperlink>
        </w:p>
        <w:p w14:paraId="0504976A" w14:textId="6541B512"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860" w:history="1">
            <w:r w:rsidRPr="00917194">
              <w:rPr>
                <w:rStyle w:val="Hyperlink"/>
                <w:noProof/>
                <w:lang w:val="en-US"/>
              </w:rPr>
              <w:t>IV.</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Истражувачко прашање</w:t>
            </w:r>
            <w:r>
              <w:rPr>
                <w:noProof/>
                <w:webHidden/>
              </w:rPr>
              <w:tab/>
            </w:r>
            <w:r>
              <w:rPr>
                <w:noProof/>
                <w:webHidden/>
              </w:rPr>
              <w:fldChar w:fldCharType="begin"/>
            </w:r>
            <w:r>
              <w:rPr>
                <w:noProof/>
                <w:webHidden/>
              </w:rPr>
              <w:instrText xml:space="preserve"> PAGEREF _Toc230523860 \h </w:instrText>
            </w:r>
            <w:r>
              <w:rPr>
                <w:noProof/>
                <w:webHidden/>
              </w:rPr>
            </w:r>
            <w:r>
              <w:rPr>
                <w:noProof/>
                <w:webHidden/>
              </w:rPr>
              <w:fldChar w:fldCharType="separate"/>
            </w:r>
            <w:r w:rsidR="0000720E">
              <w:rPr>
                <w:noProof/>
                <w:webHidden/>
              </w:rPr>
              <w:t>- 8 -</w:t>
            </w:r>
            <w:r>
              <w:rPr>
                <w:noProof/>
                <w:webHidden/>
              </w:rPr>
              <w:fldChar w:fldCharType="end"/>
            </w:r>
          </w:hyperlink>
        </w:p>
        <w:p w14:paraId="1C316167" w14:textId="4CD852E0"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861" w:history="1">
            <w:r w:rsidRPr="00917194">
              <w:rPr>
                <w:rStyle w:val="Hyperlink"/>
                <w:noProof/>
                <w:lang w:val="en-US"/>
              </w:rPr>
              <w:t>V.</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Методологија</w:t>
            </w:r>
            <w:r>
              <w:rPr>
                <w:noProof/>
                <w:webHidden/>
              </w:rPr>
              <w:tab/>
            </w:r>
            <w:r>
              <w:rPr>
                <w:noProof/>
                <w:webHidden/>
              </w:rPr>
              <w:fldChar w:fldCharType="begin"/>
            </w:r>
            <w:r>
              <w:rPr>
                <w:noProof/>
                <w:webHidden/>
              </w:rPr>
              <w:instrText xml:space="preserve"> PAGEREF _Toc230523861 \h </w:instrText>
            </w:r>
            <w:r>
              <w:rPr>
                <w:noProof/>
                <w:webHidden/>
              </w:rPr>
            </w:r>
            <w:r>
              <w:rPr>
                <w:noProof/>
                <w:webHidden/>
              </w:rPr>
              <w:fldChar w:fldCharType="separate"/>
            </w:r>
            <w:r w:rsidR="0000720E">
              <w:rPr>
                <w:noProof/>
                <w:webHidden/>
              </w:rPr>
              <w:t>- 10 -</w:t>
            </w:r>
            <w:r>
              <w:rPr>
                <w:noProof/>
                <w:webHidden/>
              </w:rPr>
              <w:fldChar w:fldCharType="end"/>
            </w:r>
          </w:hyperlink>
        </w:p>
        <w:p w14:paraId="2D72601F" w14:textId="17F4081F"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862" w:history="1">
            <w:r w:rsidRPr="00917194">
              <w:rPr>
                <w:rStyle w:val="Hyperlink"/>
                <w:noProof/>
              </w:rPr>
              <w:t>A.</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Историски и правни основи на корпоративното управување</w:t>
            </w:r>
            <w:r>
              <w:rPr>
                <w:noProof/>
                <w:webHidden/>
              </w:rPr>
              <w:tab/>
            </w:r>
            <w:r>
              <w:rPr>
                <w:noProof/>
                <w:webHidden/>
              </w:rPr>
              <w:fldChar w:fldCharType="begin"/>
            </w:r>
            <w:r>
              <w:rPr>
                <w:noProof/>
                <w:webHidden/>
              </w:rPr>
              <w:instrText xml:space="preserve"> PAGEREF _Toc230523862 \h </w:instrText>
            </w:r>
            <w:r>
              <w:rPr>
                <w:noProof/>
                <w:webHidden/>
              </w:rPr>
            </w:r>
            <w:r>
              <w:rPr>
                <w:noProof/>
                <w:webHidden/>
              </w:rPr>
              <w:fldChar w:fldCharType="separate"/>
            </w:r>
            <w:r w:rsidR="0000720E">
              <w:rPr>
                <w:noProof/>
                <w:webHidden/>
              </w:rPr>
              <w:t>- 12 -</w:t>
            </w:r>
            <w:r>
              <w:rPr>
                <w:noProof/>
                <w:webHidden/>
              </w:rPr>
              <w:fldChar w:fldCharType="end"/>
            </w:r>
          </w:hyperlink>
        </w:p>
        <w:p w14:paraId="17DE457A" w14:textId="7372EB0E"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63" w:history="1">
            <w:r w:rsidRPr="00917194">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Корпоративното управување во денешна смисла</w:t>
            </w:r>
            <w:r>
              <w:rPr>
                <w:noProof/>
                <w:webHidden/>
              </w:rPr>
              <w:tab/>
            </w:r>
            <w:r>
              <w:rPr>
                <w:noProof/>
                <w:webHidden/>
              </w:rPr>
              <w:fldChar w:fldCharType="begin"/>
            </w:r>
            <w:r>
              <w:rPr>
                <w:noProof/>
                <w:webHidden/>
              </w:rPr>
              <w:instrText xml:space="preserve"> PAGEREF _Toc230523863 \h </w:instrText>
            </w:r>
            <w:r>
              <w:rPr>
                <w:noProof/>
                <w:webHidden/>
              </w:rPr>
            </w:r>
            <w:r>
              <w:rPr>
                <w:noProof/>
                <w:webHidden/>
              </w:rPr>
              <w:fldChar w:fldCharType="separate"/>
            </w:r>
            <w:r w:rsidR="0000720E">
              <w:rPr>
                <w:noProof/>
                <w:webHidden/>
              </w:rPr>
              <w:t>- 16 -</w:t>
            </w:r>
            <w:r>
              <w:rPr>
                <w:noProof/>
                <w:webHidden/>
              </w:rPr>
              <w:fldChar w:fldCharType="end"/>
            </w:r>
          </w:hyperlink>
        </w:p>
        <w:p w14:paraId="451C2659" w14:textId="7C90DCD2"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64" w:history="1">
            <w:r w:rsidRPr="00917194">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Вклученоста на вработените како дел од корпоративното уредување</w:t>
            </w:r>
            <w:r>
              <w:rPr>
                <w:noProof/>
                <w:webHidden/>
              </w:rPr>
              <w:tab/>
            </w:r>
            <w:r>
              <w:rPr>
                <w:noProof/>
                <w:webHidden/>
              </w:rPr>
              <w:fldChar w:fldCharType="begin"/>
            </w:r>
            <w:r>
              <w:rPr>
                <w:noProof/>
                <w:webHidden/>
              </w:rPr>
              <w:instrText xml:space="preserve"> PAGEREF _Toc230523864 \h </w:instrText>
            </w:r>
            <w:r>
              <w:rPr>
                <w:noProof/>
                <w:webHidden/>
              </w:rPr>
            </w:r>
            <w:r>
              <w:rPr>
                <w:noProof/>
                <w:webHidden/>
              </w:rPr>
              <w:fldChar w:fldCharType="separate"/>
            </w:r>
            <w:r w:rsidR="0000720E">
              <w:rPr>
                <w:noProof/>
                <w:webHidden/>
              </w:rPr>
              <w:t>- 20 -</w:t>
            </w:r>
            <w:r>
              <w:rPr>
                <w:noProof/>
                <w:webHidden/>
              </w:rPr>
              <w:fldChar w:fldCharType="end"/>
            </w:r>
          </w:hyperlink>
        </w:p>
        <w:p w14:paraId="63F7F3AE" w14:textId="75E182BB"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65" w:history="1">
            <w:r w:rsidRPr="00917194">
              <w:rPr>
                <w:rStyle w:val="Hyperlink"/>
                <w:noProof/>
                <w:lang w:bidi="hi-IN"/>
              </w:rPr>
              <w:t>2.1.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Доминантни модели за вклученост на вработените</w:t>
            </w:r>
            <w:r>
              <w:rPr>
                <w:noProof/>
                <w:webHidden/>
              </w:rPr>
              <w:tab/>
            </w:r>
            <w:r>
              <w:rPr>
                <w:noProof/>
                <w:webHidden/>
              </w:rPr>
              <w:fldChar w:fldCharType="begin"/>
            </w:r>
            <w:r>
              <w:rPr>
                <w:noProof/>
                <w:webHidden/>
              </w:rPr>
              <w:instrText xml:space="preserve"> PAGEREF _Toc230523865 \h </w:instrText>
            </w:r>
            <w:r>
              <w:rPr>
                <w:noProof/>
                <w:webHidden/>
              </w:rPr>
            </w:r>
            <w:r>
              <w:rPr>
                <w:noProof/>
                <w:webHidden/>
              </w:rPr>
              <w:fldChar w:fldCharType="separate"/>
            </w:r>
            <w:r w:rsidR="0000720E">
              <w:rPr>
                <w:noProof/>
                <w:webHidden/>
              </w:rPr>
              <w:t>- 23 -</w:t>
            </w:r>
            <w:r>
              <w:rPr>
                <w:noProof/>
                <w:webHidden/>
              </w:rPr>
              <w:fldChar w:fldCharType="end"/>
            </w:r>
          </w:hyperlink>
        </w:p>
        <w:p w14:paraId="3A4C41C3" w14:textId="16E9876E"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66" w:history="1">
            <w:r w:rsidRPr="00917194">
              <w:rPr>
                <w:rStyle w:val="Hyperlink"/>
                <w:noProof/>
                <w:lang w:bidi="hi-IN"/>
              </w:rPr>
              <w:t>2.2.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Предности и предизвици на двата доминантни модели</w:t>
            </w:r>
            <w:r>
              <w:rPr>
                <w:noProof/>
                <w:webHidden/>
              </w:rPr>
              <w:tab/>
            </w:r>
            <w:r>
              <w:rPr>
                <w:noProof/>
                <w:webHidden/>
              </w:rPr>
              <w:fldChar w:fldCharType="begin"/>
            </w:r>
            <w:r>
              <w:rPr>
                <w:noProof/>
                <w:webHidden/>
              </w:rPr>
              <w:instrText xml:space="preserve"> PAGEREF _Toc230523866 \h </w:instrText>
            </w:r>
            <w:r>
              <w:rPr>
                <w:noProof/>
                <w:webHidden/>
              </w:rPr>
            </w:r>
            <w:r>
              <w:rPr>
                <w:noProof/>
                <w:webHidden/>
              </w:rPr>
              <w:fldChar w:fldCharType="separate"/>
            </w:r>
            <w:r w:rsidR="0000720E">
              <w:rPr>
                <w:noProof/>
                <w:webHidden/>
              </w:rPr>
              <w:t>- 25 -</w:t>
            </w:r>
            <w:r>
              <w:rPr>
                <w:noProof/>
                <w:webHidden/>
              </w:rPr>
              <w:fldChar w:fldCharType="end"/>
            </w:r>
          </w:hyperlink>
        </w:p>
        <w:p w14:paraId="1A83B0BB" w14:textId="6AD1342C"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67" w:history="1">
            <w:r w:rsidRPr="00917194">
              <w:rPr>
                <w:rStyle w:val="Hyperlink"/>
                <w:noProof/>
                <w:lang w:bidi="hi-IN"/>
              </w:rPr>
              <w:t>2.3.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Моделот на работничка кодетерминација</w:t>
            </w:r>
            <w:r>
              <w:rPr>
                <w:noProof/>
                <w:webHidden/>
              </w:rPr>
              <w:tab/>
            </w:r>
            <w:r>
              <w:rPr>
                <w:noProof/>
                <w:webHidden/>
              </w:rPr>
              <w:fldChar w:fldCharType="begin"/>
            </w:r>
            <w:r>
              <w:rPr>
                <w:noProof/>
                <w:webHidden/>
              </w:rPr>
              <w:instrText xml:space="preserve"> PAGEREF _Toc230523867 \h </w:instrText>
            </w:r>
            <w:r>
              <w:rPr>
                <w:noProof/>
                <w:webHidden/>
              </w:rPr>
            </w:r>
            <w:r>
              <w:rPr>
                <w:noProof/>
                <w:webHidden/>
              </w:rPr>
              <w:fldChar w:fldCharType="separate"/>
            </w:r>
            <w:r w:rsidR="0000720E">
              <w:rPr>
                <w:noProof/>
                <w:webHidden/>
              </w:rPr>
              <w:t>- 26 -</w:t>
            </w:r>
            <w:r>
              <w:rPr>
                <w:noProof/>
                <w:webHidden/>
              </w:rPr>
              <w:fldChar w:fldCharType="end"/>
            </w:r>
          </w:hyperlink>
        </w:p>
        <w:p w14:paraId="491FB612" w14:textId="76D575B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68" w:history="1">
            <w:r w:rsidRPr="00917194">
              <w:rPr>
                <w:rStyle w:val="Hyperlink"/>
                <w:noProof/>
                <w:lang w:bidi="hi-IN"/>
              </w:rPr>
              <w:t>2.4.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Германскиот модел на работничко со-одлучување</w:t>
            </w:r>
            <w:r>
              <w:rPr>
                <w:noProof/>
                <w:webHidden/>
              </w:rPr>
              <w:tab/>
            </w:r>
            <w:r>
              <w:rPr>
                <w:noProof/>
                <w:webHidden/>
              </w:rPr>
              <w:fldChar w:fldCharType="begin"/>
            </w:r>
            <w:r>
              <w:rPr>
                <w:noProof/>
                <w:webHidden/>
              </w:rPr>
              <w:instrText xml:space="preserve"> PAGEREF _Toc230523868 \h </w:instrText>
            </w:r>
            <w:r>
              <w:rPr>
                <w:noProof/>
                <w:webHidden/>
              </w:rPr>
            </w:r>
            <w:r>
              <w:rPr>
                <w:noProof/>
                <w:webHidden/>
              </w:rPr>
              <w:fldChar w:fldCharType="separate"/>
            </w:r>
            <w:r w:rsidR="0000720E">
              <w:rPr>
                <w:noProof/>
                <w:webHidden/>
              </w:rPr>
              <w:t>- 29 -</w:t>
            </w:r>
            <w:r>
              <w:rPr>
                <w:noProof/>
                <w:webHidden/>
              </w:rPr>
              <w:fldChar w:fldCharType="end"/>
            </w:r>
          </w:hyperlink>
        </w:p>
        <w:p w14:paraId="6098BCF5" w14:textId="148B0E25"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69" w:history="1">
            <w:r w:rsidRPr="00917194">
              <w:rPr>
                <w:rStyle w:val="Hyperlink"/>
                <w:noProof/>
                <w:lang w:bidi="hi-IN"/>
              </w:rPr>
              <w:t>2.5.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Искуства од Франција,</w:t>
            </w:r>
            <w:r w:rsidRPr="00917194">
              <w:rPr>
                <w:rStyle w:val="Hyperlink"/>
                <w:noProof/>
                <w:lang w:val="en-US" w:bidi="hi-IN"/>
              </w:rPr>
              <w:t xml:space="preserve"> </w:t>
            </w:r>
            <w:r w:rsidRPr="00917194">
              <w:rPr>
                <w:rStyle w:val="Hyperlink"/>
                <w:noProof/>
                <w:lang w:val="mk-MK" w:bidi="hi-IN"/>
              </w:rPr>
              <w:t>САД, Словенија и Хрватска</w:t>
            </w:r>
            <w:r>
              <w:rPr>
                <w:noProof/>
                <w:webHidden/>
              </w:rPr>
              <w:tab/>
            </w:r>
            <w:r>
              <w:rPr>
                <w:noProof/>
                <w:webHidden/>
              </w:rPr>
              <w:fldChar w:fldCharType="begin"/>
            </w:r>
            <w:r>
              <w:rPr>
                <w:noProof/>
                <w:webHidden/>
              </w:rPr>
              <w:instrText xml:space="preserve"> PAGEREF _Toc230523869 \h </w:instrText>
            </w:r>
            <w:r>
              <w:rPr>
                <w:noProof/>
                <w:webHidden/>
              </w:rPr>
            </w:r>
            <w:r>
              <w:rPr>
                <w:noProof/>
                <w:webHidden/>
              </w:rPr>
              <w:fldChar w:fldCharType="separate"/>
            </w:r>
            <w:r w:rsidR="0000720E">
              <w:rPr>
                <w:noProof/>
                <w:webHidden/>
              </w:rPr>
              <w:t>- 32 -</w:t>
            </w:r>
            <w:r>
              <w:rPr>
                <w:noProof/>
                <w:webHidden/>
              </w:rPr>
              <w:fldChar w:fldCharType="end"/>
            </w:r>
          </w:hyperlink>
        </w:p>
        <w:p w14:paraId="5E95FCD6" w14:textId="64C7732D"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70" w:history="1">
            <w:r w:rsidRPr="00917194">
              <w:rPr>
                <w:rStyle w:val="Hyperlink"/>
                <w:noProof/>
                <w:lang w:bidi="hi-IN"/>
              </w:rPr>
              <w:t>2.6.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Американскиот модел на работничко акционерство</w:t>
            </w:r>
            <w:r>
              <w:rPr>
                <w:noProof/>
                <w:webHidden/>
              </w:rPr>
              <w:tab/>
            </w:r>
            <w:r>
              <w:rPr>
                <w:noProof/>
                <w:webHidden/>
              </w:rPr>
              <w:fldChar w:fldCharType="begin"/>
            </w:r>
            <w:r>
              <w:rPr>
                <w:noProof/>
                <w:webHidden/>
              </w:rPr>
              <w:instrText xml:space="preserve"> PAGEREF _Toc230523870 \h </w:instrText>
            </w:r>
            <w:r>
              <w:rPr>
                <w:noProof/>
                <w:webHidden/>
              </w:rPr>
            </w:r>
            <w:r>
              <w:rPr>
                <w:noProof/>
                <w:webHidden/>
              </w:rPr>
              <w:fldChar w:fldCharType="separate"/>
            </w:r>
            <w:r w:rsidR="0000720E">
              <w:rPr>
                <w:noProof/>
                <w:webHidden/>
              </w:rPr>
              <w:t>- 35 -</w:t>
            </w:r>
            <w:r>
              <w:rPr>
                <w:noProof/>
                <w:webHidden/>
              </w:rPr>
              <w:fldChar w:fldCharType="end"/>
            </w:r>
          </w:hyperlink>
        </w:p>
        <w:p w14:paraId="3B1184EB" w14:textId="0A2824BF"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1" w:history="1">
            <w:r w:rsidRPr="00917194">
              <w:rPr>
                <w:rStyle w:val="Hyperlink"/>
                <w:noProof/>
                <w:lang w:val="mk-MK"/>
              </w:rPr>
              <w:t>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Компаративна анализа: вработени наспроти стекнување акции</w:t>
            </w:r>
            <w:r>
              <w:rPr>
                <w:noProof/>
                <w:webHidden/>
              </w:rPr>
              <w:tab/>
            </w:r>
            <w:r>
              <w:rPr>
                <w:noProof/>
                <w:webHidden/>
              </w:rPr>
              <w:fldChar w:fldCharType="begin"/>
            </w:r>
            <w:r>
              <w:rPr>
                <w:noProof/>
                <w:webHidden/>
              </w:rPr>
              <w:instrText xml:space="preserve"> PAGEREF _Toc230523871 \h </w:instrText>
            </w:r>
            <w:r>
              <w:rPr>
                <w:noProof/>
                <w:webHidden/>
              </w:rPr>
            </w:r>
            <w:r>
              <w:rPr>
                <w:noProof/>
                <w:webHidden/>
              </w:rPr>
              <w:fldChar w:fldCharType="separate"/>
            </w:r>
            <w:r w:rsidR="0000720E">
              <w:rPr>
                <w:noProof/>
                <w:webHidden/>
              </w:rPr>
              <w:t>- 38 -</w:t>
            </w:r>
            <w:r>
              <w:rPr>
                <w:noProof/>
                <w:webHidden/>
              </w:rPr>
              <w:fldChar w:fldCharType="end"/>
            </w:r>
          </w:hyperlink>
        </w:p>
        <w:p w14:paraId="2A2509C8" w14:textId="15076BDB"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2" w:history="1">
            <w:r w:rsidRPr="00917194">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Корпоративното уредување и вклученоста на вработените во Македонија</w:t>
            </w:r>
            <w:r>
              <w:rPr>
                <w:noProof/>
                <w:webHidden/>
              </w:rPr>
              <w:tab/>
            </w:r>
            <w:r>
              <w:rPr>
                <w:noProof/>
                <w:webHidden/>
              </w:rPr>
              <w:fldChar w:fldCharType="begin"/>
            </w:r>
            <w:r>
              <w:rPr>
                <w:noProof/>
                <w:webHidden/>
              </w:rPr>
              <w:instrText xml:space="preserve"> PAGEREF _Toc230523872 \h </w:instrText>
            </w:r>
            <w:r>
              <w:rPr>
                <w:noProof/>
                <w:webHidden/>
              </w:rPr>
            </w:r>
            <w:r>
              <w:rPr>
                <w:noProof/>
                <w:webHidden/>
              </w:rPr>
              <w:fldChar w:fldCharType="separate"/>
            </w:r>
            <w:r w:rsidR="0000720E">
              <w:rPr>
                <w:noProof/>
                <w:webHidden/>
              </w:rPr>
              <w:t>- 39 -</w:t>
            </w:r>
            <w:r>
              <w:rPr>
                <w:noProof/>
                <w:webHidden/>
              </w:rPr>
              <w:fldChar w:fldCharType="end"/>
            </w:r>
          </w:hyperlink>
        </w:p>
        <w:p w14:paraId="69F51266" w14:textId="0DDCC24F"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3" w:history="1">
            <w:r w:rsidRPr="00917194">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Директивата на ЕУ број 2022/2381</w:t>
            </w:r>
            <w:r>
              <w:rPr>
                <w:noProof/>
                <w:webHidden/>
              </w:rPr>
              <w:tab/>
            </w:r>
            <w:r>
              <w:rPr>
                <w:noProof/>
                <w:webHidden/>
              </w:rPr>
              <w:fldChar w:fldCharType="begin"/>
            </w:r>
            <w:r>
              <w:rPr>
                <w:noProof/>
                <w:webHidden/>
              </w:rPr>
              <w:instrText xml:space="preserve"> PAGEREF _Toc230523873 \h </w:instrText>
            </w:r>
            <w:r>
              <w:rPr>
                <w:noProof/>
                <w:webHidden/>
              </w:rPr>
            </w:r>
            <w:r>
              <w:rPr>
                <w:noProof/>
                <w:webHidden/>
              </w:rPr>
              <w:fldChar w:fldCharType="separate"/>
            </w:r>
            <w:r w:rsidR="0000720E">
              <w:rPr>
                <w:noProof/>
                <w:webHidden/>
              </w:rPr>
              <w:t>- 43 -</w:t>
            </w:r>
            <w:r>
              <w:rPr>
                <w:noProof/>
                <w:webHidden/>
              </w:rPr>
              <w:fldChar w:fldCharType="end"/>
            </w:r>
          </w:hyperlink>
        </w:p>
        <w:p w14:paraId="79CFBD99" w14:textId="31C61281"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4" w:history="1">
            <w:r w:rsidRPr="00917194">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Заклучни согледувања</w:t>
            </w:r>
            <w:r>
              <w:rPr>
                <w:noProof/>
                <w:webHidden/>
              </w:rPr>
              <w:tab/>
            </w:r>
            <w:r>
              <w:rPr>
                <w:noProof/>
                <w:webHidden/>
              </w:rPr>
              <w:fldChar w:fldCharType="begin"/>
            </w:r>
            <w:r>
              <w:rPr>
                <w:noProof/>
                <w:webHidden/>
              </w:rPr>
              <w:instrText xml:space="preserve"> PAGEREF _Toc230523874 \h </w:instrText>
            </w:r>
            <w:r>
              <w:rPr>
                <w:noProof/>
                <w:webHidden/>
              </w:rPr>
            </w:r>
            <w:r>
              <w:rPr>
                <w:noProof/>
                <w:webHidden/>
              </w:rPr>
              <w:fldChar w:fldCharType="separate"/>
            </w:r>
            <w:r w:rsidR="0000720E">
              <w:rPr>
                <w:noProof/>
                <w:webHidden/>
              </w:rPr>
              <w:t>- 46 -</w:t>
            </w:r>
            <w:r>
              <w:rPr>
                <w:noProof/>
                <w:webHidden/>
              </w:rPr>
              <w:fldChar w:fldCharType="end"/>
            </w:r>
          </w:hyperlink>
        </w:p>
        <w:p w14:paraId="31A9A206" w14:textId="7A9761C4"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875" w:history="1">
            <w:r w:rsidRPr="00917194">
              <w:rPr>
                <w:rStyle w:val="Hyperlink"/>
                <w:noProof/>
                <w:lang w:val="mk-MK"/>
              </w:rPr>
              <w:t>Б. Меѓународни стандарди за улогата на вработените во трговските друштва</w:t>
            </w:r>
            <w:r>
              <w:rPr>
                <w:noProof/>
                <w:webHidden/>
              </w:rPr>
              <w:tab/>
            </w:r>
            <w:r>
              <w:rPr>
                <w:noProof/>
                <w:webHidden/>
              </w:rPr>
              <w:fldChar w:fldCharType="begin"/>
            </w:r>
            <w:r>
              <w:rPr>
                <w:noProof/>
                <w:webHidden/>
              </w:rPr>
              <w:instrText xml:space="preserve"> PAGEREF _Toc230523875 \h </w:instrText>
            </w:r>
            <w:r>
              <w:rPr>
                <w:noProof/>
                <w:webHidden/>
              </w:rPr>
            </w:r>
            <w:r>
              <w:rPr>
                <w:noProof/>
                <w:webHidden/>
              </w:rPr>
              <w:fldChar w:fldCharType="separate"/>
            </w:r>
            <w:r w:rsidR="0000720E">
              <w:rPr>
                <w:noProof/>
                <w:webHidden/>
              </w:rPr>
              <w:t>- 49 -</w:t>
            </w:r>
            <w:r>
              <w:rPr>
                <w:noProof/>
                <w:webHidden/>
              </w:rPr>
              <w:fldChar w:fldCharType="end"/>
            </w:r>
          </w:hyperlink>
        </w:p>
        <w:p w14:paraId="53B99B5E" w14:textId="25949938"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6" w:history="1">
            <w:r w:rsidRPr="00917194">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Односот помеѓу меѓународните стандарди и домашната реформа на корпоративното управување</w:t>
            </w:r>
            <w:r>
              <w:rPr>
                <w:noProof/>
                <w:webHidden/>
              </w:rPr>
              <w:tab/>
            </w:r>
            <w:r>
              <w:rPr>
                <w:noProof/>
                <w:webHidden/>
              </w:rPr>
              <w:fldChar w:fldCharType="begin"/>
            </w:r>
            <w:r>
              <w:rPr>
                <w:noProof/>
                <w:webHidden/>
              </w:rPr>
              <w:instrText xml:space="preserve"> PAGEREF _Toc230523876 \h </w:instrText>
            </w:r>
            <w:r>
              <w:rPr>
                <w:noProof/>
                <w:webHidden/>
              </w:rPr>
            </w:r>
            <w:r>
              <w:rPr>
                <w:noProof/>
                <w:webHidden/>
              </w:rPr>
              <w:fldChar w:fldCharType="separate"/>
            </w:r>
            <w:r w:rsidR="0000720E">
              <w:rPr>
                <w:noProof/>
                <w:webHidden/>
              </w:rPr>
              <w:t>- 52 -</w:t>
            </w:r>
            <w:r>
              <w:rPr>
                <w:noProof/>
                <w:webHidden/>
              </w:rPr>
              <w:fldChar w:fldCharType="end"/>
            </w:r>
          </w:hyperlink>
        </w:p>
        <w:p w14:paraId="128A412A" w14:textId="76082A99"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77" w:history="1">
            <w:r w:rsidRPr="00917194">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Стандарди на Меѓународната организација на трудот (МОТ)</w:t>
            </w:r>
            <w:r>
              <w:rPr>
                <w:noProof/>
                <w:webHidden/>
              </w:rPr>
              <w:tab/>
            </w:r>
            <w:r>
              <w:rPr>
                <w:noProof/>
                <w:webHidden/>
              </w:rPr>
              <w:fldChar w:fldCharType="begin"/>
            </w:r>
            <w:r>
              <w:rPr>
                <w:noProof/>
                <w:webHidden/>
              </w:rPr>
              <w:instrText xml:space="preserve"> PAGEREF _Toc230523877 \h </w:instrText>
            </w:r>
            <w:r>
              <w:rPr>
                <w:noProof/>
                <w:webHidden/>
              </w:rPr>
            </w:r>
            <w:r>
              <w:rPr>
                <w:noProof/>
                <w:webHidden/>
              </w:rPr>
              <w:fldChar w:fldCharType="separate"/>
            </w:r>
            <w:r w:rsidR="0000720E">
              <w:rPr>
                <w:noProof/>
                <w:webHidden/>
              </w:rPr>
              <w:t>- 54 -</w:t>
            </w:r>
            <w:r>
              <w:rPr>
                <w:noProof/>
                <w:webHidden/>
              </w:rPr>
              <w:fldChar w:fldCharType="end"/>
            </w:r>
          </w:hyperlink>
        </w:p>
        <w:p w14:paraId="5CF29DD5" w14:textId="53FC78C5"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78" w:history="1">
            <w:r w:rsidRPr="00917194">
              <w:rPr>
                <w:rStyle w:val="Hyperlink"/>
                <w:noProof/>
                <w:lang w:bidi="hi-IN"/>
              </w:rPr>
              <w:t>2.1.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Конвенција број 87 за слободата на здружување и заштита на правото на организирање</w:t>
            </w:r>
            <w:r>
              <w:rPr>
                <w:noProof/>
                <w:webHidden/>
              </w:rPr>
              <w:tab/>
            </w:r>
            <w:r>
              <w:rPr>
                <w:noProof/>
                <w:webHidden/>
              </w:rPr>
              <w:fldChar w:fldCharType="begin"/>
            </w:r>
            <w:r>
              <w:rPr>
                <w:noProof/>
                <w:webHidden/>
              </w:rPr>
              <w:instrText xml:space="preserve"> PAGEREF _Toc230523878 \h </w:instrText>
            </w:r>
            <w:r>
              <w:rPr>
                <w:noProof/>
                <w:webHidden/>
              </w:rPr>
            </w:r>
            <w:r>
              <w:rPr>
                <w:noProof/>
                <w:webHidden/>
              </w:rPr>
              <w:fldChar w:fldCharType="separate"/>
            </w:r>
            <w:r w:rsidR="0000720E">
              <w:rPr>
                <w:noProof/>
                <w:webHidden/>
              </w:rPr>
              <w:t>- 56 -</w:t>
            </w:r>
            <w:r>
              <w:rPr>
                <w:noProof/>
                <w:webHidden/>
              </w:rPr>
              <w:fldChar w:fldCharType="end"/>
            </w:r>
          </w:hyperlink>
        </w:p>
        <w:p w14:paraId="629DC959" w14:textId="244A217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79" w:history="1">
            <w:r w:rsidRPr="00917194">
              <w:rPr>
                <w:rStyle w:val="Hyperlink"/>
                <w:noProof/>
                <w:lang w:bidi="hi-IN"/>
              </w:rPr>
              <w:t>2.2.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Конвенција број 98 за примената на принципите на правото на организирање и колективно договарање</w:t>
            </w:r>
            <w:r>
              <w:rPr>
                <w:noProof/>
                <w:webHidden/>
              </w:rPr>
              <w:tab/>
            </w:r>
            <w:r>
              <w:rPr>
                <w:noProof/>
                <w:webHidden/>
              </w:rPr>
              <w:fldChar w:fldCharType="begin"/>
            </w:r>
            <w:r>
              <w:rPr>
                <w:noProof/>
                <w:webHidden/>
              </w:rPr>
              <w:instrText xml:space="preserve"> PAGEREF _Toc230523879 \h </w:instrText>
            </w:r>
            <w:r>
              <w:rPr>
                <w:noProof/>
                <w:webHidden/>
              </w:rPr>
            </w:r>
            <w:r>
              <w:rPr>
                <w:noProof/>
                <w:webHidden/>
              </w:rPr>
              <w:fldChar w:fldCharType="separate"/>
            </w:r>
            <w:r w:rsidR="0000720E">
              <w:rPr>
                <w:noProof/>
                <w:webHidden/>
              </w:rPr>
              <w:t>- 57 -</w:t>
            </w:r>
            <w:r>
              <w:rPr>
                <w:noProof/>
                <w:webHidden/>
              </w:rPr>
              <w:fldChar w:fldCharType="end"/>
            </w:r>
          </w:hyperlink>
        </w:p>
        <w:p w14:paraId="5A42346C" w14:textId="69AC3456"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0" w:history="1">
            <w:r w:rsidRPr="00917194">
              <w:rPr>
                <w:rStyle w:val="Hyperlink"/>
                <w:noProof/>
                <w:lang w:bidi="hi-IN"/>
              </w:rPr>
              <w:t>2.3.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Конвенција број 135 за заштита и олеснување на активностите на претставниците на работниците</w:t>
            </w:r>
            <w:r>
              <w:rPr>
                <w:noProof/>
                <w:webHidden/>
              </w:rPr>
              <w:tab/>
            </w:r>
            <w:r>
              <w:rPr>
                <w:noProof/>
                <w:webHidden/>
              </w:rPr>
              <w:fldChar w:fldCharType="begin"/>
            </w:r>
            <w:r>
              <w:rPr>
                <w:noProof/>
                <w:webHidden/>
              </w:rPr>
              <w:instrText xml:space="preserve"> PAGEREF _Toc230523880 \h </w:instrText>
            </w:r>
            <w:r>
              <w:rPr>
                <w:noProof/>
                <w:webHidden/>
              </w:rPr>
            </w:r>
            <w:r>
              <w:rPr>
                <w:noProof/>
                <w:webHidden/>
              </w:rPr>
              <w:fldChar w:fldCharType="separate"/>
            </w:r>
            <w:r w:rsidR="0000720E">
              <w:rPr>
                <w:noProof/>
                <w:webHidden/>
              </w:rPr>
              <w:t>- 58 -</w:t>
            </w:r>
            <w:r>
              <w:rPr>
                <w:noProof/>
                <w:webHidden/>
              </w:rPr>
              <w:fldChar w:fldCharType="end"/>
            </w:r>
          </w:hyperlink>
        </w:p>
        <w:p w14:paraId="38E1EBF3" w14:textId="2D5B056E"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1" w:history="1">
            <w:r w:rsidRPr="00917194">
              <w:rPr>
                <w:rStyle w:val="Hyperlink"/>
                <w:noProof/>
                <w:lang w:bidi="hi-IN"/>
              </w:rPr>
              <w:t>2.4.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Конвенција број 154 за колективно договарање</w:t>
            </w:r>
            <w:r>
              <w:rPr>
                <w:noProof/>
                <w:webHidden/>
              </w:rPr>
              <w:tab/>
            </w:r>
            <w:r>
              <w:rPr>
                <w:noProof/>
                <w:webHidden/>
              </w:rPr>
              <w:fldChar w:fldCharType="begin"/>
            </w:r>
            <w:r>
              <w:rPr>
                <w:noProof/>
                <w:webHidden/>
              </w:rPr>
              <w:instrText xml:space="preserve"> PAGEREF _Toc230523881 \h </w:instrText>
            </w:r>
            <w:r>
              <w:rPr>
                <w:noProof/>
                <w:webHidden/>
              </w:rPr>
            </w:r>
            <w:r>
              <w:rPr>
                <w:noProof/>
                <w:webHidden/>
              </w:rPr>
              <w:fldChar w:fldCharType="separate"/>
            </w:r>
            <w:r w:rsidR="0000720E">
              <w:rPr>
                <w:noProof/>
                <w:webHidden/>
              </w:rPr>
              <w:t>- 60 -</w:t>
            </w:r>
            <w:r>
              <w:rPr>
                <w:noProof/>
                <w:webHidden/>
              </w:rPr>
              <w:fldChar w:fldCharType="end"/>
            </w:r>
          </w:hyperlink>
        </w:p>
        <w:p w14:paraId="4E25A583" w14:textId="577FD05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2" w:history="1">
            <w:r w:rsidRPr="00917194">
              <w:rPr>
                <w:rStyle w:val="Hyperlink"/>
                <w:noProof/>
                <w:lang w:bidi="hi-IN"/>
              </w:rPr>
              <w:t>2.5.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Препорака број 163 за зајакнување на колективното договарање</w:t>
            </w:r>
            <w:r>
              <w:rPr>
                <w:noProof/>
                <w:webHidden/>
              </w:rPr>
              <w:tab/>
            </w:r>
            <w:r>
              <w:rPr>
                <w:noProof/>
                <w:webHidden/>
              </w:rPr>
              <w:fldChar w:fldCharType="begin"/>
            </w:r>
            <w:r>
              <w:rPr>
                <w:noProof/>
                <w:webHidden/>
              </w:rPr>
              <w:instrText xml:space="preserve"> PAGEREF _Toc230523882 \h </w:instrText>
            </w:r>
            <w:r>
              <w:rPr>
                <w:noProof/>
                <w:webHidden/>
              </w:rPr>
            </w:r>
            <w:r>
              <w:rPr>
                <w:noProof/>
                <w:webHidden/>
              </w:rPr>
              <w:fldChar w:fldCharType="separate"/>
            </w:r>
            <w:r w:rsidR="0000720E">
              <w:rPr>
                <w:noProof/>
                <w:webHidden/>
              </w:rPr>
              <w:t>- 61 -</w:t>
            </w:r>
            <w:r>
              <w:rPr>
                <w:noProof/>
                <w:webHidden/>
              </w:rPr>
              <w:fldChar w:fldCharType="end"/>
            </w:r>
          </w:hyperlink>
        </w:p>
        <w:p w14:paraId="154B836F" w14:textId="7A528FAF"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3" w:history="1">
            <w:r w:rsidRPr="00917194">
              <w:rPr>
                <w:rStyle w:val="Hyperlink"/>
                <w:noProof/>
                <w:lang w:val="mk-MK" w:bidi="hi-IN"/>
              </w:rPr>
              <w:t>2.6.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Препорака број 94 за соработка во рамки на претпријатието</w:t>
            </w:r>
            <w:r>
              <w:rPr>
                <w:noProof/>
                <w:webHidden/>
              </w:rPr>
              <w:tab/>
            </w:r>
            <w:r>
              <w:rPr>
                <w:noProof/>
                <w:webHidden/>
              </w:rPr>
              <w:fldChar w:fldCharType="begin"/>
            </w:r>
            <w:r>
              <w:rPr>
                <w:noProof/>
                <w:webHidden/>
              </w:rPr>
              <w:instrText xml:space="preserve"> PAGEREF _Toc230523883 \h </w:instrText>
            </w:r>
            <w:r>
              <w:rPr>
                <w:noProof/>
                <w:webHidden/>
              </w:rPr>
            </w:r>
            <w:r>
              <w:rPr>
                <w:noProof/>
                <w:webHidden/>
              </w:rPr>
              <w:fldChar w:fldCharType="separate"/>
            </w:r>
            <w:r w:rsidR="0000720E">
              <w:rPr>
                <w:noProof/>
                <w:webHidden/>
              </w:rPr>
              <w:t>- 62 -</w:t>
            </w:r>
            <w:r>
              <w:rPr>
                <w:noProof/>
                <w:webHidden/>
              </w:rPr>
              <w:fldChar w:fldCharType="end"/>
            </w:r>
          </w:hyperlink>
        </w:p>
        <w:p w14:paraId="0CFE01EF" w14:textId="791D8D4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4" w:history="1">
            <w:r w:rsidRPr="00917194">
              <w:rPr>
                <w:rStyle w:val="Hyperlink"/>
                <w:noProof/>
                <w:lang w:bidi="hi-IN"/>
              </w:rPr>
              <w:t>2.7.</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Степенот на усогласеност на Македонија со стандардите на МОТ</w:t>
            </w:r>
            <w:r>
              <w:rPr>
                <w:noProof/>
                <w:webHidden/>
              </w:rPr>
              <w:tab/>
            </w:r>
            <w:r>
              <w:rPr>
                <w:noProof/>
                <w:webHidden/>
              </w:rPr>
              <w:fldChar w:fldCharType="begin"/>
            </w:r>
            <w:r>
              <w:rPr>
                <w:noProof/>
                <w:webHidden/>
              </w:rPr>
              <w:instrText xml:space="preserve"> PAGEREF _Toc230523884 \h </w:instrText>
            </w:r>
            <w:r>
              <w:rPr>
                <w:noProof/>
                <w:webHidden/>
              </w:rPr>
            </w:r>
            <w:r>
              <w:rPr>
                <w:noProof/>
                <w:webHidden/>
              </w:rPr>
              <w:fldChar w:fldCharType="separate"/>
            </w:r>
            <w:r w:rsidR="0000720E">
              <w:rPr>
                <w:noProof/>
                <w:webHidden/>
              </w:rPr>
              <w:t>- 63 -</w:t>
            </w:r>
            <w:r>
              <w:rPr>
                <w:noProof/>
                <w:webHidden/>
              </w:rPr>
              <w:fldChar w:fldCharType="end"/>
            </w:r>
          </w:hyperlink>
        </w:p>
        <w:p w14:paraId="079CE1AE" w14:textId="17554EC1"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85" w:history="1">
            <w:r w:rsidRPr="00917194">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Принципи на корпоративно управување на ОЕЦД</w:t>
            </w:r>
            <w:r>
              <w:rPr>
                <w:noProof/>
                <w:webHidden/>
              </w:rPr>
              <w:tab/>
            </w:r>
            <w:r>
              <w:rPr>
                <w:noProof/>
                <w:webHidden/>
              </w:rPr>
              <w:fldChar w:fldCharType="begin"/>
            </w:r>
            <w:r>
              <w:rPr>
                <w:noProof/>
                <w:webHidden/>
              </w:rPr>
              <w:instrText xml:space="preserve"> PAGEREF _Toc230523885 \h </w:instrText>
            </w:r>
            <w:r>
              <w:rPr>
                <w:noProof/>
                <w:webHidden/>
              </w:rPr>
            </w:r>
            <w:r>
              <w:rPr>
                <w:noProof/>
                <w:webHidden/>
              </w:rPr>
              <w:fldChar w:fldCharType="separate"/>
            </w:r>
            <w:r w:rsidR="0000720E">
              <w:rPr>
                <w:noProof/>
                <w:webHidden/>
              </w:rPr>
              <w:t>- 67 -</w:t>
            </w:r>
            <w:r>
              <w:rPr>
                <w:noProof/>
                <w:webHidden/>
              </w:rPr>
              <w:fldChar w:fldCharType="end"/>
            </w:r>
          </w:hyperlink>
        </w:p>
        <w:p w14:paraId="288A7800" w14:textId="28075587"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6" w:history="1">
            <w:r w:rsidRPr="00917194">
              <w:rPr>
                <w:rStyle w:val="Hyperlink"/>
                <w:noProof/>
                <w:lang w:val="mk-MK" w:bidi="hi-IN"/>
              </w:rPr>
              <w:t>3.1.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Принципот IV на ОЕЦД: „Објавување и транспарентност“</w:t>
            </w:r>
            <w:r>
              <w:rPr>
                <w:noProof/>
                <w:webHidden/>
              </w:rPr>
              <w:tab/>
            </w:r>
            <w:r>
              <w:rPr>
                <w:noProof/>
                <w:webHidden/>
              </w:rPr>
              <w:fldChar w:fldCharType="begin"/>
            </w:r>
            <w:r>
              <w:rPr>
                <w:noProof/>
                <w:webHidden/>
              </w:rPr>
              <w:instrText xml:space="preserve"> PAGEREF _Toc230523886 \h </w:instrText>
            </w:r>
            <w:r>
              <w:rPr>
                <w:noProof/>
                <w:webHidden/>
              </w:rPr>
            </w:r>
            <w:r>
              <w:rPr>
                <w:noProof/>
                <w:webHidden/>
              </w:rPr>
              <w:fldChar w:fldCharType="separate"/>
            </w:r>
            <w:r w:rsidR="0000720E">
              <w:rPr>
                <w:noProof/>
                <w:webHidden/>
              </w:rPr>
              <w:t>- 68 -</w:t>
            </w:r>
            <w:r>
              <w:rPr>
                <w:noProof/>
                <w:webHidden/>
              </w:rPr>
              <w:fldChar w:fldCharType="end"/>
            </w:r>
          </w:hyperlink>
        </w:p>
        <w:p w14:paraId="632A5CC8" w14:textId="1C4FAE9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7" w:history="1">
            <w:r w:rsidRPr="00917194">
              <w:rPr>
                <w:rStyle w:val="Hyperlink"/>
                <w:noProof/>
                <w:lang w:val="en-US" w:bidi="hi-IN"/>
              </w:rPr>
              <w:t>3.2.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Принципот V на ОЕЦД: „Одговорности на управниот одбор“</w:t>
            </w:r>
            <w:r>
              <w:rPr>
                <w:noProof/>
                <w:webHidden/>
              </w:rPr>
              <w:tab/>
            </w:r>
            <w:r>
              <w:rPr>
                <w:noProof/>
                <w:webHidden/>
              </w:rPr>
              <w:fldChar w:fldCharType="begin"/>
            </w:r>
            <w:r>
              <w:rPr>
                <w:noProof/>
                <w:webHidden/>
              </w:rPr>
              <w:instrText xml:space="preserve"> PAGEREF _Toc230523887 \h </w:instrText>
            </w:r>
            <w:r>
              <w:rPr>
                <w:noProof/>
                <w:webHidden/>
              </w:rPr>
            </w:r>
            <w:r>
              <w:rPr>
                <w:noProof/>
                <w:webHidden/>
              </w:rPr>
              <w:fldChar w:fldCharType="separate"/>
            </w:r>
            <w:r w:rsidR="0000720E">
              <w:rPr>
                <w:noProof/>
                <w:webHidden/>
              </w:rPr>
              <w:t>- 69 -</w:t>
            </w:r>
            <w:r>
              <w:rPr>
                <w:noProof/>
                <w:webHidden/>
              </w:rPr>
              <w:fldChar w:fldCharType="end"/>
            </w:r>
          </w:hyperlink>
        </w:p>
        <w:p w14:paraId="6B365B1E" w14:textId="1D1AD81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8" w:history="1">
            <w:r w:rsidRPr="00917194">
              <w:rPr>
                <w:rStyle w:val="Hyperlink"/>
                <w:noProof/>
                <w:lang w:val="en-US" w:bidi="hi-IN"/>
              </w:rPr>
              <w:t>3.3.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Принципот V</w:t>
            </w:r>
            <w:r w:rsidRPr="00917194">
              <w:rPr>
                <w:rStyle w:val="Hyperlink"/>
                <w:noProof/>
                <w:lang w:val="en-US" w:bidi="hi-IN"/>
              </w:rPr>
              <w:t>I</w:t>
            </w:r>
            <w:r w:rsidRPr="00917194">
              <w:rPr>
                <w:rStyle w:val="Hyperlink"/>
                <w:noProof/>
                <w:lang w:val="mk-MK" w:bidi="hi-IN"/>
              </w:rPr>
              <w:t xml:space="preserve"> на ОЕЦД: „Одржливост и отпорност“</w:t>
            </w:r>
            <w:r>
              <w:rPr>
                <w:noProof/>
                <w:webHidden/>
              </w:rPr>
              <w:tab/>
            </w:r>
            <w:r>
              <w:rPr>
                <w:noProof/>
                <w:webHidden/>
              </w:rPr>
              <w:fldChar w:fldCharType="begin"/>
            </w:r>
            <w:r>
              <w:rPr>
                <w:noProof/>
                <w:webHidden/>
              </w:rPr>
              <w:instrText xml:space="preserve"> PAGEREF _Toc230523888 \h </w:instrText>
            </w:r>
            <w:r>
              <w:rPr>
                <w:noProof/>
                <w:webHidden/>
              </w:rPr>
            </w:r>
            <w:r>
              <w:rPr>
                <w:noProof/>
                <w:webHidden/>
              </w:rPr>
              <w:fldChar w:fldCharType="separate"/>
            </w:r>
            <w:r w:rsidR="0000720E">
              <w:rPr>
                <w:noProof/>
                <w:webHidden/>
              </w:rPr>
              <w:t>- 71 -</w:t>
            </w:r>
            <w:r>
              <w:rPr>
                <w:noProof/>
                <w:webHidden/>
              </w:rPr>
              <w:fldChar w:fldCharType="end"/>
            </w:r>
          </w:hyperlink>
        </w:p>
        <w:p w14:paraId="1F526E69" w14:textId="31C4A1F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89" w:history="1">
            <w:r w:rsidRPr="00917194">
              <w:rPr>
                <w:rStyle w:val="Hyperlink"/>
                <w:noProof/>
                <w:lang w:val="en-US" w:bidi="hi-IN"/>
              </w:rPr>
              <w:t>3.4.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ОЕЦД принципите во англосанксонските земји</w:t>
            </w:r>
            <w:r>
              <w:rPr>
                <w:noProof/>
                <w:webHidden/>
              </w:rPr>
              <w:tab/>
            </w:r>
            <w:r>
              <w:rPr>
                <w:noProof/>
                <w:webHidden/>
              </w:rPr>
              <w:fldChar w:fldCharType="begin"/>
            </w:r>
            <w:r>
              <w:rPr>
                <w:noProof/>
                <w:webHidden/>
              </w:rPr>
              <w:instrText xml:space="preserve"> PAGEREF _Toc230523889 \h </w:instrText>
            </w:r>
            <w:r>
              <w:rPr>
                <w:noProof/>
                <w:webHidden/>
              </w:rPr>
            </w:r>
            <w:r>
              <w:rPr>
                <w:noProof/>
                <w:webHidden/>
              </w:rPr>
              <w:fldChar w:fldCharType="separate"/>
            </w:r>
            <w:r w:rsidR="0000720E">
              <w:rPr>
                <w:noProof/>
                <w:webHidden/>
              </w:rPr>
              <w:t>- 72 -</w:t>
            </w:r>
            <w:r>
              <w:rPr>
                <w:noProof/>
                <w:webHidden/>
              </w:rPr>
              <w:fldChar w:fldCharType="end"/>
            </w:r>
          </w:hyperlink>
        </w:p>
        <w:p w14:paraId="386263D3" w14:textId="2E2835B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0" w:history="1">
            <w:r w:rsidRPr="00917194">
              <w:rPr>
                <w:rStyle w:val="Hyperlink"/>
                <w:noProof/>
                <w:lang w:val="en-US" w:bidi="hi-IN"/>
              </w:rPr>
              <w:t>3.5.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ОЕЦД принципите во континенталното право</w:t>
            </w:r>
            <w:r>
              <w:rPr>
                <w:noProof/>
                <w:webHidden/>
              </w:rPr>
              <w:tab/>
            </w:r>
            <w:r>
              <w:rPr>
                <w:noProof/>
                <w:webHidden/>
              </w:rPr>
              <w:fldChar w:fldCharType="begin"/>
            </w:r>
            <w:r>
              <w:rPr>
                <w:noProof/>
                <w:webHidden/>
              </w:rPr>
              <w:instrText xml:space="preserve"> PAGEREF _Toc230523890 \h </w:instrText>
            </w:r>
            <w:r>
              <w:rPr>
                <w:noProof/>
                <w:webHidden/>
              </w:rPr>
            </w:r>
            <w:r>
              <w:rPr>
                <w:noProof/>
                <w:webHidden/>
              </w:rPr>
              <w:fldChar w:fldCharType="separate"/>
            </w:r>
            <w:r w:rsidR="0000720E">
              <w:rPr>
                <w:noProof/>
                <w:webHidden/>
              </w:rPr>
              <w:t>- 73 -</w:t>
            </w:r>
            <w:r>
              <w:rPr>
                <w:noProof/>
                <w:webHidden/>
              </w:rPr>
              <w:fldChar w:fldCharType="end"/>
            </w:r>
          </w:hyperlink>
        </w:p>
        <w:p w14:paraId="319C598A" w14:textId="572AC8C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1" w:history="1">
            <w:r w:rsidRPr="00917194">
              <w:rPr>
                <w:rStyle w:val="Hyperlink"/>
                <w:noProof/>
                <w:lang w:val="mk-MK" w:bidi="hi-IN"/>
              </w:rPr>
              <w:t>3.6.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Пристапот на Македонија кон принципите на ОЕЦД</w:t>
            </w:r>
            <w:r>
              <w:rPr>
                <w:noProof/>
                <w:webHidden/>
              </w:rPr>
              <w:tab/>
            </w:r>
            <w:r>
              <w:rPr>
                <w:noProof/>
                <w:webHidden/>
              </w:rPr>
              <w:fldChar w:fldCharType="begin"/>
            </w:r>
            <w:r>
              <w:rPr>
                <w:noProof/>
                <w:webHidden/>
              </w:rPr>
              <w:instrText xml:space="preserve"> PAGEREF _Toc230523891 \h </w:instrText>
            </w:r>
            <w:r>
              <w:rPr>
                <w:noProof/>
                <w:webHidden/>
              </w:rPr>
            </w:r>
            <w:r>
              <w:rPr>
                <w:noProof/>
                <w:webHidden/>
              </w:rPr>
              <w:fldChar w:fldCharType="separate"/>
            </w:r>
            <w:r w:rsidR="0000720E">
              <w:rPr>
                <w:noProof/>
                <w:webHidden/>
              </w:rPr>
              <w:t>- 74 -</w:t>
            </w:r>
            <w:r>
              <w:rPr>
                <w:noProof/>
                <w:webHidden/>
              </w:rPr>
              <w:fldChar w:fldCharType="end"/>
            </w:r>
          </w:hyperlink>
        </w:p>
        <w:p w14:paraId="5623CC56" w14:textId="12F6AD5D"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892" w:history="1">
            <w:r w:rsidRPr="00917194">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Инструменти на Советот на Европа</w:t>
            </w:r>
            <w:r>
              <w:rPr>
                <w:noProof/>
                <w:webHidden/>
              </w:rPr>
              <w:tab/>
            </w:r>
            <w:r>
              <w:rPr>
                <w:noProof/>
                <w:webHidden/>
              </w:rPr>
              <w:fldChar w:fldCharType="begin"/>
            </w:r>
            <w:r>
              <w:rPr>
                <w:noProof/>
                <w:webHidden/>
              </w:rPr>
              <w:instrText xml:space="preserve"> PAGEREF _Toc230523892 \h </w:instrText>
            </w:r>
            <w:r>
              <w:rPr>
                <w:noProof/>
                <w:webHidden/>
              </w:rPr>
            </w:r>
            <w:r>
              <w:rPr>
                <w:noProof/>
                <w:webHidden/>
              </w:rPr>
              <w:fldChar w:fldCharType="separate"/>
            </w:r>
            <w:r w:rsidR="0000720E">
              <w:rPr>
                <w:noProof/>
                <w:webHidden/>
              </w:rPr>
              <w:t>- 76 -</w:t>
            </w:r>
            <w:r>
              <w:rPr>
                <w:noProof/>
                <w:webHidden/>
              </w:rPr>
              <w:fldChar w:fldCharType="end"/>
            </w:r>
          </w:hyperlink>
        </w:p>
        <w:p w14:paraId="3662EAD7" w14:textId="7DF515A5" w:rsidR="0087719A" w:rsidRDefault="0087719A">
          <w:pPr>
            <w:pStyle w:val="TOC2"/>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3" w:history="1">
            <w:r w:rsidRPr="00917194">
              <w:rPr>
                <w:rStyle w:val="Hyperlink"/>
                <w:noProof/>
                <w:lang w:val="mk-MK" w:bidi="hi-IN"/>
              </w:rPr>
              <w:t>4.1. Европска конвенција за човекови права</w:t>
            </w:r>
            <w:r>
              <w:rPr>
                <w:noProof/>
                <w:webHidden/>
              </w:rPr>
              <w:tab/>
            </w:r>
            <w:r>
              <w:rPr>
                <w:noProof/>
                <w:webHidden/>
              </w:rPr>
              <w:fldChar w:fldCharType="begin"/>
            </w:r>
            <w:r>
              <w:rPr>
                <w:noProof/>
                <w:webHidden/>
              </w:rPr>
              <w:instrText xml:space="preserve"> PAGEREF _Toc230523893 \h </w:instrText>
            </w:r>
            <w:r>
              <w:rPr>
                <w:noProof/>
                <w:webHidden/>
              </w:rPr>
            </w:r>
            <w:r>
              <w:rPr>
                <w:noProof/>
                <w:webHidden/>
              </w:rPr>
              <w:fldChar w:fldCharType="separate"/>
            </w:r>
            <w:r w:rsidR="0000720E">
              <w:rPr>
                <w:noProof/>
                <w:webHidden/>
              </w:rPr>
              <w:t>- 77 -</w:t>
            </w:r>
            <w:r>
              <w:rPr>
                <w:noProof/>
                <w:webHidden/>
              </w:rPr>
              <w:fldChar w:fldCharType="end"/>
            </w:r>
          </w:hyperlink>
        </w:p>
        <w:p w14:paraId="0BD80DA7" w14:textId="10CA7DC8"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4" w:history="1">
            <w:r w:rsidRPr="00917194">
              <w:rPr>
                <w:rStyle w:val="Hyperlink"/>
                <w:noProof/>
                <w:lang w:val="mk-MK"/>
              </w:rPr>
              <w:t>4.1.</w:t>
            </w:r>
            <w:r w:rsidRPr="00917194">
              <w:rPr>
                <w:rStyle w:val="Hyperlink"/>
                <w:noProof/>
                <w:lang w:val="en-US"/>
              </w:rPr>
              <w:t>1</w:t>
            </w:r>
            <w:r w:rsidRPr="00917194">
              <w:rPr>
                <w:rStyle w:val="Hyperlink"/>
                <w:b/>
                <w:bCs/>
                <w:noProof/>
                <w:lang w:val="en-US"/>
              </w:rPr>
              <w:t>.</w:t>
            </w:r>
            <w:r w:rsidRPr="00917194">
              <w:rPr>
                <w:rStyle w:val="Hyperlink"/>
                <w:i/>
                <w:iCs/>
                <w:noProof/>
                <w:lang w:val="mk-MK"/>
              </w:rPr>
              <w:t xml:space="preserve"> Член 6 од Европската конвенција за човекови права</w:t>
            </w:r>
            <w:r>
              <w:rPr>
                <w:noProof/>
                <w:webHidden/>
              </w:rPr>
              <w:tab/>
            </w:r>
            <w:r>
              <w:rPr>
                <w:noProof/>
                <w:webHidden/>
              </w:rPr>
              <w:fldChar w:fldCharType="begin"/>
            </w:r>
            <w:r>
              <w:rPr>
                <w:noProof/>
                <w:webHidden/>
              </w:rPr>
              <w:instrText xml:space="preserve"> PAGEREF _Toc230523894 \h </w:instrText>
            </w:r>
            <w:r>
              <w:rPr>
                <w:noProof/>
                <w:webHidden/>
              </w:rPr>
            </w:r>
            <w:r>
              <w:rPr>
                <w:noProof/>
                <w:webHidden/>
              </w:rPr>
              <w:fldChar w:fldCharType="separate"/>
            </w:r>
            <w:r w:rsidR="0000720E">
              <w:rPr>
                <w:noProof/>
                <w:webHidden/>
              </w:rPr>
              <w:t>- 78 -</w:t>
            </w:r>
            <w:r>
              <w:rPr>
                <w:noProof/>
                <w:webHidden/>
              </w:rPr>
              <w:fldChar w:fldCharType="end"/>
            </w:r>
          </w:hyperlink>
        </w:p>
        <w:p w14:paraId="7A908772" w14:textId="3E1AB9A3"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5" w:history="1">
            <w:r w:rsidRPr="00917194">
              <w:rPr>
                <w:rStyle w:val="Hyperlink"/>
                <w:noProof/>
                <w:lang w:val="mk-MK"/>
              </w:rPr>
              <w:t>4.1.2</w:t>
            </w:r>
            <w:r w:rsidRPr="00917194">
              <w:rPr>
                <w:rStyle w:val="Hyperlink"/>
                <w:b/>
                <w:bCs/>
                <w:noProof/>
                <w:lang w:val="en-US"/>
              </w:rPr>
              <w:t>.</w:t>
            </w:r>
            <w:r w:rsidRPr="00917194">
              <w:rPr>
                <w:rStyle w:val="Hyperlink"/>
                <w:i/>
                <w:iCs/>
                <w:noProof/>
                <w:lang w:val="mk-MK"/>
              </w:rPr>
              <w:t xml:space="preserve"> Член 11 од Европската конвенција за човекови права</w:t>
            </w:r>
            <w:r>
              <w:rPr>
                <w:noProof/>
                <w:webHidden/>
              </w:rPr>
              <w:tab/>
            </w:r>
            <w:r>
              <w:rPr>
                <w:noProof/>
                <w:webHidden/>
              </w:rPr>
              <w:fldChar w:fldCharType="begin"/>
            </w:r>
            <w:r>
              <w:rPr>
                <w:noProof/>
                <w:webHidden/>
              </w:rPr>
              <w:instrText xml:space="preserve"> PAGEREF _Toc230523895 \h </w:instrText>
            </w:r>
            <w:r>
              <w:rPr>
                <w:noProof/>
                <w:webHidden/>
              </w:rPr>
            </w:r>
            <w:r>
              <w:rPr>
                <w:noProof/>
                <w:webHidden/>
              </w:rPr>
              <w:fldChar w:fldCharType="separate"/>
            </w:r>
            <w:r w:rsidR="0000720E">
              <w:rPr>
                <w:noProof/>
                <w:webHidden/>
              </w:rPr>
              <w:t>- 79 -</w:t>
            </w:r>
            <w:r>
              <w:rPr>
                <w:noProof/>
                <w:webHidden/>
              </w:rPr>
              <w:fldChar w:fldCharType="end"/>
            </w:r>
          </w:hyperlink>
        </w:p>
        <w:p w14:paraId="15A92112" w14:textId="056ECE5B"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6" w:history="1">
            <w:r w:rsidRPr="00917194">
              <w:rPr>
                <w:rStyle w:val="Hyperlink"/>
                <w:noProof/>
                <w:lang w:val="mk-MK"/>
              </w:rPr>
              <w:t>4.1.3</w:t>
            </w:r>
            <w:r w:rsidRPr="00917194">
              <w:rPr>
                <w:rStyle w:val="Hyperlink"/>
                <w:b/>
                <w:bCs/>
                <w:noProof/>
                <w:lang w:val="en-US"/>
              </w:rPr>
              <w:t>.</w:t>
            </w:r>
            <w:r w:rsidRPr="00917194">
              <w:rPr>
                <w:rStyle w:val="Hyperlink"/>
                <w:i/>
                <w:iCs/>
                <w:noProof/>
                <w:lang w:val="mk-MK"/>
              </w:rPr>
              <w:t xml:space="preserve"> Член 14 од Европската конвенција за човекови права</w:t>
            </w:r>
            <w:r>
              <w:rPr>
                <w:noProof/>
                <w:webHidden/>
              </w:rPr>
              <w:tab/>
            </w:r>
            <w:r>
              <w:rPr>
                <w:noProof/>
                <w:webHidden/>
              </w:rPr>
              <w:fldChar w:fldCharType="begin"/>
            </w:r>
            <w:r>
              <w:rPr>
                <w:noProof/>
                <w:webHidden/>
              </w:rPr>
              <w:instrText xml:space="preserve"> PAGEREF _Toc230523896 \h </w:instrText>
            </w:r>
            <w:r>
              <w:rPr>
                <w:noProof/>
                <w:webHidden/>
              </w:rPr>
            </w:r>
            <w:r>
              <w:rPr>
                <w:noProof/>
                <w:webHidden/>
              </w:rPr>
              <w:fldChar w:fldCharType="separate"/>
            </w:r>
            <w:r w:rsidR="0000720E">
              <w:rPr>
                <w:noProof/>
                <w:webHidden/>
              </w:rPr>
              <w:t>- 80 -</w:t>
            </w:r>
            <w:r>
              <w:rPr>
                <w:noProof/>
                <w:webHidden/>
              </w:rPr>
              <w:fldChar w:fldCharType="end"/>
            </w:r>
          </w:hyperlink>
        </w:p>
        <w:p w14:paraId="14665E5F" w14:textId="2094F50E"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7" w:history="1">
            <w:r w:rsidRPr="00917194">
              <w:rPr>
                <w:rStyle w:val="Hyperlink"/>
                <w:noProof/>
                <w:lang w:val="mk-MK"/>
              </w:rPr>
              <w:t>4.1.4</w:t>
            </w:r>
            <w:r w:rsidRPr="00917194">
              <w:rPr>
                <w:rStyle w:val="Hyperlink"/>
                <w:b/>
                <w:bCs/>
                <w:noProof/>
                <w:lang w:val="en-US"/>
              </w:rPr>
              <w:t>.</w:t>
            </w:r>
            <w:r w:rsidRPr="00917194">
              <w:rPr>
                <w:rStyle w:val="Hyperlink"/>
                <w:i/>
                <w:iCs/>
                <w:noProof/>
                <w:lang w:val="mk-MK"/>
              </w:rPr>
              <w:t xml:space="preserve"> Член 1 од Протокол број 1 од Европската конвенција за човекови права</w:t>
            </w:r>
            <w:r>
              <w:rPr>
                <w:noProof/>
                <w:webHidden/>
              </w:rPr>
              <w:tab/>
            </w:r>
            <w:r>
              <w:rPr>
                <w:noProof/>
                <w:webHidden/>
              </w:rPr>
              <w:fldChar w:fldCharType="begin"/>
            </w:r>
            <w:r>
              <w:rPr>
                <w:noProof/>
                <w:webHidden/>
              </w:rPr>
              <w:instrText xml:space="preserve"> PAGEREF _Toc230523897 \h </w:instrText>
            </w:r>
            <w:r>
              <w:rPr>
                <w:noProof/>
                <w:webHidden/>
              </w:rPr>
            </w:r>
            <w:r>
              <w:rPr>
                <w:noProof/>
                <w:webHidden/>
              </w:rPr>
              <w:fldChar w:fldCharType="separate"/>
            </w:r>
            <w:r w:rsidR="0000720E">
              <w:rPr>
                <w:noProof/>
                <w:webHidden/>
              </w:rPr>
              <w:t>- 82 -</w:t>
            </w:r>
            <w:r>
              <w:rPr>
                <w:noProof/>
                <w:webHidden/>
              </w:rPr>
              <w:fldChar w:fldCharType="end"/>
            </w:r>
          </w:hyperlink>
        </w:p>
        <w:p w14:paraId="363F2A25" w14:textId="7E7412E1" w:rsidR="0087719A" w:rsidRDefault="0087719A">
          <w:pPr>
            <w:pStyle w:val="TOC2"/>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8" w:history="1">
            <w:r w:rsidRPr="00917194">
              <w:rPr>
                <w:rStyle w:val="Hyperlink"/>
                <w:noProof/>
                <w:lang w:val="mk-MK" w:bidi="hi-IN"/>
              </w:rPr>
              <w:t>4.2. Јуриспруденцијата на Европскиот суд за човекови права</w:t>
            </w:r>
            <w:r>
              <w:rPr>
                <w:noProof/>
                <w:webHidden/>
              </w:rPr>
              <w:tab/>
            </w:r>
            <w:r>
              <w:rPr>
                <w:noProof/>
                <w:webHidden/>
              </w:rPr>
              <w:fldChar w:fldCharType="begin"/>
            </w:r>
            <w:r>
              <w:rPr>
                <w:noProof/>
                <w:webHidden/>
              </w:rPr>
              <w:instrText xml:space="preserve"> PAGEREF _Toc230523898 \h </w:instrText>
            </w:r>
            <w:r>
              <w:rPr>
                <w:noProof/>
                <w:webHidden/>
              </w:rPr>
            </w:r>
            <w:r>
              <w:rPr>
                <w:noProof/>
                <w:webHidden/>
              </w:rPr>
              <w:fldChar w:fldCharType="separate"/>
            </w:r>
            <w:r w:rsidR="0000720E">
              <w:rPr>
                <w:noProof/>
                <w:webHidden/>
              </w:rPr>
              <w:t>- 83 -</w:t>
            </w:r>
            <w:r>
              <w:rPr>
                <w:noProof/>
                <w:webHidden/>
              </w:rPr>
              <w:fldChar w:fldCharType="end"/>
            </w:r>
          </w:hyperlink>
        </w:p>
        <w:p w14:paraId="304099CB" w14:textId="54CD94B4" w:rsidR="0087719A" w:rsidRDefault="0087719A">
          <w:pPr>
            <w:pStyle w:val="TOC2"/>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899" w:history="1">
            <w:r w:rsidRPr="00917194">
              <w:rPr>
                <w:rStyle w:val="Hyperlink"/>
                <w:noProof/>
                <w:lang w:val="mk-MK" w:bidi="hi-IN"/>
              </w:rPr>
              <w:t>4.3. Европска социјална повелба</w:t>
            </w:r>
            <w:r>
              <w:rPr>
                <w:noProof/>
                <w:webHidden/>
              </w:rPr>
              <w:tab/>
            </w:r>
            <w:r>
              <w:rPr>
                <w:noProof/>
                <w:webHidden/>
              </w:rPr>
              <w:fldChar w:fldCharType="begin"/>
            </w:r>
            <w:r>
              <w:rPr>
                <w:noProof/>
                <w:webHidden/>
              </w:rPr>
              <w:instrText xml:space="preserve"> PAGEREF _Toc230523899 \h </w:instrText>
            </w:r>
            <w:r>
              <w:rPr>
                <w:noProof/>
                <w:webHidden/>
              </w:rPr>
            </w:r>
            <w:r>
              <w:rPr>
                <w:noProof/>
                <w:webHidden/>
              </w:rPr>
              <w:fldChar w:fldCharType="separate"/>
            </w:r>
            <w:r w:rsidR="0000720E">
              <w:rPr>
                <w:noProof/>
                <w:webHidden/>
              </w:rPr>
              <w:t>- 88 -</w:t>
            </w:r>
            <w:r>
              <w:rPr>
                <w:noProof/>
                <w:webHidden/>
              </w:rPr>
              <w:fldChar w:fldCharType="end"/>
            </w:r>
          </w:hyperlink>
        </w:p>
        <w:p w14:paraId="3958DE1C" w14:textId="2D88F632"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0" w:history="1">
            <w:r w:rsidRPr="00917194">
              <w:rPr>
                <w:rStyle w:val="Hyperlink"/>
                <w:noProof/>
                <w:lang w:val="mk-MK"/>
              </w:rPr>
              <w:t>4.3.1</w:t>
            </w:r>
            <w:r w:rsidRPr="00917194">
              <w:rPr>
                <w:rStyle w:val="Hyperlink"/>
                <w:b/>
                <w:bCs/>
                <w:noProof/>
                <w:lang w:val="en-US"/>
              </w:rPr>
              <w:t>.</w:t>
            </w:r>
            <w:r w:rsidRPr="00917194">
              <w:rPr>
                <w:rStyle w:val="Hyperlink"/>
                <w:i/>
                <w:iCs/>
                <w:noProof/>
                <w:lang w:val="mk-MK"/>
              </w:rPr>
              <w:t xml:space="preserve"> Член 21 од Европската социјална повелба</w:t>
            </w:r>
            <w:r>
              <w:rPr>
                <w:noProof/>
                <w:webHidden/>
              </w:rPr>
              <w:tab/>
            </w:r>
            <w:r>
              <w:rPr>
                <w:noProof/>
                <w:webHidden/>
              </w:rPr>
              <w:fldChar w:fldCharType="begin"/>
            </w:r>
            <w:r>
              <w:rPr>
                <w:noProof/>
                <w:webHidden/>
              </w:rPr>
              <w:instrText xml:space="preserve"> PAGEREF _Toc230523900 \h </w:instrText>
            </w:r>
            <w:r>
              <w:rPr>
                <w:noProof/>
                <w:webHidden/>
              </w:rPr>
            </w:r>
            <w:r>
              <w:rPr>
                <w:noProof/>
                <w:webHidden/>
              </w:rPr>
              <w:fldChar w:fldCharType="separate"/>
            </w:r>
            <w:r w:rsidR="0000720E">
              <w:rPr>
                <w:noProof/>
                <w:webHidden/>
              </w:rPr>
              <w:t>- 90 -</w:t>
            </w:r>
            <w:r>
              <w:rPr>
                <w:noProof/>
                <w:webHidden/>
              </w:rPr>
              <w:fldChar w:fldCharType="end"/>
            </w:r>
          </w:hyperlink>
        </w:p>
        <w:p w14:paraId="214D9817" w14:textId="5DD35F9B"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1" w:history="1">
            <w:r w:rsidRPr="00917194">
              <w:rPr>
                <w:rStyle w:val="Hyperlink"/>
                <w:noProof/>
                <w:lang w:val="mk-MK"/>
              </w:rPr>
              <w:t>4.3.2</w:t>
            </w:r>
            <w:r w:rsidRPr="00917194">
              <w:rPr>
                <w:rStyle w:val="Hyperlink"/>
                <w:b/>
                <w:bCs/>
                <w:noProof/>
                <w:lang w:val="en-US"/>
              </w:rPr>
              <w:t>.</w:t>
            </w:r>
            <w:r w:rsidRPr="00917194">
              <w:rPr>
                <w:rStyle w:val="Hyperlink"/>
                <w:i/>
                <w:iCs/>
                <w:noProof/>
                <w:lang w:val="mk-MK"/>
              </w:rPr>
              <w:t xml:space="preserve"> Член 22 од Европската социјална повелба</w:t>
            </w:r>
            <w:r>
              <w:rPr>
                <w:noProof/>
                <w:webHidden/>
              </w:rPr>
              <w:tab/>
            </w:r>
            <w:r>
              <w:rPr>
                <w:noProof/>
                <w:webHidden/>
              </w:rPr>
              <w:fldChar w:fldCharType="begin"/>
            </w:r>
            <w:r>
              <w:rPr>
                <w:noProof/>
                <w:webHidden/>
              </w:rPr>
              <w:instrText xml:space="preserve"> PAGEREF _Toc230523901 \h </w:instrText>
            </w:r>
            <w:r>
              <w:rPr>
                <w:noProof/>
                <w:webHidden/>
              </w:rPr>
            </w:r>
            <w:r>
              <w:rPr>
                <w:noProof/>
                <w:webHidden/>
              </w:rPr>
              <w:fldChar w:fldCharType="separate"/>
            </w:r>
            <w:r w:rsidR="0000720E">
              <w:rPr>
                <w:noProof/>
                <w:webHidden/>
              </w:rPr>
              <w:t>- 90 -</w:t>
            </w:r>
            <w:r>
              <w:rPr>
                <w:noProof/>
                <w:webHidden/>
              </w:rPr>
              <w:fldChar w:fldCharType="end"/>
            </w:r>
          </w:hyperlink>
        </w:p>
        <w:p w14:paraId="38D05B82" w14:textId="6AE2629D"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2" w:history="1">
            <w:r w:rsidRPr="00917194">
              <w:rPr>
                <w:rStyle w:val="Hyperlink"/>
                <w:noProof/>
                <w:lang w:val="mk-MK"/>
              </w:rPr>
              <w:t>4.3.3</w:t>
            </w:r>
            <w:r w:rsidRPr="00917194">
              <w:rPr>
                <w:rStyle w:val="Hyperlink"/>
                <w:b/>
                <w:bCs/>
                <w:noProof/>
                <w:lang w:val="en-US"/>
              </w:rPr>
              <w:t>.</w:t>
            </w:r>
            <w:r w:rsidRPr="00917194">
              <w:rPr>
                <w:rStyle w:val="Hyperlink"/>
                <w:i/>
                <w:iCs/>
                <w:noProof/>
                <w:lang w:val="mk-MK"/>
              </w:rPr>
              <w:t xml:space="preserve"> Член 28 од Европската социјална повелба</w:t>
            </w:r>
            <w:r>
              <w:rPr>
                <w:noProof/>
                <w:webHidden/>
              </w:rPr>
              <w:tab/>
            </w:r>
            <w:r>
              <w:rPr>
                <w:noProof/>
                <w:webHidden/>
              </w:rPr>
              <w:fldChar w:fldCharType="begin"/>
            </w:r>
            <w:r>
              <w:rPr>
                <w:noProof/>
                <w:webHidden/>
              </w:rPr>
              <w:instrText xml:space="preserve"> PAGEREF _Toc230523902 \h </w:instrText>
            </w:r>
            <w:r>
              <w:rPr>
                <w:noProof/>
                <w:webHidden/>
              </w:rPr>
            </w:r>
            <w:r>
              <w:rPr>
                <w:noProof/>
                <w:webHidden/>
              </w:rPr>
              <w:fldChar w:fldCharType="separate"/>
            </w:r>
            <w:r w:rsidR="0000720E">
              <w:rPr>
                <w:noProof/>
                <w:webHidden/>
              </w:rPr>
              <w:t>- 91 -</w:t>
            </w:r>
            <w:r>
              <w:rPr>
                <w:noProof/>
                <w:webHidden/>
              </w:rPr>
              <w:fldChar w:fldCharType="end"/>
            </w:r>
          </w:hyperlink>
        </w:p>
        <w:p w14:paraId="2C536A10" w14:textId="0C30D8EF" w:rsidR="0087719A" w:rsidRDefault="0087719A">
          <w:pPr>
            <w:pStyle w:val="TOC3"/>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3" w:history="1">
            <w:r w:rsidRPr="00917194">
              <w:rPr>
                <w:rStyle w:val="Hyperlink"/>
                <w:noProof/>
                <w:lang w:val="mk-MK"/>
              </w:rPr>
              <w:t>4.3.4</w:t>
            </w:r>
            <w:r w:rsidRPr="00917194">
              <w:rPr>
                <w:rStyle w:val="Hyperlink"/>
                <w:b/>
                <w:bCs/>
                <w:noProof/>
                <w:lang w:val="en-US"/>
              </w:rPr>
              <w:t>.</w:t>
            </w:r>
            <w:r w:rsidRPr="00917194">
              <w:rPr>
                <w:rStyle w:val="Hyperlink"/>
                <w:i/>
                <w:iCs/>
                <w:noProof/>
                <w:lang w:val="mk-MK"/>
              </w:rPr>
              <w:t xml:space="preserve"> Член 29 од Европската социјална повелба</w:t>
            </w:r>
            <w:r>
              <w:rPr>
                <w:noProof/>
                <w:webHidden/>
              </w:rPr>
              <w:tab/>
            </w:r>
            <w:r>
              <w:rPr>
                <w:noProof/>
                <w:webHidden/>
              </w:rPr>
              <w:fldChar w:fldCharType="begin"/>
            </w:r>
            <w:r>
              <w:rPr>
                <w:noProof/>
                <w:webHidden/>
              </w:rPr>
              <w:instrText xml:space="preserve"> PAGEREF _Toc230523903 \h </w:instrText>
            </w:r>
            <w:r>
              <w:rPr>
                <w:noProof/>
                <w:webHidden/>
              </w:rPr>
            </w:r>
            <w:r>
              <w:rPr>
                <w:noProof/>
                <w:webHidden/>
              </w:rPr>
              <w:fldChar w:fldCharType="separate"/>
            </w:r>
            <w:r w:rsidR="0000720E">
              <w:rPr>
                <w:noProof/>
                <w:webHidden/>
              </w:rPr>
              <w:t>- 92 -</w:t>
            </w:r>
            <w:r>
              <w:rPr>
                <w:noProof/>
                <w:webHidden/>
              </w:rPr>
              <w:fldChar w:fldCharType="end"/>
            </w:r>
          </w:hyperlink>
        </w:p>
        <w:p w14:paraId="1718A781" w14:textId="77B4D811" w:rsidR="0087719A" w:rsidRDefault="0087719A">
          <w:pPr>
            <w:pStyle w:val="TOC2"/>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4" w:history="1">
            <w:r w:rsidRPr="00917194">
              <w:rPr>
                <w:rStyle w:val="Hyperlink"/>
                <w:noProof/>
                <w:lang w:val="mk-MK" w:bidi="hi-IN"/>
              </w:rPr>
              <w:t>4.4. Препораките на Комитетот на министри</w:t>
            </w:r>
            <w:r>
              <w:rPr>
                <w:noProof/>
                <w:webHidden/>
              </w:rPr>
              <w:tab/>
            </w:r>
            <w:r>
              <w:rPr>
                <w:noProof/>
                <w:webHidden/>
              </w:rPr>
              <w:fldChar w:fldCharType="begin"/>
            </w:r>
            <w:r>
              <w:rPr>
                <w:noProof/>
                <w:webHidden/>
              </w:rPr>
              <w:instrText xml:space="preserve"> PAGEREF _Toc230523904 \h </w:instrText>
            </w:r>
            <w:r>
              <w:rPr>
                <w:noProof/>
                <w:webHidden/>
              </w:rPr>
            </w:r>
            <w:r>
              <w:rPr>
                <w:noProof/>
                <w:webHidden/>
              </w:rPr>
              <w:fldChar w:fldCharType="separate"/>
            </w:r>
            <w:r w:rsidR="0000720E">
              <w:rPr>
                <w:noProof/>
                <w:webHidden/>
              </w:rPr>
              <w:t>- 93 -</w:t>
            </w:r>
            <w:r>
              <w:rPr>
                <w:noProof/>
                <w:webHidden/>
              </w:rPr>
              <w:fldChar w:fldCharType="end"/>
            </w:r>
          </w:hyperlink>
        </w:p>
        <w:p w14:paraId="27DEC27A" w14:textId="64DF8780" w:rsidR="0087719A" w:rsidRDefault="0087719A">
          <w:pPr>
            <w:pStyle w:val="TOC2"/>
            <w:tabs>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5" w:history="1">
            <w:r w:rsidRPr="00917194">
              <w:rPr>
                <w:rStyle w:val="Hyperlink"/>
                <w:noProof/>
                <w:lang w:val="mk-MK" w:bidi="hi-IN"/>
              </w:rPr>
              <w:t>4.5. Степенот на усогласеност на Македонија со стандардите на Советот на Европа</w:t>
            </w:r>
            <w:r>
              <w:rPr>
                <w:noProof/>
                <w:webHidden/>
              </w:rPr>
              <w:tab/>
            </w:r>
            <w:r>
              <w:rPr>
                <w:noProof/>
                <w:webHidden/>
              </w:rPr>
              <w:fldChar w:fldCharType="begin"/>
            </w:r>
            <w:r>
              <w:rPr>
                <w:noProof/>
                <w:webHidden/>
              </w:rPr>
              <w:instrText xml:space="preserve"> PAGEREF _Toc230523905 \h </w:instrText>
            </w:r>
            <w:r>
              <w:rPr>
                <w:noProof/>
                <w:webHidden/>
              </w:rPr>
            </w:r>
            <w:r>
              <w:rPr>
                <w:noProof/>
                <w:webHidden/>
              </w:rPr>
              <w:fldChar w:fldCharType="separate"/>
            </w:r>
            <w:r w:rsidR="0000720E">
              <w:rPr>
                <w:noProof/>
                <w:webHidden/>
              </w:rPr>
              <w:t>- 94 -</w:t>
            </w:r>
            <w:r>
              <w:rPr>
                <w:noProof/>
                <w:webHidden/>
              </w:rPr>
              <w:fldChar w:fldCharType="end"/>
            </w:r>
          </w:hyperlink>
        </w:p>
        <w:p w14:paraId="27D78828" w14:textId="2DDE96D3"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06" w:history="1">
            <w:r w:rsidRPr="00917194">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Европска</w:t>
            </w:r>
            <w:r w:rsidRPr="00917194">
              <w:rPr>
                <w:rStyle w:val="Hyperlink"/>
                <w:noProof/>
                <w:lang w:val="mk-MK"/>
              </w:rPr>
              <w:t>та</w:t>
            </w:r>
            <w:r w:rsidRPr="00917194">
              <w:rPr>
                <w:rStyle w:val="Hyperlink"/>
                <w:noProof/>
              </w:rPr>
              <w:t xml:space="preserve"> унија и правната рамка за корпоративно управување и учество на работниците</w:t>
            </w:r>
            <w:r>
              <w:rPr>
                <w:noProof/>
                <w:webHidden/>
              </w:rPr>
              <w:tab/>
            </w:r>
            <w:r>
              <w:rPr>
                <w:noProof/>
                <w:webHidden/>
              </w:rPr>
              <w:fldChar w:fldCharType="begin"/>
            </w:r>
            <w:r>
              <w:rPr>
                <w:noProof/>
                <w:webHidden/>
              </w:rPr>
              <w:instrText xml:space="preserve"> PAGEREF _Toc230523906 \h </w:instrText>
            </w:r>
            <w:r>
              <w:rPr>
                <w:noProof/>
                <w:webHidden/>
              </w:rPr>
            </w:r>
            <w:r>
              <w:rPr>
                <w:noProof/>
                <w:webHidden/>
              </w:rPr>
              <w:fldChar w:fldCharType="separate"/>
            </w:r>
            <w:r w:rsidR="0000720E">
              <w:rPr>
                <w:noProof/>
                <w:webHidden/>
              </w:rPr>
              <w:t>- 97 -</w:t>
            </w:r>
            <w:r>
              <w:rPr>
                <w:noProof/>
                <w:webHidden/>
              </w:rPr>
              <w:fldChar w:fldCharType="end"/>
            </w:r>
          </w:hyperlink>
        </w:p>
        <w:p w14:paraId="128F2519" w14:textId="5603982B"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7" w:history="1">
            <w:r w:rsidRPr="00917194">
              <w:rPr>
                <w:rStyle w:val="Hyperlink"/>
                <w:noProof/>
                <w:lang w:val="mk-MK" w:bidi="hi-IN"/>
              </w:rPr>
              <w:t>5.1.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Директива 98/59/EC – Колективни отпуштања</w:t>
            </w:r>
            <w:r>
              <w:rPr>
                <w:noProof/>
                <w:webHidden/>
              </w:rPr>
              <w:tab/>
            </w:r>
            <w:r>
              <w:rPr>
                <w:noProof/>
                <w:webHidden/>
              </w:rPr>
              <w:fldChar w:fldCharType="begin"/>
            </w:r>
            <w:r>
              <w:rPr>
                <w:noProof/>
                <w:webHidden/>
              </w:rPr>
              <w:instrText xml:space="preserve"> PAGEREF _Toc230523907 \h </w:instrText>
            </w:r>
            <w:r>
              <w:rPr>
                <w:noProof/>
                <w:webHidden/>
              </w:rPr>
            </w:r>
            <w:r>
              <w:rPr>
                <w:noProof/>
                <w:webHidden/>
              </w:rPr>
              <w:fldChar w:fldCharType="separate"/>
            </w:r>
            <w:r w:rsidR="0000720E">
              <w:rPr>
                <w:noProof/>
                <w:webHidden/>
              </w:rPr>
              <w:t>- 98 -</w:t>
            </w:r>
            <w:r>
              <w:rPr>
                <w:noProof/>
                <w:webHidden/>
              </w:rPr>
              <w:fldChar w:fldCharType="end"/>
            </w:r>
          </w:hyperlink>
        </w:p>
        <w:p w14:paraId="188EFD43" w14:textId="699A318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8" w:history="1">
            <w:r w:rsidRPr="00917194">
              <w:rPr>
                <w:rStyle w:val="Hyperlink"/>
                <w:noProof/>
                <w:lang w:val="mk-MK" w:bidi="hi-IN"/>
              </w:rPr>
              <w:t>5.2.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Директива 2001/23/EC – Пренос на претпријатие</w:t>
            </w:r>
            <w:r>
              <w:rPr>
                <w:noProof/>
                <w:webHidden/>
              </w:rPr>
              <w:tab/>
            </w:r>
            <w:r>
              <w:rPr>
                <w:noProof/>
                <w:webHidden/>
              </w:rPr>
              <w:fldChar w:fldCharType="begin"/>
            </w:r>
            <w:r>
              <w:rPr>
                <w:noProof/>
                <w:webHidden/>
              </w:rPr>
              <w:instrText xml:space="preserve"> PAGEREF _Toc230523908 \h </w:instrText>
            </w:r>
            <w:r>
              <w:rPr>
                <w:noProof/>
                <w:webHidden/>
              </w:rPr>
            </w:r>
            <w:r>
              <w:rPr>
                <w:noProof/>
                <w:webHidden/>
              </w:rPr>
              <w:fldChar w:fldCharType="separate"/>
            </w:r>
            <w:r w:rsidR="0000720E">
              <w:rPr>
                <w:noProof/>
                <w:webHidden/>
              </w:rPr>
              <w:t>- 98 -</w:t>
            </w:r>
            <w:r>
              <w:rPr>
                <w:noProof/>
                <w:webHidden/>
              </w:rPr>
              <w:fldChar w:fldCharType="end"/>
            </w:r>
          </w:hyperlink>
        </w:p>
        <w:p w14:paraId="4096AA43" w14:textId="1F7F1885"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09" w:history="1">
            <w:r w:rsidRPr="00917194">
              <w:rPr>
                <w:rStyle w:val="Hyperlink"/>
                <w:noProof/>
                <w:lang w:val="mk-MK" w:bidi="hi-IN"/>
              </w:rPr>
              <w:t>5.3.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Регулатива 2157/2001 и Директива 2001/86/EC – Европско друштво (SE)</w:t>
            </w:r>
            <w:r>
              <w:rPr>
                <w:noProof/>
                <w:webHidden/>
              </w:rPr>
              <w:tab/>
            </w:r>
            <w:r>
              <w:rPr>
                <w:noProof/>
                <w:webHidden/>
              </w:rPr>
              <w:fldChar w:fldCharType="begin"/>
            </w:r>
            <w:r>
              <w:rPr>
                <w:noProof/>
                <w:webHidden/>
              </w:rPr>
              <w:instrText xml:space="preserve"> PAGEREF _Toc230523909 \h </w:instrText>
            </w:r>
            <w:r>
              <w:rPr>
                <w:noProof/>
                <w:webHidden/>
              </w:rPr>
            </w:r>
            <w:r>
              <w:rPr>
                <w:noProof/>
                <w:webHidden/>
              </w:rPr>
              <w:fldChar w:fldCharType="separate"/>
            </w:r>
            <w:r w:rsidR="0000720E">
              <w:rPr>
                <w:noProof/>
                <w:webHidden/>
              </w:rPr>
              <w:t>- 98 -</w:t>
            </w:r>
            <w:r>
              <w:rPr>
                <w:noProof/>
                <w:webHidden/>
              </w:rPr>
              <w:fldChar w:fldCharType="end"/>
            </w:r>
          </w:hyperlink>
        </w:p>
        <w:p w14:paraId="6F0EABA5" w14:textId="492227BD"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0" w:history="1">
            <w:r w:rsidRPr="00917194">
              <w:rPr>
                <w:rStyle w:val="Hyperlink"/>
                <w:noProof/>
                <w:lang w:val="mk-MK" w:bidi="hi-IN"/>
              </w:rPr>
              <w:t>5.4.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Директива 2002/14/EC – Информирање и консултирање со работниците</w:t>
            </w:r>
            <w:r>
              <w:rPr>
                <w:noProof/>
                <w:webHidden/>
              </w:rPr>
              <w:tab/>
            </w:r>
            <w:r>
              <w:rPr>
                <w:noProof/>
                <w:webHidden/>
              </w:rPr>
              <w:fldChar w:fldCharType="begin"/>
            </w:r>
            <w:r>
              <w:rPr>
                <w:noProof/>
                <w:webHidden/>
              </w:rPr>
              <w:instrText xml:space="preserve"> PAGEREF _Toc230523910 \h </w:instrText>
            </w:r>
            <w:r>
              <w:rPr>
                <w:noProof/>
                <w:webHidden/>
              </w:rPr>
            </w:r>
            <w:r>
              <w:rPr>
                <w:noProof/>
                <w:webHidden/>
              </w:rPr>
              <w:fldChar w:fldCharType="separate"/>
            </w:r>
            <w:r w:rsidR="0000720E">
              <w:rPr>
                <w:noProof/>
                <w:webHidden/>
              </w:rPr>
              <w:t>- 98 -</w:t>
            </w:r>
            <w:r>
              <w:rPr>
                <w:noProof/>
                <w:webHidden/>
              </w:rPr>
              <w:fldChar w:fldCharType="end"/>
            </w:r>
          </w:hyperlink>
        </w:p>
        <w:p w14:paraId="20DBDAF2" w14:textId="5451F77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1" w:history="1">
            <w:r w:rsidRPr="00917194">
              <w:rPr>
                <w:rStyle w:val="Hyperlink"/>
                <w:noProof/>
                <w:lang w:val="mk-MK" w:bidi="hi-IN"/>
              </w:rPr>
              <w:t>5.9.</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Директива 2022/2464 – Corporate Sustainability Reporting Directive (CSRD)</w:t>
            </w:r>
            <w:r>
              <w:rPr>
                <w:noProof/>
                <w:webHidden/>
              </w:rPr>
              <w:tab/>
            </w:r>
            <w:r>
              <w:rPr>
                <w:noProof/>
                <w:webHidden/>
              </w:rPr>
              <w:fldChar w:fldCharType="begin"/>
            </w:r>
            <w:r>
              <w:rPr>
                <w:noProof/>
                <w:webHidden/>
              </w:rPr>
              <w:instrText xml:space="preserve"> PAGEREF _Toc230523911 \h </w:instrText>
            </w:r>
            <w:r>
              <w:rPr>
                <w:noProof/>
                <w:webHidden/>
              </w:rPr>
            </w:r>
            <w:r>
              <w:rPr>
                <w:noProof/>
                <w:webHidden/>
              </w:rPr>
              <w:fldChar w:fldCharType="separate"/>
            </w:r>
            <w:r w:rsidR="0000720E">
              <w:rPr>
                <w:noProof/>
                <w:webHidden/>
              </w:rPr>
              <w:t>- 99 -</w:t>
            </w:r>
            <w:r>
              <w:rPr>
                <w:noProof/>
                <w:webHidden/>
              </w:rPr>
              <w:fldChar w:fldCharType="end"/>
            </w:r>
          </w:hyperlink>
        </w:p>
        <w:p w14:paraId="2D6B2F16" w14:textId="17186911"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2" w:history="1">
            <w:r w:rsidRPr="00917194">
              <w:rPr>
                <w:rStyle w:val="Hyperlink"/>
                <w:noProof/>
                <w:lang w:val="mk-MK" w:bidi="hi-IN"/>
              </w:rPr>
              <w:t>5.10.</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Директива 2022/2381 – Родовата рамнотежа во одборите на котирани друштва</w:t>
            </w:r>
            <w:r>
              <w:rPr>
                <w:noProof/>
                <w:webHidden/>
              </w:rPr>
              <w:tab/>
            </w:r>
            <w:r>
              <w:rPr>
                <w:noProof/>
                <w:webHidden/>
              </w:rPr>
              <w:fldChar w:fldCharType="begin"/>
            </w:r>
            <w:r>
              <w:rPr>
                <w:noProof/>
                <w:webHidden/>
              </w:rPr>
              <w:instrText xml:space="preserve"> PAGEREF _Toc230523912 \h </w:instrText>
            </w:r>
            <w:r>
              <w:rPr>
                <w:noProof/>
                <w:webHidden/>
              </w:rPr>
            </w:r>
            <w:r>
              <w:rPr>
                <w:noProof/>
                <w:webHidden/>
              </w:rPr>
              <w:fldChar w:fldCharType="separate"/>
            </w:r>
            <w:r w:rsidR="0000720E">
              <w:rPr>
                <w:noProof/>
                <w:webHidden/>
              </w:rPr>
              <w:t>- 100 -</w:t>
            </w:r>
            <w:r>
              <w:rPr>
                <w:noProof/>
                <w:webHidden/>
              </w:rPr>
              <w:fldChar w:fldCharType="end"/>
            </w:r>
          </w:hyperlink>
        </w:p>
        <w:p w14:paraId="03FA292D" w14:textId="336E18AF"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3" w:history="1">
            <w:r w:rsidRPr="00917194">
              <w:rPr>
                <w:rStyle w:val="Hyperlink"/>
                <w:noProof/>
                <w:lang w:val="mk-MK" w:bidi="hi-IN"/>
              </w:rPr>
              <w:t>5.11.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Степенот на усогласеност на Македонија со стандардите на ЕУ</w:t>
            </w:r>
            <w:r>
              <w:rPr>
                <w:noProof/>
                <w:webHidden/>
              </w:rPr>
              <w:tab/>
            </w:r>
            <w:r>
              <w:rPr>
                <w:noProof/>
                <w:webHidden/>
              </w:rPr>
              <w:fldChar w:fldCharType="begin"/>
            </w:r>
            <w:r>
              <w:rPr>
                <w:noProof/>
                <w:webHidden/>
              </w:rPr>
              <w:instrText xml:space="preserve"> PAGEREF _Toc230523913 \h </w:instrText>
            </w:r>
            <w:r>
              <w:rPr>
                <w:noProof/>
                <w:webHidden/>
              </w:rPr>
            </w:r>
            <w:r>
              <w:rPr>
                <w:noProof/>
                <w:webHidden/>
              </w:rPr>
              <w:fldChar w:fldCharType="separate"/>
            </w:r>
            <w:r w:rsidR="0000720E">
              <w:rPr>
                <w:noProof/>
                <w:webHidden/>
              </w:rPr>
              <w:t>- 100 -</w:t>
            </w:r>
            <w:r>
              <w:rPr>
                <w:noProof/>
                <w:webHidden/>
              </w:rPr>
              <w:fldChar w:fldCharType="end"/>
            </w:r>
          </w:hyperlink>
        </w:p>
        <w:p w14:paraId="2F0A5015" w14:textId="545549AE"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14" w:history="1">
            <w:r w:rsidRPr="00917194">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Стандарди и иницијативи на Обединетите Нации</w:t>
            </w:r>
            <w:r>
              <w:rPr>
                <w:noProof/>
                <w:webHidden/>
              </w:rPr>
              <w:tab/>
            </w:r>
            <w:r>
              <w:rPr>
                <w:noProof/>
                <w:webHidden/>
              </w:rPr>
              <w:fldChar w:fldCharType="begin"/>
            </w:r>
            <w:r>
              <w:rPr>
                <w:noProof/>
                <w:webHidden/>
              </w:rPr>
              <w:instrText xml:space="preserve"> PAGEREF _Toc230523914 \h </w:instrText>
            </w:r>
            <w:r>
              <w:rPr>
                <w:noProof/>
                <w:webHidden/>
              </w:rPr>
            </w:r>
            <w:r>
              <w:rPr>
                <w:noProof/>
                <w:webHidden/>
              </w:rPr>
              <w:fldChar w:fldCharType="separate"/>
            </w:r>
            <w:r w:rsidR="0000720E">
              <w:rPr>
                <w:noProof/>
                <w:webHidden/>
              </w:rPr>
              <w:t>- 102 -</w:t>
            </w:r>
            <w:r>
              <w:rPr>
                <w:noProof/>
                <w:webHidden/>
              </w:rPr>
              <w:fldChar w:fldCharType="end"/>
            </w:r>
          </w:hyperlink>
        </w:p>
        <w:p w14:paraId="39AEF9F7" w14:textId="68248163"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5" w:history="1">
            <w:r w:rsidRPr="00917194">
              <w:rPr>
                <w:rStyle w:val="Hyperlink"/>
                <w:noProof/>
                <w:lang w:val="mk-MK" w:bidi="hi-IN"/>
              </w:rPr>
              <w:t>6.1.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Водечките принципи на ОН за бизнис и човекови права (UNGPs)</w:t>
            </w:r>
            <w:r>
              <w:rPr>
                <w:noProof/>
                <w:webHidden/>
              </w:rPr>
              <w:tab/>
            </w:r>
            <w:r>
              <w:rPr>
                <w:noProof/>
                <w:webHidden/>
              </w:rPr>
              <w:fldChar w:fldCharType="begin"/>
            </w:r>
            <w:r>
              <w:rPr>
                <w:noProof/>
                <w:webHidden/>
              </w:rPr>
              <w:instrText xml:space="preserve"> PAGEREF _Toc230523915 \h </w:instrText>
            </w:r>
            <w:r>
              <w:rPr>
                <w:noProof/>
                <w:webHidden/>
              </w:rPr>
            </w:r>
            <w:r>
              <w:rPr>
                <w:noProof/>
                <w:webHidden/>
              </w:rPr>
              <w:fldChar w:fldCharType="separate"/>
            </w:r>
            <w:r w:rsidR="0000720E">
              <w:rPr>
                <w:noProof/>
                <w:webHidden/>
              </w:rPr>
              <w:t>- 103 -</w:t>
            </w:r>
            <w:r>
              <w:rPr>
                <w:noProof/>
                <w:webHidden/>
              </w:rPr>
              <w:fldChar w:fldCharType="end"/>
            </w:r>
          </w:hyperlink>
        </w:p>
        <w:p w14:paraId="08B84563" w14:textId="0A95A46C"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6" w:history="1">
            <w:r w:rsidRPr="00917194">
              <w:rPr>
                <w:rStyle w:val="Hyperlink"/>
                <w:noProof/>
                <w:lang w:val="mk-MK" w:bidi="hi-IN"/>
              </w:rPr>
              <w:t>6.2.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Целите за одржлив развој (SDGs)</w:t>
            </w:r>
            <w:r>
              <w:rPr>
                <w:noProof/>
                <w:webHidden/>
              </w:rPr>
              <w:tab/>
            </w:r>
            <w:r>
              <w:rPr>
                <w:noProof/>
                <w:webHidden/>
              </w:rPr>
              <w:fldChar w:fldCharType="begin"/>
            </w:r>
            <w:r>
              <w:rPr>
                <w:noProof/>
                <w:webHidden/>
              </w:rPr>
              <w:instrText xml:space="preserve"> PAGEREF _Toc230523916 \h </w:instrText>
            </w:r>
            <w:r>
              <w:rPr>
                <w:noProof/>
                <w:webHidden/>
              </w:rPr>
            </w:r>
            <w:r>
              <w:rPr>
                <w:noProof/>
                <w:webHidden/>
              </w:rPr>
              <w:fldChar w:fldCharType="separate"/>
            </w:r>
            <w:r w:rsidR="0000720E">
              <w:rPr>
                <w:noProof/>
                <w:webHidden/>
              </w:rPr>
              <w:t>- 104 -</w:t>
            </w:r>
            <w:r>
              <w:rPr>
                <w:noProof/>
                <w:webHidden/>
              </w:rPr>
              <w:fldChar w:fldCharType="end"/>
            </w:r>
          </w:hyperlink>
        </w:p>
        <w:p w14:paraId="204A9379" w14:textId="61F80A7B"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7" w:history="1">
            <w:r w:rsidRPr="00917194">
              <w:rPr>
                <w:rStyle w:val="Hyperlink"/>
                <w:noProof/>
                <w:lang w:val="mk-MK" w:bidi="hi-IN"/>
              </w:rPr>
              <w:t>6.3.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Глобалниот компакт на ОН</w:t>
            </w:r>
            <w:r>
              <w:rPr>
                <w:noProof/>
                <w:webHidden/>
              </w:rPr>
              <w:tab/>
            </w:r>
            <w:r>
              <w:rPr>
                <w:noProof/>
                <w:webHidden/>
              </w:rPr>
              <w:fldChar w:fldCharType="begin"/>
            </w:r>
            <w:r>
              <w:rPr>
                <w:noProof/>
                <w:webHidden/>
              </w:rPr>
              <w:instrText xml:space="preserve"> PAGEREF _Toc230523917 \h </w:instrText>
            </w:r>
            <w:r>
              <w:rPr>
                <w:noProof/>
                <w:webHidden/>
              </w:rPr>
            </w:r>
            <w:r>
              <w:rPr>
                <w:noProof/>
                <w:webHidden/>
              </w:rPr>
              <w:fldChar w:fldCharType="separate"/>
            </w:r>
            <w:r w:rsidR="0000720E">
              <w:rPr>
                <w:noProof/>
                <w:webHidden/>
              </w:rPr>
              <w:t>- 105 -</w:t>
            </w:r>
            <w:r>
              <w:rPr>
                <w:noProof/>
                <w:webHidden/>
              </w:rPr>
              <w:fldChar w:fldCharType="end"/>
            </w:r>
          </w:hyperlink>
        </w:p>
        <w:p w14:paraId="68085EBF" w14:textId="1C529CB7"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18" w:history="1">
            <w:r w:rsidRPr="00917194">
              <w:rPr>
                <w:rStyle w:val="Hyperlink"/>
                <w:noProof/>
                <w:lang w:val="mk-MK" w:bidi="hi-IN"/>
              </w:rPr>
              <w:t>6.4.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Македонија во Обединетите Нации</w:t>
            </w:r>
            <w:r>
              <w:rPr>
                <w:noProof/>
                <w:webHidden/>
              </w:rPr>
              <w:tab/>
            </w:r>
            <w:r>
              <w:rPr>
                <w:noProof/>
                <w:webHidden/>
              </w:rPr>
              <w:fldChar w:fldCharType="begin"/>
            </w:r>
            <w:r>
              <w:rPr>
                <w:noProof/>
                <w:webHidden/>
              </w:rPr>
              <w:instrText xml:space="preserve"> PAGEREF _Toc230523918 \h </w:instrText>
            </w:r>
            <w:r>
              <w:rPr>
                <w:noProof/>
                <w:webHidden/>
              </w:rPr>
            </w:r>
            <w:r>
              <w:rPr>
                <w:noProof/>
                <w:webHidden/>
              </w:rPr>
              <w:fldChar w:fldCharType="separate"/>
            </w:r>
            <w:r w:rsidR="0000720E">
              <w:rPr>
                <w:noProof/>
                <w:webHidden/>
              </w:rPr>
              <w:t>- 105 -</w:t>
            </w:r>
            <w:r>
              <w:rPr>
                <w:noProof/>
                <w:webHidden/>
              </w:rPr>
              <w:fldChar w:fldCharType="end"/>
            </w:r>
          </w:hyperlink>
        </w:p>
        <w:p w14:paraId="2427C4C4" w14:textId="0D3EB278"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19" w:history="1">
            <w:r w:rsidRPr="00917194">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Заклучни согледувања</w:t>
            </w:r>
            <w:r>
              <w:rPr>
                <w:noProof/>
                <w:webHidden/>
              </w:rPr>
              <w:tab/>
            </w:r>
            <w:r>
              <w:rPr>
                <w:noProof/>
                <w:webHidden/>
              </w:rPr>
              <w:fldChar w:fldCharType="begin"/>
            </w:r>
            <w:r>
              <w:rPr>
                <w:noProof/>
                <w:webHidden/>
              </w:rPr>
              <w:instrText xml:space="preserve"> PAGEREF _Toc230523919 \h </w:instrText>
            </w:r>
            <w:r>
              <w:rPr>
                <w:noProof/>
                <w:webHidden/>
              </w:rPr>
            </w:r>
            <w:r>
              <w:rPr>
                <w:noProof/>
                <w:webHidden/>
              </w:rPr>
              <w:fldChar w:fldCharType="separate"/>
            </w:r>
            <w:r w:rsidR="0000720E">
              <w:rPr>
                <w:noProof/>
                <w:webHidden/>
              </w:rPr>
              <w:t>- 106 -</w:t>
            </w:r>
            <w:r>
              <w:rPr>
                <w:noProof/>
                <w:webHidden/>
              </w:rPr>
              <w:fldChar w:fldCharType="end"/>
            </w:r>
          </w:hyperlink>
        </w:p>
        <w:p w14:paraId="24B464F4" w14:textId="02F500A5"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20" w:history="1">
            <w:r w:rsidRPr="00917194">
              <w:rPr>
                <w:rStyle w:val="Hyperlink"/>
                <w:noProof/>
                <w:lang w:val="mk-MK"/>
              </w:rPr>
              <w:t>В. Компаративни нормативни рамки за учество на вработените</w:t>
            </w:r>
            <w:r>
              <w:rPr>
                <w:noProof/>
                <w:webHidden/>
              </w:rPr>
              <w:tab/>
            </w:r>
            <w:r>
              <w:rPr>
                <w:noProof/>
                <w:webHidden/>
              </w:rPr>
              <w:fldChar w:fldCharType="begin"/>
            </w:r>
            <w:r>
              <w:rPr>
                <w:noProof/>
                <w:webHidden/>
              </w:rPr>
              <w:instrText xml:space="preserve"> PAGEREF _Toc230523920 \h </w:instrText>
            </w:r>
            <w:r>
              <w:rPr>
                <w:noProof/>
                <w:webHidden/>
              </w:rPr>
            </w:r>
            <w:r>
              <w:rPr>
                <w:noProof/>
                <w:webHidden/>
              </w:rPr>
              <w:fldChar w:fldCharType="separate"/>
            </w:r>
            <w:r w:rsidR="0000720E">
              <w:rPr>
                <w:noProof/>
                <w:webHidden/>
              </w:rPr>
              <w:t>- 109 -</w:t>
            </w:r>
            <w:r>
              <w:rPr>
                <w:noProof/>
                <w:webHidden/>
              </w:rPr>
              <w:fldChar w:fldCharType="end"/>
            </w:r>
          </w:hyperlink>
        </w:p>
        <w:p w14:paraId="37919EA3" w14:textId="36D38F7B"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1" w:history="1">
            <w:r w:rsidRPr="00917194">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„Закон о привредним друштвима“ и практиката во Република Србија</w:t>
            </w:r>
            <w:r>
              <w:rPr>
                <w:noProof/>
                <w:webHidden/>
              </w:rPr>
              <w:tab/>
            </w:r>
            <w:r>
              <w:rPr>
                <w:noProof/>
                <w:webHidden/>
              </w:rPr>
              <w:fldChar w:fldCharType="begin"/>
            </w:r>
            <w:r>
              <w:rPr>
                <w:noProof/>
                <w:webHidden/>
              </w:rPr>
              <w:instrText xml:space="preserve"> PAGEREF _Toc230523921 \h </w:instrText>
            </w:r>
            <w:r>
              <w:rPr>
                <w:noProof/>
                <w:webHidden/>
              </w:rPr>
            </w:r>
            <w:r>
              <w:rPr>
                <w:noProof/>
                <w:webHidden/>
              </w:rPr>
              <w:fldChar w:fldCharType="separate"/>
            </w:r>
            <w:r w:rsidR="0000720E">
              <w:rPr>
                <w:noProof/>
                <w:webHidden/>
              </w:rPr>
              <w:t>- 112 -</w:t>
            </w:r>
            <w:r>
              <w:rPr>
                <w:noProof/>
                <w:webHidden/>
              </w:rPr>
              <w:fldChar w:fldCharType="end"/>
            </w:r>
          </w:hyperlink>
        </w:p>
        <w:p w14:paraId="687F9D51" w14:textId="06A8672E"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2" w:history="1">
            <w:r w:rsidRPr="00917194">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Правниот формализам и случајот на Босна и Херцеговина</w:t>
            </w:r>
            <w:r>
              <w:rPr>
                <w:noProof/>
                <w:webHidden/>
              </w:rPr>
              <w:tab/>
            </w:r>
            <w:r>
              <w:rPr>
                <w:noProof/>
                <w:webHidden/>
              </w:rPr>
              <w:fldChar w:fldCharType="begin"/>
            </w:r>
            <w:r>
              <w:rPr>
                <w:noProof/>
                <w:webHidden/>
              </w:rPr>
              <w:instrText xml:space="preserve"> PAGEREF _Toc230523922 \h </w:instrText>
            </w:r>
            <w:r>
              <w:rPr>
                <w:noProof/>
                <w:webHidden/>
              </w:rPr>
            </w:r>
            <w:r>
              <w:rPr>
                <w:noProof/>
                <w:webHidden/>
              </w:rPr>
              <w:fldChar w:fldCharType="separate"/>
            </w:r>
            <w:r w:rsidR="0000720E">
              <w:rPr>
                <w:noProof/>
                <w:webHidden/>
              </w:rPr>
              <w:t>- 119 -</w:t>
            </w:r>
            <w:r>
              <w:rPr>
                <w:noProof/>
                <w:webHidden/>
              </w:rPr>
              <w:fldChar w:fldCharType="end"/>
            </w:r>
          </w:hyperlink>
        </w:p>
        <w:p w14:paraId="02C31EEC" w14:textId="437E7DA8"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3" w:history="1">
            <w:r w:rsidRPr="00917194">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Уреденоста во Република Хрватска и трите клучни закони</w:t>
            </w:r>
            <w:r>
              <w:rPr>
                <w:noProof/>
                <w:webHidden/>
              </w:rPr>
              <w:tab/>
            </w:r>
            <w:r>
              <w:rPr>
                <w:noProof/>
                <w:webHidden/>
              </w:rPr>
              <w:fldChar w:fldCharType="begin"/>
            </w:r>
            <w:r>
              <w:rPr>
                <w:noProof/>
                <w:webHidden/>
              </w:rPr>
              <w:instrText xml:space="preserve"> PAGEREF _Toc230523923 \h </w:instrText>
            </w:r>
            <w:r>
              <w:rPr>
                <w:noProof/>
                <w:webHidden/>
              </w:rPr>
            </w:r>
            <w:r>
              <w:rPr>
                <w:noProof/>
                <w:webHidden/>
              </w:rPr>
              <w:fldChar w:fldCharType="separate"/>
            </w:r>
            <w:r w:rsidR="0000720E">
              <w:rPr>
                <w:noProof/>
                <w:webHidden/>
              </w:rPr>
              <w:t>- 124 -</w:t>
            </w:r>
            <w:r>
              <w:rPr>
                <w:noProof/>
                <w:webHidden/>
              </w:rPr>
              <w:fldChar w:fldCharType="end"/>
            </w:r>
          </w:hyperlink>
        </w:p>
        <w:p w14:paraId="1285E5D4" w14:textId="4286B825"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4" w:history="1">
            <w:r w:rsidRPr="00917194">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Хибридниот модел на корпоративно управување и институционализирано учество на вработените во Република Словенија</w:t>
            </w:r>
            <w:r>
              <w:rPr>
                <w:noProof/>
                <w:webHidden/>
              </w:rPr>
              <w:tab/>
            </w:r>
            <w:r>
              <w:rPr>
                <w:noProof/>
                <w:webHidden/>
              </w:rPr>
              <w:fldChar w:fldCharType="begin"/>
            </w:r>
            <w:r>
              <w:rPr>
                <w:noProof/>
                <w:webHidden/>
              </w:rPr>
              <w:instrText xml:space="preserve"> PAGEREF _Toc230523924 \h </w:instrText>
            </w:r>
            <w:r>
              <w:rPr>
                <w:noProof/>
                <w:webHidden/>
              </w:rPr>
            </w:r>
            <w:r>
              <w:rPr>
                <w:noProof/>
                <w:webHidden/>
              </w:rPr>
              <w:fldChar w:fldCharType="separate"/>
            </w:r>
            <w:r w:rsidR="0000720E">
              <w:rPr>
                <w:noProof/>
                <w:webHidden/>
              </w:rPr>
              <w:t>- 130 -</w:t>
            </w:r>
            <w:r>
              <w:rPr>
                <w:noProof/>
                <w:webHidden/>
              </w:rPr>
              <w:fldChar w:fldCharType="end"/>
            </w:r>
          </w:hyperlink>
        </w:p>
        <w:p w14:paraId="35CEC24C" w14:textId="27E6A7DC"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5" w:history="1">
            <w:r w:rsidRPr="00917194">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Сојузна Република Германија како референтен модел на институционализирана кодетерминација</w:t>
            </w:r>
            <w:r>
              <w:rPr>
                <w:noProof/>
                <w:webHidden/>
              </w:rPr>
              <w:tab/>
            </w:r>
            <w:r>
              <w:rPr>
                <w:noProof/>
                <w:webHidden/>
              </w:rPr>
              <w:fldChar w:fldCharType="begin"/>
            </w:r>
            <w:r>
              <w:rPr>
                <w:noProof/>
                <w:webHidden/>
              </w:rPr>
              <w:instrText xml:space="preserve"> PAGEREF _Toc230523925 \h </w:instrText>
            </w:r>
            <w:r>
              <w:rPr>
                <w:noProof/>
                <w:webHidden/>
              </w:rPr>
            </w:r>
            <w:r>
              <w:rPr>
                <w:noProof/>
                <w:webHidden/>
              </w:rPr>
              <w:fldChar w:fldCharType="separate"/>
            </w:r>
            <w:r w:rsidR="0000720E">
              <w:rPr>
                <w:noProof/>
                <w:webHidden/>
              </w:rPr>
              <w:t>- 136 -</w:t>
            </w:r>
            <w:r>
              <w:rPr>
                <w:noProof/>
                <w:webHidden/>
              </w:rPr>
              <w:fldChar w:fldCharType="end"/>
            </w:r>
          </w:hyperlink>
        </w:p>
        <w:p w14:paraId="5800A4A4" w14:textId="7DCBDB6C"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6" w:history="1">
            <w:r w:rsidRPr="00917194">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Работнички совети и „структурниот режим“ во Холандија</w:t>
            </w:r>
            <w:r>
              <w:rPr>
                <w:noProof/>
                <w:webHidden/>
              </w:rPr>
              <w:tab/>
            </w:r>
            <w:r>
              <w:rPr>
                <w:noProof/>
                <w:webHidden/>
              </w:rPr>
              <w:fldChar w:fldCharType="begin"/>
            </w:r>
            <w:r>
              <w:rPr>
                <w:noProof/>
                <w:webHidden/>
              </w:rPr>
              <w:instrText xml:space="preserve"> PAGEREF _Toc230523926 \h </w:instrText>
            </w:r>
            <w:r>
              <w:rPr>
                <w:noProof/>
                <w:webHidden/>
              </w:rPr>
            </w:r>
            <w:r>
              <w:rPr>
                <w:noProof/>
                <w:webHidden/>
              </w:rPr>
              <w:fldChar w:fldCharType="separate"/>
            </w:r>
            <w:r w:rsidR="0000720E">
              <w:rPr>
                <w:noProof/>
                <w:webHidden/>
              </w:rPr>
              <w:t>- 141 -</w:t>
            </w:r>
            <w:r>
              <w:rPr>
                <w:noProof/>
                <w:webHidden/>
              </w:rPr>
              <w:fldChar w:fldCharType="end"/>
            </w:r>
          </w:hyperlink>
        </w:p>
        <w:p w14:paraId="2BB908E9" w14:textId="74D71BC7"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7" w:history="1">
            <w:r w:rsidRPr="00917194">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Институционалната рамка и практиката во Италија</w:t>
            </w:r>
            <w:r>
              <w:rPr>
                <w:noProof/>
                <w:webHidden/>
              </w:rPr>
              <w:tab/>
            </w:r>
            <w:r>
              <w:rPr>
                <w:noProof/>
                <w:webHidden/>
              </w:rPr>
              <w:fldChar w:fldCharType="begin"/>
            </w:r>
            <w:r>
              <w:rPr>
                <w:noProof/>
                <w:webHidden/>
              </w:rPr>
              <w:instrText xml:space="preserve"> PAGEREF _Toc230523927 \h </w:instrText>
            </w:r>
            <w:r>
              <w:rPr>
                <w:noProof/>
                <w:webHidden/>
              </w:rPr>
            </w:r>
            <w:r>
              <w:rPr>
                <w:noProof/>
                <w:webHidden/>
              </w:rPr>
              <w:fldChar w:fldCharType="separate"/>
            </w:r>
            <w:r w:rsidR="0000720E">
              <w:rPr>
                <w:noProof/>
                <w:webHidden/>
              </w:rPr>
              <w:t>- 146 -</w:t>
            </w:r>
            <w:r>
              <w:rPr>
                <w:noProof/>
                <w:webHidden/>
              </w:rPr>
              <w:fldChar w:fldCharType="end"/>
            </w:r>
          </w:hyperlink>
        </w:p>
        <w:p w14:paraId="7497AA9C" w14:textId="01AB2522"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8" w:history="1">
            <w:r w:rsidRPr="00917194">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Специфичната архитектура помеѓу правото и практиката во Полска</w:t>
            </w:r>
            <w:r>
              <w:rPr>
                <w:noProof/>
                <w:webHidden/>
              </w:rPr>
              <w:tab/>
            </w:r>
            <w:r>
              <w:rPr>
                <w:noProof/>
                <w:webHidden/>
              </w:rPr>
              <w:fldChar w:fldCharType="begin"/>
            </w:r>
            <w:r>
              <w:rPr>
                <w:noProof/>
                <w:webHidden/>
              </w:rPr>
              <w:instrText xml:space="preserve"> PAGEREF _Toc230523928 \h </w:instrText>
            </w:r>
            <w:r>
              <w:rPr>
                <w:noProof/>
                <w:webHidden/>
              </w:rPr>
            </w:r>
            <w:r>
              <w:rPr>
                <w:noProof/>
                <w:webHidden/>
              </w:rPr>
              <w:fldChar w:fldCharType="separate"/>
            </w:r>
            <w:r w:rsidR="0000720E">
              <w:rPr>
                <w:noProof/>
                <w:webHidden/>
              </w:rPr>
              <w:t>- 151 -</w:t>
            </w:r>
            <w:r>
              <w:rPr>
                <w:noProof/>
                <w:webHidden/>
              </w:rPr>
              <w:fldChar w:fldCharType="end"/>
            </w:r>
          </w:hyperlink>
        </w:p>
        <w:p w14:paraId="797905F3" w14:textId="57C17659"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29" w:history="1">
            <w:r w:rsidRPr="00917194">
              <w:rPr>
                <w:rStyle w:val="Hyperlink"/>
                <w:noProof/>
              </w:rPr>
              <w:t>9.</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Приматот на акционерите, процесната „гласност“ и границите на мекото вклучување на вработените во Обединетото Кралство</w:t>
            </w:r>
            <w:r>
              <w:rPr>
                <w:noProof/>
                <w:webHidden/>
              </w:rPr>
              <w:tab/>
            </w:r>
            <w:r>
              <w:rPr>
                <w:noProof/>
                <w:webHidden/>
              </w:rPr>
              <w:fldChar w:fldCharType="begin"/>
            </w:r>
            <w:r>
              <w:rPr>
                <w:noProof/>
                <w:webHidden/>
              </w:rPr>
              <w:instrText xml:space="preserve"> PAGEREF _Toc230523929 \h </w:instrText>
            </w:r>
            <w:r>
              <w:rPr>
                <w:noProof/>
                <w:webHidden/>
              </w:rPr>
            </w:r>
            <w:r>
              <w:rPr>
                <w:noProof/>
                <w:webHidden/>
              </w:rPr>
              <w:fldChar w:fldCharType="separate"/>
            </w:r>
            <w:r w:rsidR="0000720E">
              <w:rPr>
                <w:noProof/>
                <w:webHidden/>
              </w:rPr>
              <w:t>- 156 -</w:t>
            </w:r>
            <w:r>
              <w:rPr>
                <w:noProof/>
                <w:webHidden/>
              </w:rPr>
              <w:fldChar w:fldCharType="end"/>
            </w:r>
          </w:hyperlink>
        </w:p>
        <w:p w14:paraId="32E62F0B" w14:textId="1B3EE538"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30" w:history="1">
            <w:r w:rsidRPr="00917194">
              <w:rPr>
                <w:rStyle w:val="Hyperlink"/>
                <w:noProof/>
              </w:rPr>
              <w:t>10.</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Корпоративно управување без кодетерминација и со апсолутен приоритет на акционерите во САД</w:t>
            </w:r>
            <w:r>
              <w:rPr>
                <w:noProof/>
                <w:webHidden/>
              </w:rPr>
              <w:tab/>
            </w:r>
            <w:r>
              <w:rPr>
                <w:noProof/>
                <w:webHidden/>
              </w:rPr>
              <w:fldChar w:fldCharType="begin"/>
            </w:r>
            <w:r>
              <w:rPr>
                <w:noProof/>
                <w:webHidden/>
              </w:rPr>
              <w:instrText xml:space="preserve"> PAGEREF _Toc230523930 \h </w:instrText>
            </w:r>
            <w:r>
              <w:rPr>
                <w:noProof/>
                <w:webHidden/>
              </w:rPr>
            </w:r>
            <w:r>
              <w:rPr>
                <w:noProof/>
                <w:webHidden/>
              </w:rPr>
              <w:fldChar w:fldCharType="separate"/>
            </w:r>
            <w:r w:rsidR="0000720E">
              <w:rPr>
                <w:noProof/>
                <w:webHidden/>
              </w:rPr>
              <w:t>- 162 -</w:t>
            </w:r>
            <w:r>
              <w:rPr>
                <w:noProof/>
                <w:webHidden/>
              </w:rPr>
              <w:fldChar w:fldCharType="end"/>
            </w:r>
          </w:hyperlink>
        </w:p>
        <w:p w14:paraId="43A784E6" w14:textId="453069BE"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31" w:history="1">
            <w:r w:rsidRPr="00917194">
              <w:rPr>
                <w:rStyle w:val="Hyperlink"/>
                <w:noProof/>
              </w:rPr>
              <w:t>11.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Транспонирање и тестирање на механизмите од различни модели во Јапонија</w:t>
            </w:r>
            <w:r>
              <w:rPr>
                <w:noProof/>
                <w:webHidden/>
              </w:rPr>
              <w:tab/>
            </w:r>
            <w:r>
              <w:rPr>
                <w:noProof/>
                <w:webHidden/>
              </w:rPr>
              <w:fldChar w:fldCharType="begin"/>
            </w:r>
            <w:r>
              <w:rPr>
                <w:noProof/>
                <w:webHidden/>
              </w:rPr>
              <w:instrText xml:space="preserve"> PAGEREF _Toc230523931 \h </w:instrText>
            </w:r>
            <w:r>
              <w:rPr>
                <w:noProof/>
                <w:webHidden/>
              </w:rPr>
            </w:r>
            <w:r>
              <w:rPr>
                <w:noProof/>
                <w:webHidden/>
              </w:rPr>
              <w:fldChar w:fldCharType="separate"/>
            </w:r>
            <w:r w:rsidR="0000720E">
              <w:rPr>
                <w:noProof/>
                <w:webHidden/>
              </w:rPr>
              <w:t>- 167 -</w:t>
            </w:r>
            <w:r>
              <w:rPr>
                <w:noProof/>
                <w:webHidden/>
              </w:rPr>
              <w:fldChar w:fldCharType="end"/>
            </w:r>
          </w:hyperlink>
        </w:p>
        <w:p w14:paraId="0CA24579" w14:textId="007A26C4"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32" w:history="1">
            <w:r w:rsidRPr="00917194">
              <w:rPr>
                <w:rStyle w:val="Hyperlink"/>
                <w:noProof/>
              </w:rPr>
              <w:t>12.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Хибриден модел на корпоративно управување и учество на вработените во Кина</w:t>
            </w:r>
            <w:r>
              <w:rPr>
                <w:noProof/>
                <w:webHidden/>
              </w:rPr>
              <w:tab/>
            </w:r>
            <w:r>
              <w:rPr>
                <w:noProof/>
                <w:webHidden/>
              </w:rPr>
              <w:fldChar w:fldCharType="begin"/>
            </w:r>
            <w:r>
              <w:rPr>
                <w:noProof/>
                <w:webHidden/>
              </w:rPr>
              <w:instrText xml:space="preserve"> PAGEREF _Toc230523932 \h </w:instrText>
            </w:r>
            <w:r>
              <w:rPr>
                <w:noProof/>
                <w:webHidden/>
              </w:rPr>
            </w:r>
            <w:r>
              <w:rPr>
                <w:noProof/>
                <w:webHidden/>
              </w:rPr>
              <w:fldChar w:fldCharType="separate"/>
            </w:r>
            <w:r w:rsidR="0000720E">
              <w:rPr>
                <w:noProof/>
                <w:webHidden/>
              </w:rPr>
              <w:t>- 170 -</w:t>
            </w:r>
            <w:r>
              <w:rPr>
                <w:noProof/>
                <w:webHidden/>
              </w:rPr>
              <w:fldChar w:fldCharType="end"/>
            </w:r>
          </w:hyperlink>
        </w:p>
        <w:p w14:paraId="484FE53C" w14:textId="208FBF32"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33" w:history="1">
            <w:r w:rsidRPr="00917194">
              <w:rPr>
                <w:rStyle w:val="Hyperlink"/>
                <w:noProof/>
              </w:rPr>
              <w:t>13.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Заклучни согледувања</w:t>
            </w:r>
            <w:r>
              <w:rPr>
                <w:noProof/>
                <w:webHidden/>
              </w:rPr>
              <w:tab/>
            </w:r>
            <w:r>
              <w:rPr>
                <w:noProof/>
                <w:webHidden/>
              </w:rPr>
              <w:fldChar w:fldCharType="begin"/>
            </w:r>
            <w:r>
              <w:rPr>
                <w:noProof/>
                <w:webHidden/>
              </w:rPr>
              <w:instrText xml:space="preserve"> PAGEREF _Toc230523933 \h </w:instrText>
            </w:r>
            <w:r>
              <w:rPr>
                <w:noProof/>
                <w:webHidden/>
              </w:rPr>
            </w:r>
            <w:r>
              <w:rPr>
                <w:noProof/>
                <w:webHidden/>
              </w:rPr>
              <w:fldChar w:fldCharType="separate"/>
            </w:r>
            <w:r w:rsidR="0000720E">
              <w:rPr>
                <w:noProof/>
                <w:webHidden/>
              </w:rPr>
              <w:t>- 172 -</w:t>
            </w:r>
            <w:r>
              <w:rPr>
                <w:noProof/>
                <w:webHidden/>
              </w:rPr>
              <w:fldChar w:fldCharType="end"/>
            </w:r>
          </w:hyperlink>
        </w:p>
        <w:p w14:paraId="3C1A0411" w14:textId="25DA2423"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34" w:history="1">
            <w:r w:rsidRPr="00917194">
              <w:rPr>
                <w:rStyle w:val="Hyperlink"/>
                <w:noProof/>
                <w:lang w:val="mk-MK"/>
              </w:rPr>
              <w:t>Г. Институционална промена, европска интеграција и структурна трансформација</w:t>
            </w:r>
            <w:r>
              <w:rPr>
                <w:noProof/>
                <w:webHidden/>
              </w:rPr>
              <w:tab/>
            </w:r>
            <w:r>
              <w:rPr>
                <w:noProof/>
                <w:webHidden/>
              </w:rPr>
              <w:fldChar w:fldCharType="begin"/>
            </w:r>
            <w:r>
              <w:rPr>
                <w:noProof/>
                <w:webHidden/>
              </w:rPr>
              <w:instrText xml:space="preserve"> PAGEREF _Toc230523934 \h </w:instrText>
            </w:r>
            <w:r>
              <w:rPr>
                <w:noProof/>
                <w:webHidden/>
              </w:rPr>
            </w:r>
            <w:r>
              <w:rPr>
                <w:noProof/>
                <w:webHidden/>
              </w:rPr>
              <w:fldChar w:fldCharType="separate"/>
            </w:r>
            <w:r w:rsidR="0000720E">
              <w:rPr>
                <w:noProof/>
                <w:webHidden/>
              </w:rPr>
              <w:t>- 176 -</w:t>
            </w:r>
            <w:r>
              <w:rPr>
                <w:noProof/>
                <w:webHidden/>
              </w:rPr>
              <w:fldChar w:fldCharType="end"/>
            </w:r>
          </w:hyperlink>
        </w:p>
        <w:p w14:paraId="4D1ACEC6" w14:textId="3C482CFF"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35" w:history="1">
            <w:r w:rsidRPr="00917194">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Инерција</w:t>
            </w:r>
            <w:r w:rsidRPr="00917194">
              <w:rPr>
                <w:rStyle w:val="Hyperlink"/>
                <w:noProof/>
                <w:lang w:val="mk-MK"/>
              </w:rPr>
              <w:t>та</w:t>
            </w:r>
            <w:r w:rsidRPr="00917194">
              <w:rPr>
                <w:rStyle w:val="Hyperlink"/>
                <w:noProof/>
              </w:rPr>
              <w:t xml:space="preserve"> и политиката на реформа на корпоративното управување во Македонија</w:t>
            </w:r>
            <w:r>
              <w:rPr>
                <w:noProof/>
                <w:webHidden/>
              </w:rPr>
              <w:tab/>
            </w:r>
            <w:r>
              <w:rPr>
                <w:noProof/>
                <w:webHidden/>
              </w:rPr>
              <w:fldChar w:fldCharType="begin"/>
            </w:r>
            <w:r>
              <w:rPr>
                <w:noProof/>
                <w:webHidden/>
              </w:rPr>
              <w:instrText xml:space="preserve"> PAGEREF _Toc230523935 \h </w:instrText>
            </w:r>
            <w:r>
              <w:rPr>
                <w:noProof/>
                <w:webHidden/>
              </w:rPr>
            </w:r>
            <w:r>
              <w:rPr>
                <w:noProof/>
                <w:webHidden/>
              </w:rPr>
              <w:fldChar w:fldCharType="separate"/>
            </w:r>
            <w:r w:rsidR="0000720E">
              <w:rPr>
                <w:noProof/>
                <w:webHidden/>
              </w:rPr>
              <w:t>- 177 -</w:t>
            </w:r>
            <w:r>
              <w:rPr>
                <w:noProof/>
                <w:webHidden/>
              </w:rPr>
              <w:fldChar w:fldCharType="end"/>
            </w:r>
          </w:hyperlink>
        </w:p>
        <w:p w14:paraId="187B7087" w14:textId="03D902FC"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36" w:history="1">
            <w:r w:rsidRPr="00917194">
              <w:rPr>
                <w:rStyle w:val="Hyperlink"/>
                <w:noProof/>
                <w:lang w:bidi="hi-IN"/>
              </w:rPr>
              <w:t>1.1.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Институционални ограничувања, прозорци на можност и геометрија на реформата</w:t>
            </w:r>
            <w:r>
              <w:rPr>
                <w:noProof/>
                <w:webHidden/>
              </w:rPr>
              <w:tab/>
            </w:r>
            <w:r>
              <w:rPr>
                <w:noProof/>
                <w:webHidden/>
              </w:rPr>
              <w:fldChar w:fldCharType="begin"/>
            </w:r>
            <w:r>
              <w:rPr>
                <w:noProof/>
                <w:webHidden/>
              </w:rPr>
              <w:instrText xml:space="preserve"> PAGEREF _Toc230523936 \h </w:instrText>
            </w:r>
            <w:r>
              <w:rPr>
                <w:noProof/>
                <w:webHidden/>
              </w:rPr>
            </w:r>
            <w:r>
              <w:rPr>
                <w:noProof/>
                <w:webHidden/>
              </w:rPr>
              <w:fldChar w:fldCharType="separate"/>
            </w:r>
            <w:r w:rsidR="0000720E">
              <w:rPr>
                <w:noProof/>
                <w:webHidden/>
              </w:rPr>
              <w:t>- 180 -</w:t>
            </w:r>
            <w:r>
              <w:rPr>
                <w:noProof/>
                <w:webHidden/>
              </w:rPr>
              <w:fldChar w:fldCharType="end"/>
            </w:r>
          </w:hyperlink>
        </w:p>
        <w:p w14:paraId="5298A26A" w14:textId="350BD7C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37" w:history="1">
            <w:r w:rsidRPr="00917194">
              <w:rPr>
                <w:rStyle w:val="Hyperlink"/>
                <w:noProof/>
                <w:lang w:bidi="hi-IN"/>
              </w:rPr>
              <w:t>1.2.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Потенцијални проблеми на јавните политики и институционалните промени во македонскиот контекст</w:t>
            </w:r>
            <w:r>
              <w:rPr>
                <w:noProof/>
                <w:webHidden/>
              </w:rPr>
              <w:tab/>
            </w:r>
            <w:r>
              <w:rPr>
                <w:noProof/>
                <w:webHidden/>
              </w:rPr>
              <w:fldChar w:fldCharType="begin"/>
            </w:r>
            <w:r>
              <w:rPr>
                <w:noProof/>
                <w:webHidden/>
              </w:rPr>
              <w:instrText xml:space="preserve"> PAGEREF _Toc230523937 \h </w:instrText>
            </w:r>
            <w:r>
              <w:rPr>
                <w:noProof/>
                <w:webHidden/>
              </w:rPr>
            </w:r>
            <w:r>
              <w:rPr>
                <w:noProof/>
                <w:webHidden/>
              </w:rPr>
              <w:fldChar w:fldCharType="separate"/>
            </w:r>
            <w:r w:rsidR="0000720E">
              <w:rPr>
                <w:noProof/>
                <w:webHidden/>
              </w:rPr>
              <w:t>- 184 -</w:t>
            </w:r>
            <w:r>
              <w:rPr>
                <w:noProof/>
                <w:webHidden/>
              </w:rPr>
              <w:fldChar w:fldCharType="end"/>
            </w:r>
          </w:hyperlink>
        </w:p>
        <w:p w14:paraId="449B9F43" w14:textId="2E2C8533"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38" w:history="1">
            <w:r w:rsidRPr="00917194">
              <w:rPr>
                <w:rStyle w:val="Hyperlink"/>
                <w:noProof/>
                <w:lang w:bidi="hi-IN"/>
              </w:rPr>
              <w:t>1.3.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Соодветни форми за учество во однос на големината и формата на друштвото</w:t>
            </w:r>
            <w:r>
              <w:rPr>
                <w:noProof/>
                <w:webHidden/>
              </w:rPr>
              <w:tab/>
            </w:r>
            <w:r>
              <w:rPr>
                <w:noProof/>
                <w:webHidden/>
              </w:rPr>
              <w:fldChar w:fldCharType="begin"/>
            </w:r>
            <w:r>
              <w:rPr>
                <w:noProof/>
                <w:webHidden/>
              </w:rPr>
              <w:instrText xml:space="preserve"> PAGEREF _Toc230523938 \h </w:instrText>
            </w:r>
            <w:r>
              <w:rPr>
                <w:noProof/>
                <w:webHidden/>
              </w:rPr>
            </w:r>
            <w:r>
              <w:rPr>
                <w:noProof/>
                <w:webHidden/>
              </w:rPr>
              <w:fldChar w:fldCharType="separate"/>
            </w:r>
            <w:r w:rsidR="0000720E">
              <w:rPr>
                <w:noProof/>
                <w:webHidden/>
              </w:rPr>
              <w:t>- 189 -</w:t>
            </w:r>
            <w:r>
              <w:rPr>
                <w:noProof/>
                <w:webHidden/>
              </w:rPr>
              <w:fldChar w:fldCharType="end"/>
            </w:r>
          </w:hyperlink>
        </w:p>
        <w:p w14:paraId="2139B69E" w14:textId="52BA251C"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39" w:history="1">
            <w:r w:rsidRPr="00917194">
              <w:rPr>
                <w:rStyle w:val="Hyperlink"/>
                <w:noProof/>
                <w:lang w:bidi="hi-IN"/>
              </w:rPr>
              <w:t>1.4.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Политика на фидбек и институционална трансформација</w:t>
            </w:r>
            <w:r>
              <w:rPr>
                <w:noProof/>
                <w:webHidden/>
              </w:rPr>
              <w:tab/>
            </w:r>
            <w:r>
              <w:rPr>
                <w:noProof/>
                <w:webHidden/>
              </w:rPr>
              <w:fldChar w:fldCharType="begin"/>
            </w:r>
            <w:r>
              <w:rPr>
                <w:noProof/>
                <w:webHidden/>
              </w:rPr>
              <w:instrText xml:space="preserve"> PAGEREF _Toc230523939 \h </w:instrText>
            </w:r>
            <w:r>
              <w:rPr>
                <w:noProof/>
                <w:webHidden/>
              </w:rPr>
            </w:r>
            <w:r>
              <w:rPr>
                <w:noProof/>
                <w:webHidden/>
              </w:rPr>
              <w:fldChar w:fldCharType="separate"/>
            </w:r>
            <w:r w:rsidR="0000720E">
              <w:rPr>
                <w:noProof/>
                <w:webHidden/>
              </w:rPr>
              <w:t>- 193 -</w:t>
            </w:r>
            <w:r>
              <w:rPr>
                <w:noProof/>
                <w:webHidden/>
              </w:rPr>
              <w:fldChar w:fldCharType="end"/>
            </w:r>
          </w:hyperlink>
        </w:p>
        <w:p w14:paraId="3E1F86BE" w14:textId="752B2600"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40" w:history="1">
            <w:r w:rsidRPr="00917194">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Европската интеграција како катализатор на реформата</w:t>
            </w:r>
            <w:r>
              <w:rPr>
                <w:noProof/>
                <w:webHidden/>
              </w:rPr>
              <w:tab/>
            </w:r>
            <w:r>
              <w:rPr>
                <w:noProof/>
                <w:webHidden/>
              </w:rPr>
              <w:fldChar w:fldCharType="begin"/>
            </w:r>
            <w:r>
              <w:rPr>
                <w:noProof/>
                <w:webHidden/>
              </w:rPr>
              <w:instrText xml:space="preserve"> PAGEREF _Toc230523940 \h </w:instrText>
            </w:r>
            <w:r>
              <w:rPr>
                <w:noProof/>
                <w:webHidden/>
              </w:rPr>
            </w:r>
            <w:r>
              <w:rPr>
                <w:noProof/>
                <w:webHidden/>
              </w:rPr>
              <w:fldChar w:fldCharType="separate"/>
            </w:r>
            <w:r w:rsidR="0000720E">
              <w:rPr>
                <w:noProof/>
                <w:webHidden/>
              </w:rPr>
              <w:t>- 197 -</w:t>
            </w:r>
            <w:r>
              <w:rPr>
                <w:noProof/>
                <w:webHidden/>
              </w:rPr>
              <w:fldChar w:fldCharType="end"/>
            </w:r>
          </w:hyperlink>
        </w:p>
        <w:p w14:paraId="5A80FB77" w14:textId="0E1BD0E7"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1" w:history="1">
            <w:r w:rsidRPr="00917194">
              <w:rPr>
                <w:rStyle w:val="Hyperlink"/>
                <w:noProof/>
                <w:lang w:bidi="hi-IN"/>
              </w:rPr>
              <w:t>2.1.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Процесот на пристапување на Македонија кон ЕУ и правното усогласување</w:t>
            </w:r>
            <w:r>
              <w:rPr>
                <w:noProof/>
                <w:webHidden/>
              </w:rPr>
              <w:tab/>
            </w:r>
            <w:r>
              <w:rPr>
                <w:noProof/>
                <w:webHidden/>
              </w:rPr>
              <w:fldChar w:fldCharType="begin"/>
            </w:r>
            <w:r>
              <w:rPr>
                <w:noProof/>
                <w:webHidden/>
              </w:rPr>
              <w:instrText xml:space="preserve"> PAGEREF _Toc230523941 \h </w:instrText>
            </w:r>
            <w:r>
              <w:rPr>
                <w:noProof/>
                <w:webHidden/>
              </w:rPr>
            </w:r>
            <w:r>
              <w:rPr>
                <w:noProof/>
                <w:webHidden/>
              </w:rPr>
              <w:fldChar w:fldCharType="separate"/>
            </w:r>
            <w:r w:rsidR="0000720E">
              <w:rPr>
                <w:noProof/>
                <w:webHidden/>
              </w:rPr>
              <w:t>- 202 -</w:t>
            </w:r>
            <w:r>
              <w:rPr>
                <w:noProof/>
                <w:webHidden/>
              </w:rPr>
              <w:fldChar w:fldCharType="end"/>
            </w:r>
          </w:hyperlink>
        </w:p>
        <w:p w14:paraId="213BF945" w14:textId="4F7BFD0F"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2" w:history="1">
            <w:r w:rsidRPr="00917194">
              <w:rPr>
                <w:rStyle w:val="Hyperlink"/>
                <w:noProof/>
                <w:lang w:bidi="hi-IN"/>
              </w:rPr>
              <w:t>2.2.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Скрининг и поглавја 3-право на основање и слобода на обезбедување услуги</w:t>
            </w:r>
            <w:r w:rsidRPr="00917194">
              <w:rPr>
                <w:rStyle w:val="Hyperlink"/>
                <w:noProof/>
                <w:lang w:val="en-US" w:bidi="hi-IN"/>
              </w:rPr>
              <w:t>,</w:t>
            </w:r>
            <w:r w:rsidRPr="00917194">
              <w:rPr>
                <w:rStyle w:val="Hyperlink"/>
                <w:noProof/>
                <w:lang w:val="mk-MK" w:bidi="hi-IN"/>
              </w:rPr>
              <w:t xml:space="preserve"> 6-право на трговски друштва, 19-социјална политика и вработување и 26-правосудство и темелни права</w:t>
            </w:r>
            <w:r>
              <w:rPr>
                <w:noProof/>
                <w:webHidden/>
              </w:rPr>
              <w:tab/>
            </w:r>
            <w:r>
              <w:rPr>
                <w:noProof/>
                <w:webHidden/>
              </w:rPr>
              <w:fldChar w:fldCharType="begin"/>
            </w:r>
            <w:r>
              <w:rPr>
                <w:noProof/>
                <w:webHidden/>
              </w:rPr>
              <w:instrText xml:space="preserve"> PAGEREF _Toc230523942 \h </w:instrText>
            </w:r>
            <w:r>
              <w:rPr>
                <w:noProof/>
                <w:webHidden/>
              </w:rPr>
            </w:r>
            <w:r>
              <w:rPr>
                <w:noProof/>
                <w:webHidden/>
              </w:rPr>
              <w:fldChar w:fldCharType="separate"/>
            </w:r>
            <w:r w:rsidR="0000720E">
              <w:rPr>
                <w:noProof/>
                <w:webHidden/>
              </w:rPr>
              <w:t>- 207 -</w:t>
            </w:r>
            <w:r>
              <w:rPr>
                <w:noProof/>
                <w:webHidden/>
              </w:rPr>
              <w:fldChar w:fldCharType="end"/>
            </w:r>
          </w:hyperlink>
        </w:p>
        <w:p w14:paraId="14D69B45" w14:textId="6321BA6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3" w:history="1">
            <w:r w:rsidRPr="00917194">
              <w:rPr>
                <w:rStyle w:val="Hyperlink"/>
                <w:noProof/>
                <w:lang w:bidi="hi-IN"/>
              </w:rPr>
              <w:t>2.3.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Притисокот на условувањето и темпото на транспонирање</w:t>
            </w:r>
            <w:r>
              <w:rPr>
                <w:noProof/>
                <w:webHidden/>
              </w:rPr>
              <w:tab/>
            </w:r>
            <w:r>
              <w:rPr>
                <w:noProof/>
                <w:webHidden/>
              </w:rPr>
              <w:fldChar w:fldCharType="begin"/>
            </w:r>
            <w:r>
              <w:rPr>
                <w:noProof/>
                <w:webHidden/>
              </w:rPr>
              <w:instrText xml:space="preserve"> PAGEREF _Toc230523943 \h </w:instrText>
            </w:r>
            <w:r>
              <w:rPr>
                <w:noProof/>
                <w:webHidden/>
              </w:rPr>
            </w:r>
            <w:r>
              <w:rPr>
                <w:noProof/>
                <w:webHidden/>
              </w:rPr>
              <w:fldChar w:fldCharType="separate"/>
            </w:r>
            <w:r w:rsidR="0000720E">
              <w:rPr>
                <w:noProof/>
                <w:webHidden/>
              </w:rPr>
              <w:t>- 211 -</w:t>
            </w:r>
            <w:r>
              <w:rPr>
                <w:noProof/>
                <w:webHidden/>
              </w:rPr>
              <w:fldChar w:fldCharType="end"/>
            </w:r>
          </w:hyperlink>
        </w:p>
        <w:p w14:paraId="080F5952" w14:textId="3004D3D2"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44" w:history="1">
            <w:r w:rsidRPr="00917194">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Структурна трансформација на корпоративното уредување</w:t>
            </w:r>
            <w:r>
              <w:rPr>
                <w:noProof/>
                <w:webHidden/>
              </w:rPr>
              <w:tab/>
            </w:r>
            <w:r>
              <w:rPr>
                <w:noProof/>
                <w:webHidden/>
              </w:rPr>
              <w:fldChar w:fldCharType="begin"/>
            </w:r>
            <w:r>
              <w:rPr>
                <w:noProof/>
                <w:webHidden/>
              </w:rPr>
              <w:instrText xml:space="preserve"> PAGEREF _Toc230523944 \h </w:instrText>
            </w:r>
            <w:r>
              <w:rPr>
                <w:noProof/>
                <w:webHidden/>
              </w:rPr>
            </w:r>
            <w:r>
              <w:rPr>
                <w:noProof/>
                <w:webHidden/>
              </w:rPr>
              <w:fldChar w:fldCharType="separate"/>
            </w:r>
            <w:r w:rsidR="0000720E">
              <w:rPr>
                <w:noProof/>
                <w:webHidden/>
              </w:rPr>
              <w:t>- 216 -</w:t>
            </w:r>
            <w:r>
              <w:rPr>
                <w:noProof/>
                <w:webHidden/>
              </w:rPr>
              <w:fldChar w:fldCharType="end"/>
            </w:r>
          </w:hyperlink>
        </w:p>
        <w:p w14:paraId="4FE25B8E" w14:textId="3E0AE29E"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5" w:history="1">
            <w:r w:rsidRPr="00917194">
              <w:rPr>
                <w:rStyle w:val="Hyperlink"/>
                <w:noProof/>
                <w:lang w:val="mk-MK" w:bidi="hi-IN"/>
              </w:rPr>
              <w:t>3.1.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Предложен модел за Македонија — хибрид или постепено усвојување</w:t>
            </w:r>
            <w:r>
              <w:rPr>
                <w:noProof/>
                <w:webHidden/>
              </w:rPr>
              <w:tab/>
            </w:r>
            <w:r>
              <w:rPr>
                <w:noProof/>
                <w:webHidden/>
              </w:rPr>
              <w:fldChar w:fldCharType="begin"/>
            </w:r>
            <w:r>
              <w:rPr>
                <w:noProof/>
                <w:webHidden/>
              </w:rPr>
              <w:instrText xml:space="preserve"> PAGEREF _Toc230523945 \h </w:instrText>
            </w:r>
            <w:r>
              <w:rPr>
                <w:noProof/>
                <w:webHidden/>
              </w:rPr>
            </w:r>
            <w:r>
              <w:rPr>
                <w:noProof/>
                <w:webHidden/>
              </w:rPr>
              <w:fldChar w:fldCharType="separate"/>
            </w:r>
            <w:r w:rsidR="0000720E">
              <w:rPr>
                <w:noProof/>
                <w:webHidden/>
              </w:rPr>
              <w:t>- 221 -</w:t>
            </w:r>
            <w:r>
              <w:rPr>
                <w:noProof/>
                <w:webHidden/>
              </w:rPr>
              <w:fldChar w:fldCharType="end"/>
            </w:r>
          </w:hyperlink>
        </w:p>
        <w:p w14:paraId="39DF3C57" w14:textId="4248C1A2"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6" w:history="1">
            <w:r w:rsidRPr="00917194">
              <w:rPr>
                <w:rStyle w:val="Hyperlink"/>
                <w:noProof/>
                <w:lang w:val="mk-MK" w:bidi="hi-IN"/>
              </w:rPr>
              <w:t>3.2.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Институционални актери и нивните улоги во имплементацијата</w:t>
            </w:r>
            <w:r>
              <w:rPr>
                <w:noProof/>
                <w:webHidden/>
              </w:rPr>
              <w:tab/>
            </w:r>
            <w:r>
              <w:rPr>
                <w:noProof/>
                <w:webHidden/>
              </w:rPr>
              <w:fldChar w:fldCharType="begin"/>
            </w:r>
            <w:r>
              <w:rPr>
                <w:noProof/>
                <w:webHidden/>
              </w:rPr>
              <w:instrText xml:space="preserve"> PAGEREF _Toc230523946 \h </w:instrText>
            </w:r>
            <w:r>
              <w:rPr>
                <w:noProof/>
                <w:webHidden/>
              </w:rPr>
            </w:r>
            <w:r>
              <w:rPr>
                <w:noProof/>
                <w:webHidden/>
              </w:rPr>
              <w:fldChar w:fldCharType="separate"/>
            </w:r>
            <w:r w:rsidR="0000720E">
              <w:rPr>
                <w:noProof/>
                <w:webHidden/>
              </w:rPr>
              <w:t>- 226 -</w:t>
            </w:r>
            <w:r>
              <w:rPr>
                <w:noProof/>
                <w:webHidden/>
              </w:rPr>
              <w:fldChar w:fldCharType="end"/>
            </w:r>
          </w:hyperlink>
        </w:p>
        <w:p w14:paraId="441AA2B5" w14:textId="3948B4C3"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47" w:history="1">
            <w:r w:rsidRPr="00917194">
              <w:rPr>
                <w:rStyle w:val="Hyperlink"/>
                <w:noProof/>
                <w:lang w:val="mk-MK" w:bidi="hi-IN"/>
              </w:rPr>
              <w:t>3.3.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Временска рамка и приоритети на реформата</w:t>
            </w:r>
            <w:r>
              <w:rPr>
                <w:noProof/>
                <w:webHidden/>
              </w:rPr>
              <w:tab/>
            </w:r>
            <w:r>
              <w:rPr>
                <w:noProof/>
                <w:webHidden/>
              </w:rPr>
              <w:fldChar w:fldCharType="begin"/>
            </w:r>
            <w:r>
              <w:rPr>
                <w:noProof/>
                <w:webHidden/>
              </w:rPr>
              <w:instrText xml:space="preserve"> PAGEREF _Toc230523947 \h </w:instrText>
            </w:r>
            <w:r>
              <w:rPr>
                <w:noProof/>
                <w:webHidden/>
              </w:rPr>
            </w:r>
            <w:r>
              <w:rPr>
                <w:noProof/>
                <w:webHidden/>
              </w:rPr>
              <w:fldChar w:fldCharType="separate"/>
            </w:r>
            <w:r w:rsidR="0000720E">
              <w:rPr>
                <w:noProof/>
                <w:webHidden/>
              </w:rPr>
              <w:t>- 232 -</w:t>
            </w:r>
            <w:r>
              <w:rPr>
                <w:noProof/>
                <w:webHidden/>
              </w:rPr>
              <w:fldChar w:fldCharType="end"/>
            </w:r>
          </w:hyperlink>
        </w:p>
        <w:p w14:paraId="4CE0D012" w14:textId="27C7A8E8"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48" w:history="1">
            <w:r w:rsidRPr="00917194">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Заклучни согледувања</w:t>
            </w:r>
            <w:r>
              <w:rPr>
                <w:noProof/>
                <w:webHidden/>
              </w:rPr>
              <w:tab/>
            </w:r>
            <w:r>
              <w:rPr>
                <w:noProof/>
                <w:webHidden/>
              </w:rPr>
              <w:fldChar w:fldCharType="begin"/>
            </w:r>
            <w:r>
              <w:rPr>
                <w:noProof/>
                <w:webHidden/>
              </w:rPr>
              <w:instrText xml:space="preserve"> PAGEREF _Toc230523948 \h </w:instrText>
            </w:r>
            <w:r>
              <w:rPr>
                <w:noProof/>
                <w:webHidden/>
              </w:rPr>
            </w:r>
            <w:r>
              <w:rPr>
                <w:noProof/>
                <w:webHidden/>
              </w:rPr>
              <w:fldChar w:fldCharType="separate"/>
            </w:r>
            <w:r w:rsidR="0000720E">
              <w:rPr>
                <w:noProof/>
                <w:webHidden/>
              </w:rPr>
              <w:t>- 235 -</w:t>
            </w:r>
            <w:r>
              <w:rPr>
                <w:noProof/>
                <w:webHidden/>
              </w:rPr>
              <w:fldChar w:fldCharType="end"/>
            </w:r>
          </w:hyperlink>
        </w:p>
        <w:p w14:paraId="679B25F8" w14:textId="05246164"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49" w:history="1">
            <w:r w:rsidRPr="00917194">
              <w:rPr>
                <w:rStyle w:val="Hyperlink"/>
                <w:noProof/>
                <w:lang w:val="mk-MK"/>
              </w:rPr>
              <w:t>Д. Новиот Закон за трговски друштва и современите трендови во деловното право</w:t>
            </w:r>
            <w:r>
              <w:rPr>
                <w:noProof/>
                <w:webHidden/>
              </w:rPr>
              <w:tab/>
            </w:r>
            <w:r>
              <w:rPr>
                <w:noProof/>
                <w:webHidden/>
              </w:rPr>
              <w:fldChar w:fldCharType="begin"/>
            </w:r>
            <w:r>
              <w:rPr>
                <w:noProof/>
                <w:webHidden/>
              </w:rPr>
              <w:instrText xml:space="preserve"> PAGEREF _Toc230523949 \h </w:instrText>
            </w:r>
            <w:r>
              <w:rPr>
                <w:noProof/>
                <w:webHidden/>
              </w:rPr>
            </w:r>
            <w:r>
              <w:rPr>
                <w:noProof/>
                <w:webHidden/>
              </w:rPr>
              <w:fldChar w:fldCharType="separate"/>
            </w:r>
            <w:r w:rsidR="0000720E">
              <w:rPr>
                <w:noProof/>
                <w:webHidden/>
              </w:rPr>
              <w:t>- 239 -</w:t>
            </w:r>
            <w:r>
              <w:rPr>
                <w:noProof/>
                <w:webHidden/>
              </w:rPr>
              <w:fldChar w:fldCharType="end"/>
            </w:r>
          </w:hyperlink>
        </w:p>
        <w:p w14:paraId="460C765B" w14:textId="5233C599"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50" w:history="1">
            <w:r w:rsidRPr="00917194">
              <w:rPr>
                <w:rStyle w:val="Hyperlink"/>
                <w:noProof/>
              </w:rPr>
              <w:t>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Клучни концепти на предлог-Законот за трговски друштва</w:t>
            </w:r>
            <w:r>
              <w:rPr>
                <w:noProof/>
                <w:webHidden/>
              </w:rPr>
              <w:tab/>
            </w:r>
            <w:r>
              <w:rPr>
                <w:noProof/>
                <w:webHidden/>
              </w:rPr>
              <w:fldChar w:fldCharType="begin"/>
            </w:r>
            <w:r>
              <w:rPr>
                <w:noProof/>
                <w:webHidden/>
              </w:rPr>
              <w:instrText xml:space="preserve"> PAGEREF _Toc230523950 \h </w:instrText>
            </w:r>
            <w:r>
              <w:rPr>
                <w:noProof/>
                <w:webHidden/>
              </w:rPr>
            </w:r>
            <w:r>
              <w:rPr>
                <w:noProof/>
                <w:webHidden/>
              </w:rPr>
              <w:fldChar w:fldCharType="separate"/>
            </w:r>
            <w:r w:rsidR="0000720E">
              <w:rPr>
                <w:noProof/>
                <w:webHidden/>
              </w:rPr>
              <w:t>- 240 -</w:t>
            </w:r>
            <w:r>
              <w:rPr>
                <w:noProof/>
                <w:webHidden/>
              </w:rPr>
              <w:fldChar w:fldCharType="end"/>
            </w:r>
          </w:hyperlink>
        </w:p>
        <w:p w14:paraId="67256409" w14:textId="03C0044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1" w:history="1">
            <w:r w:rsidRPr="00917194">
              <w:rPr>
                <w:rStyle w:val="Hyperlink"/>
                <w:noProof/>
                <w:lang w:val="mk-MK" w:bidi="hi-IN"/>
              </w:rPr>
              <w:t>1.1.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Нормативни промени и задршки во однос на претходниот закон</w:t>
            </w:r>
            <w:r>
              <w:rPr>
                <w:noProof/>
                <w:webHidden/>
              </w:rPr>
              <w:tab/>
            </w:r>
            <w:r>
              <w:rPr>
                <w:noProof/>
                <w:webHidden/>
              </w:rPr>
              <w:fldChar w:fldCharType="begin"/>
            </w:r>
            <w:r>
              <w:rPr>
                <w:noProof/>
                <w:webHidden/>
              </w:rPr>
              <w:instrText xml:space="preserve"> PAGEREF _Toc230523951 \h </w:instrText>
            </w:r>
            <w:r>
              <w:rPr>
                <w:noProof/>
                <w:webHidden/>
              </w:rPr>
            </w:r>
            <w:r>
              <w:rPr>
                <w:noProof/>
                <w:webHidden/>
              </w:rPr>
              <w:fldChar w:fldCharType="separate"/>
            </w:r>
            <w:r w:rsidR="0000720E">
              <w:rPr>
                <w:noProof/>
                <w:webHidden/>
              </w:rPr>
              <w:t>- 242 -</w:t>
            </w:r>
            <w:r>
              <w:rPr>
                <w:noProof/>
                <w:webHidden/>
              </w:rPr>
              <w:fldChar w:fldCharType="end"/>
            </w:r>
          </w:hyperlink>
        </w:p>
        <w:p w14:paraId="207BAB73" w14:textId="2DFBC3DE"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2" w:history="1">
            <w:r w:rsidRPr="00917194">
              <w:rPr>
                <w:rStyle w:val="Hyperlink"/>
                <w:i/>
                <w:iCs/>
                <w:noProof/>
                <w:lang w:val="mk-MK"/>
              </w:rPr>
              <w:t>1.1.1.</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287 – Бесплатни акции или акции по повластена цена</w:t>
            </w:r>
            <w:r>
              <w:rPr>
                <w:noProof/>
                <w:webHidden/>
              </w:rPr>
              <w:tab/>
            </w:r>
            <w:r>
              <w:rPr>
                <w:noProof/>
                <w:webHidden/>
              </w:rPr>
              <w:fldChar w:fldCharType="begin"/>
            </w:r>
            <w:r>
              <w:rPr>
                <w:noProof/>
                <w:webHidden/>
              </w:rPr>
              <w:instrText xml:space="preserve"> PAGEREF _Toc230523952 \h </w:instrText>
            </w:r>
            <w:r>
              <w:rPr>
                <w:noProof/>
                <w:webHidden/>
              </w:rPr>
            </w:r>
            <w:r>
              <w:rPr>
                <w:noProof/>
                <w:webHidden/>
              </w:rPr>
              <w:fldChar w:fldCharType="separate"/>
            </w:r>
            <w:r w:rsidR="0000720E">
              <w:rPr>
                <w:noProof/>
                <w:webHidden/>
              </w:rPr>
              <w:t>- 243 -</w:t>
            </w:r>
            <w:r>
              <w:rPr>
                <w:noProof/>
                <w:webHidden/>
              </w:rPr>
              <w:fldChar w:fldCharType="end"/>
            </w:r>
          </w:hyperlink>
        </w:p>
        <w:p w14:paraId="436D301F" w14:textId="484E2139"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3" w:history="1">
            <w:r w:rsidRPr="00917194">
              <w:rPr>
                <w:rStyle w:val="Hyperlink"/>
                <w:i/>
                <w:iCs/>
                <w:noProof/>
                <w:lang w:val="mk-MK"/>
              </w:rPr>
              <w:t>1.1.2.</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354 – Стекнување сопствени акции за распределба на вработени</w:t>
            </w:r>
            <w:r>
              <w:rPr>
                <w:noProof/>
                <w:webHidden/>
              </w:rPr>
              <w:tab/>
            </w:r>
            <w:r>
              <w:rPr>
                <w:noProof/>
                <w:webHidden/>
              </w:rPr>
              <w:fldChar w:fldCharType="begin"/>
            </w:r>
            <w:r>
              <w:rPr>
                <w:noProof/>
                <w:webHidden/>
              </w:rPr>
              <w:instrText xml:space="preserve"> PAGEREF _Toc230523953 \h </w:instrText>
            </w:r>
            <w:r>
              <w:rPr>
                <w:noProof/>
                <w:webHidden/>
              </w:rPr>
            </w:r>
            <w:r>
              <w:rPr>
                <w:noProof/>
                <w:webHidden/>
              </w:rPr>
              <w:fldChar w:fldCharType="separate"/>
            </w:r>
            <w:r w:rsidR="0000720E">
              <w:rPr>
                <w:noProof/>
                <w:webHidden/>
              </w:rPr>
              <w:t>- 245 -</w:t>
            </w:r>
            <w:r>
              <w:rPr>
                <w:noProof/>
                <w:webHidden/>
              </w:rPr>
              <w:fldChar w:fldCharType="end"/>
            </w:r>
          </w:hyperlink>
        </w:p>
        <w:p w14:paraId="4EDBEAD4" w14:textId="30CD5109"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4" w:history="1">
            <w:r w:rsidRPr="00917194">
              <w:rPr>
                <w:rStyle w:val="Hyperlink"/>
                <w:i/>
                <w:iCs/>
                <w:noProof/>
                <w:lang w:val="mk-MK"/>
              </w:rPr>
              <w:t>1.1.3.</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358 – Задолжително објавување во годишниот извештај</w:t>
            </w:r>
            <w:r>
              <w:rPr>
                <w:noProof/>
                <w:webHidden/>
              </w:rPr>
              <w:tab/>
            </w:r>
            <w:r>
              <w:rPr>
                <w:noProof/>
                <w:webHidden/>
              </w:rPr>
              <w:fldChar w:fldCharType="begin"/>
            </w:r>
            <w:r>
              <w:rPr>
                <w:noProof/>
                <w:webHidden/>
              </w:rPr>
              <w:instrText xml:space="preserve"> PAGEREF _Toc230523954 \h </w:instrText>
            </w:r>
            <w:r>
              <w:rPr>
                <w:noProof/>
                <w:webHidden/>
              </w:rPr>
            </w:r>
            <w:r>
              <w:rPr>
                <w:noProof/>
                <w:webHidden/>
              </w:rPr>
              <w:fldChar w:fldCharType="separate"/>
            </w:r>
            <w:r w:rsidR="0000720E">
              <w:rPr>
                <w:noProof/>
                <w:webHidden/>
              </w:rPr>
              <w:t>- 245 -</w:t>
            </w:r>
            <w:r>
              <w:rPr>
                <w:noProof/>
                <w:webHidden/>
              </w:rPr>
              <w:fldChar w:fldCharType="end"/>
            </w:r>
          </w:hyperlink>
        </w:p>
        <w:p w14:paraId="65CCB17D" w14:textId="5B4F5793"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5" w:history="1">
            <w:r w:rsidRPr="00917194">
              <w:rPr>
                <w:rStyle w:val="Hyperlink"/>
                <w:i/>
                <w:iCs/>
                <w:noProof/>
                <w:lang w:val="mk-MK"/>
              </w:rPr>
              <w:t>1.1.4.</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361 – Исклучок од забраната за финансиска помош</w:t>
            </w:r>
            <w:r>
              <w:rPr>
                <w:noProof/>
                <w:webHidden/>
              </w:rPr>
              <w:tab/>
            </w:r>
            <w:r>
              <w:rPr>
                <w:noProof/>
                <w:webHidden/>
              </w:rPr>
              <w:fldChar w:fldCharType="begin"/>
            </w:r>
            <w:r>
              <w:rPr>
                <w:noProof/>
                <w:webHidden/>
              </w:rPr>
              <w:instrText xml:space="preserve"> PAGEREF _Toc230523955 \h </w:instrText>
            </w:r>
            <w:r>
              <w:rPr>
                <w:noProof/>
                <w:webHidden/>
              </w:rPr>
            </w:r>
            <w:r>
              <w:rPr>
                <w:noProof/>
                <w:webHidden/>
              </w:rPr>
              <w:fldChar w:fldCharType="separate"/>
            </w:r>
            <w:r w:rsidR="0000720E">
              <w:rPr>
                <w:noProof/>
                <w:webHidden/>
              </w:rPr>
              <w:t>- 245 -</w:t>
            </w:r>
            <w:r>
              <w:rPr>
                <w:noProof/>
                <w:webHidden/>
              </w:rPr>
              <w:fldChar w:fldCharType="end"/>
            </w:r>
          </w:hyperlink>
        </w:p>
        <w:p w14:paraId="78C1E684" w14:textId="516EEB0A"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6" w:history="1">
            <w:r w:rsidRPr="00917194">
              <w:rPr>
                <w:rStyle w:val="Hyperlink"/>
                <w:i/>
                <w:iCs/>
                <w:noProof/>
                <w:lang w:val="mk-MK"/>
              </w:rPr>
              <w:t>1.1.5.</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499 – Условно зголемување на основната главнина за акции на вработени</w:t>
            </w:r>
            <w:r>
              <w:rPr>
                <w:noProof/>
                <w:webHidden/>
              </w:rPr>
              <w:tab/>
            </w:r>
            <w:r>
              <w:rPr>
                <w:noProof/>
                <w:webHidden/>
              </w:rPr>
              <w:fldChar w:fldCharType="begin"/>
            </w:r>
            <w:r>
              <w:rPr>
                <w:noProof/>
                <w:webHidden/>
              </w:rPr>
              <w:instrText xml:space="preserve"> PAGEREF _Toc230523956 \h </w:instrText>
            </w:r>
            <w:r>
              <w:rPr>
                <w:noProof/>
                <w:webHidden/>
              </w:rPr>
            </w:r>
            <w:r>
              <w:rPr>
                <w:noProof/>
                <w:webHidden/>
              </w:rPr>
              <w:fldChar w:fldCharType="separate"/>
            </w:r>
            <w:r w:rsidR="0000720E">
              <w:rPr>
                <w:noProof/>
                <w:webHidden/>
              </w:rPr>
              <w:t>- 246 -</w:t>
            </w:r>
            <w:r>
              <w:rPr>
                <w:noProof/>
                <w:webHidden/>
              </w:rPr>
              <w:fldChar w:fldCharType="end"/>
            </w:r>
          </w:hyperlink>
        </w:p>
        <w:p w14:paraId="41B55B8D" w14:textId="3B26345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7" w:history="1">
            <w:r w:rsidRPr="00917194">
              <w:rPr>
                <w:rStyle w:val="Hyperlink"/>
                <w:noProof/>
                <w:lang w:val="mk-MK" w:bidi="hi-IN"/>
              </w:rPr>
              <w:t>1.2.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Клучни промени во однос на учеството на вработените во добивката и во органите на друштвото</w:t>
            </w:r>
            <w:r>
              <w:rPr>
                <w:noProof/>
                <w:webHidden/>
              </w:rPr>
              <w:tab/>
            </w:r>
            <w:r>
              <w:rPr>
                <w:noProof/>
                <w:webHidden/>
              </w:rPr>
              <w:fldChar w:fldCharType="begin"/>
            </w:r>
            <w:r>
              <w:rPr>
                <w:noProof/>
                <w:webHidden/>
              </w:rPr>
              <w:instrText xml:space="preserve"> PAGEREF _Toc230523957 \h </w:instrText>
            </w:r>
            <w:r>
              <w:rPr>
                <w:noProof/>
                <w:webHidden/>
              </w:rPr>
            </w:r>
            <w:r>
              <w:rPr>
                <w:noProof/>
                <w:webHidden/>
              </w:rPr>
              <w:fldChar w:fldCharType="separate"/>
            </w:r>
            <w:r w:rsidR="0000720E">
              <w:rPr>
                <w:noProof/>
                <w:webHidden/>
              </w:rPr>
              <w:t>- 246 -</w:t>
            </w:r>
            <w:r>
              <w:rPr>
                <w:noProof/>
                <w:webHidden/>
              </w:rPr>
              <w:fldChar w:fldCharType="end"/>
            </w:r>
          </w:hyperlink>
        </w:p>
        <w:p w14:paraId="658604F7" w14:textId="4BD9C276"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8" w:history="1">
            <w:r w:rsidRPr="00917194">
              <w:rPr>
                <w:rStyle w:val="Hyperlink"/>
                <w:i/>
                <w:iCs/>
                <w:noProof/>
                <w:lang w:val="mk-MK"/>
              </w:rPr>
              <w:t>1.2.1.</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245 – Начин на избор и отповикување на органот за надзор</w:t>
            </w:r>
            <w:r>
              <w:rPr>
                <w:noProof/>
                <w:webHidden/>
              </w:rPr>
              <w:tab/>
            </w:r>
            <w:r>
              <w:rPr>
                <w:noProof/>
                <w:webHidden/>
              </w:rPr>
              <w:fldChar w:fldCharType="begin"/>
            </w:r>
            <w:r>
              <w:rPr>
                <w:noProof/>
                <w:webHidden/>
              </w:rPr>
              <w:instrText xml:space="preserve"> PAGEREF _Toc230523958 \h </w:instrText>
            </w:r>
            <w:r>
              <w:rPr>
                <w:noProof/>
                <w:webHidden/>
              </w:rPr>
            </w:r>
            <w:r>
              <w:rPr>
                <w:noProof/>
                <w:webHidden/>
              </w:rPr>
              <w:fldChar w:fldCharType="separate"/>
            </w:r>
            <w:r w:rsidR="0000720E">
              <w:rPr>
                <w:noProof/>
                <w:webHidden/>
              </w:rPr>
              <w:t>- 247 -</w:t>
            </w:r>
            <w:r>
              <w:rPr>
                <w:noProof/>
                <w:webHidden/>
              </w:rPr>
              <w:fldChar w:fldCharType="end"/>
            </w:r>
          </w:hyperlink>
        </w:p>
        <w:p w14:paraId="61796247" w14:textId="0E43A430"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59" w:history="1">
            <w:r w:rsidRPr="00917194">
              <w:rPr>
                <w:rStyle w:val="Hyperlink"/>
                <w:i/>
                <w:iCs/>
                <w:noProof/>
                <w:lang w:val="mk-MK"/>
              </w:rPr>
              <w:t>1.2.2.</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363 – Системи на управување</w:t>
            </w:r>
            <w:r>
              <w:rPr>
                <w:noProof/>
                <w:webHidden/>
              </w:rPr>
              <w:tab/>
            </w:r>
            <w:r>
              <w:rPr>
                <w:noProof/>
                <w:webHidden/>
              </w:rPr>
              <w:fldChar w:fldCharType="begin"/>
            </w:r>
            <w:r>
              <w:rPr>
                <w:noProof/>
                <w:webHidden/>
              </w:rPr>
              <w:instrText xml:space="preserve"> PAGEREF _Toc230523959 \h </w:instrText>
            </w:r>
            <w:r>
              <w:rPr>
                <w:noProof/>
                <w:webHidden/>
              </w:rPr>
            </w:r>
            <w:r>
              <w:rPr>
                <w:noProof/>
                <w:webHidden/>
              </w:rPr>
              <w:fldChar w:fldCharType="separate"/>
            </w:r>
            <w:r w:rsidR="0000720E">
              <w:rPr>
                <w:noProof/>
                <w:webHidden/>
              </w:rPr>
              <w:t>- 247 -</w:t>
            </w:r>
            <w:r>
              <w:rPr>
                <w:noProof/>
                <w:webHidden/>
              </w:rPr>
              <w:fldChar w:fldCharType="end"/>
            </w:r>
          </w:hyperlink>
        </w:p>
        <w:p w14:paraId="08BC22E0" w14:textId="644EFC3B"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0" w:history="1">
            <w:r w:rsidRPr="00917194">
              <w:rPr>
                <w:rStyle w:val="Hyperlink"/>
                <w:i/>
                <w:iCs/>
                <w:noProof/>
                <w:lang w:val="mk-MK"/>
              </w:rPr>
              <w:t>1.2.3.</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366 – Вработен во Комисија за селекција — државни друштва</w:t>
            </w:r>
            <w:r>
              <w:rPr>
                <w:noProof/>
                <w:webHidden/>
              </w:rPr>
              <w:tab/>
            </w:r>
            <w:r>
              <w:rPr>
                <w:noProof/>
                <w:webHidden/>
              </w:rPr>
              <w:fldChar w:fldCharType="begin"/>
            </w:r>
            <w:r>
              <w:rPr>
                <w:noProof/>
                <w:webHidden/>
              </w:rPr>
              <w:instrText xml:space="preserve"> PAGEREF _Toc230523960 \h </w:instrText>
            </w:r>
            <w:r>
              <w:rPr>
                <w:noProof/>
                <w:webHidden/>
              </w:rPr>
            </w:r>
            <w:r>
              <w:rPr>
                <w:noProof/>
                <w:webHidden/>
              </w:rPr>
              <w:fldChar w:fldCharType="separate"/>
            </w:r>
            <w:r w:rsidR="0000720E">
              <w:rPr>
                <w:noProof/>
                <w:webHidden/>
              </w:rPr>
              <w:t>- 248 -</w:t>
            </w:r>
            <w:r>
              <w:rPr>
                <w:noProof/>
                <w:webHidden/>
              </w:rPr>
              <w:fldChar w:fldCharType="end"/>
            </w:r>
          </w:hyperlink>
        </w:p>
        <w:p w14:paraId="3492A020" w14:textId="41E6A5BD"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1" w:history="1">
            <w:r w:rsidRPr="00917194">
              <w:rPr>
                <w:rStyle w:val="Hyperlink"/>
                <w:i/>
                <w:iCs/>
                <w:noProof/>
                <w:lang w:val="mk-MK"/>
              </w:rPr>
              <w:t>1.2.4.</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399 – Начин на избор на извршните членови</w:t>
            </w:r>
            <w:r>
              <w:rPr>
                <w:noProof/>
                <w:webHidden/>
              </w:rPr>
              <w:tab/>
            </w:r>
            <w:r>
              <w:rPr>
                <w:noProof/>
                <w:webHidden/>
              </w:rPr>
              <w:fldChar w:fldCharType="begin"/>
            </w:r>
            <w:r>
              <w:rPr>
                <w:noProof/>
                <w:webHidden/>
              </w:rPr>
              <w:instrText xml:space="preserve"> PAGEREF _Toc230523961 \h </w:instrText>
            </w:r>
            <w:r>
              <w:rPr>
                <w:noProof/>
                <w:webHidden/>
              </w:rPr>
            </w:r>
            <w:r>
              <w:rPr>
                <w:noProof/>
                <w:webHidden/>
              </w:rPr>
              <w:fldChar w:fldCharType="separate"/>
            </w:r>
            <w:r w:rsidR="0000720E">
              <w:rPr>
                <w:noProof/>
                <w:webHidden/>
              </w:rPr>
              <w:t>- 248 -</w:t>
            </w:r>
            <w:r>
              <w:rPr>
                <w:noProof/>
                <w:webHidden/>
              </w:rPr>
              <w:fldChar w:fldCharType="end"/>
            </w:r>
          </w:hyperlink>
        </w:p>
        <w:p w14:paraId="7815C0AA" w14:textId="34FE9AC3"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2" w:history="1">
            <w:r w:rsidRPr="00917194">
              <w:rPr>
                <w:rStyle w:val="Hyperlink"/>
                <w:i/>
                <w:iCs/>
                <w:noProof/>
                <w:lang w:val="mk-MK"/>
              </w:rPr>
              <w:t>1.2.5.</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413 – Застапување на друштвото</w:t>
            </w:r>
            <w:r>
              <w:rPr>
                <w:noProof/>
                <w:webHidden/>
              </w:rPr>
              <w:tab/>
            </w:r>
            <w:r>
              <w:rPr>
                <w:noProof/>
                <w:webHidden/>
              </w:rPr>
              <w:fldChar w:fldCharType="begin"/>
            </w:r>
            <w:r>
              <w:rPr>
                <w:noProof/>
                <w:webHidden/>
              </w:rPr>
              <w:instrText xml:space="preserve"> PAGEREF _Toc230523962 \h </w:instrText>
            </w:r>
            <w:r>
              <w:rPr>
                <w:noProof/>
                <w:webHidden/>
              </w:rPr>
            </w:r>
            <w:r>
              <w:rPr>
                <w:noProof/>
                <w:webHidden/>
              </w:rPr>
              <w:fldChar w:fldCharType="separate"/>
            </w:r>
            <w:r w:rsidR="0000720E">
              <w:rPr>
                <w:noProof/>
                <w:webHidden/>
              </w:rPr>
              <w:t>- 248 -</w:t>
            </w:r>
            <w:r>
              <w:rPr>
                <w:noProof/>
                <w:webHidden/>
              </w:rPr>
              <w:fldChar w:fldCharType="end"/>
            </w:r>
          </w:hyperlink>
        </w:p>
        <w:p w14:paraId="758D402D" w14:textId="2F643386"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3" w:history="1">
            <w:r w:rsidRPr="00917194">
              <w:rPr>
                <w:rStyle w:val="Hyperlink"/>
                <w:i/>
                <w:iCs/>
                <w:noProof/>
                <w:lang w:val="mk-MK"/>
              </w:rPr>
              <w:t>1.2.6.</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548 – Посебни резерви заради покривање загуби или други издатоци</w:t>
            </w:r>
            <w:r>
              <w:rPr>
                <w:noProof/>
                <w:webHidden/>
              </w:rPr>
              <w:tab/>
            </w:r>
            <w:r>
              <w:rPr>
                <w:noProof/>
                <w:webHidden/>
              </w:rPr>
              <w:fldChar w:fldCharType="begin"/>
            </w:r>
            <w:r>
              <w:rPr>
                <w:noProof/>
                <w:webHidden/>
              </w:rPr>
              <w:instrText xml:space="preserve"> PAGEREF _Toc230523963 \h </w:instrText>
            </w:r>
            <w:r>
              <w:rPr>
                <w:noProof/>
                <w:webHidden/>
              </w:rPr>
            </w:r>
            <w:r>
              <w:rPr>
                <w:noProof/>
                <w:webHidden/>
              </w:rPr>
              <w:fldChar w:fldCharType="separate"/>
            </w:r>
            <w:r w:rsidR="0000720E">
              <w:rPr>
                <w:noProof/>
                <w:webHidden/>
              </w:rPr>
              <w:t>- 249 -</w:t>
            </w:r>
            <w:r>
              <w:rPr>
                <w:noProof/>
                <w:webHidden/>
              </w:rPr>
              <w:fldChar w:fldCharType="end"/>
            </w:r>
          </w:hyperlink>
        </w:p>
        <w:p w14:paraId="46E3F974" w14:textId="166AB93B"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4" w:history="1">
            <w:r w:rsidRPr="00917194">
              <w:rPr>
                <w:rStyle w:val="Hyperlink"/>
                <w:i/>
                <w:iCs/>
                <w:noProof/>
                <w:lang w:val="mk-MK"/>
              </w:rPr>
              <w:t>1.2.7.</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579 – Останати договори помеѓу друштвата</w:t>
            </w:r>
            <w:r>
              <w:rPr>
                <w:noProof/>
                <w:webHidden/>
              </w:rPr>
              <w:tab/>
            </w:r>
            <w:r>
              <w:rPr>
                <w:noProof/>
                <w:webHidden/>
              </w:rPr>
              <w:fldChar w:fldCharType="begin"/>
            </w:r>
            <w:r>
              <w:rPr>
                <w:noProof/>
                <w:webHidden/>
              </w:rPr>
              <w:instrText xml:space="preserve"> PAGEREF _Toc230523964 \h </w:instrText>
            </w:r>
            <w:r>
              <w:rPr>
                <w:noProof/>
                <w:webHidden/>
              </w:rPr>
            </w:r>
            <w:r>
              <w:rPr>
                <w:noProof/>
                <w:webHidden/>
              </w:rPr>
              <w:fldChar w:fldCharType="separate"/>
            </w:r>
            <w:r w:rsidR="0000720E">
              <w:rPr>
                <w:noProof/>
                <w:webHidden/>
              </w:rPr>
              <w:t>- 249 -</w:t>
            </w:r>
            <w:r>
              <w:rPr>
                <w:noProof/>
                <w:webHidden/>
              </w:rPr>
              <w:fldChar w:fldCharType="end"/>
            </w:r>
          </w:hyperlink>
        </w:p>
        <w:p w14:paraId="32E5C1C4" w14:textId="12FE3B5E"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5" w:history="1">
            <w:r w:rsidRPr="00917194">
              <w:rPr>
                <w:rStyle w:val="Hyperlink"/>
                <w:noProof/>
                <w:lang w:val="mk-MK" w:bidi="hi-IN"/>
              </w:rPr>
              <w:t>1.3.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Промени поврзани со транспарентноста на наградувањето поврзана со вработените</w:t>
            </w:r>
            <w:r>
              <w:rPr>
                <w:noProof/>
                <w:webHidden/>
              </w:rPr>
              <w:tab/>
            </w:r>
            <w:r>
              <w:rPr>
                <w:noProof/>
                <w:webHidden/>
              </w:rPr>
              <w:fldChar w:fldCharType="begin"/>
            </w:r>
            <w:r>
              <w:rPr>
                <w:noProof/>
                <w:webHidden/>
              </w:rPr>
              <w:instrText xml:space="preserve"> PAGEREF _Toc230523965 \h </w:instrText>
            </w:r>
            <w:r>
              <w:rPr>
                <w:noProof/>
                <w:webHidden/>
              </w:rPr>
            </w:r>
            <w:r>
              <w:rPr>
                <w:noProof/>
                <w:webHidden/>
              </w:rPr>
              <w:fldChar w:fldCharType="separate"/>
            </w:r>
            <w:r w:rsidR="0000720E">
              <w:rPr>
                <w:noProof/>
                <w:webHidden/>
              </w:rPr>
              <w:t>- 249 -</w:t>
            </w:r>
            <w:r>
              <w:rPr>
                <w:noProof/>
                <w:webHidden/>
              </w:rPr>
              <w:fldChar w:fldCharType="end"/>
            </w:r>
          </w:hyperlink>
        </w:p>
        <w:p w14:paraId="334741E3" w14:textId="0E991B86"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6" w:history="1">
            <w:r w:rsidRPr="00917194">
              <w:rPr>
                <w:rStyle w:val="Hyperlink"/>
                <w:i/>
                <w:iCs/>
                <w:noProof/>
                <w:lang w:val="mk-MK"/>
              </w:rPr>
              <w:t>1.3.1.</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252 –</w:t>
            </w:r>
            <w:r w:rsidRPr="00917194">
              <w:rPr>
                <w:rStyle w:val="Hyperlink"/>
                <w:noProof/>
              </w:rPr>
              <w:t xml:space="preserve"> </w:t>
            </w:r>
            <w:r w:rsidRPr="00917194">
              <w:rPr>
                <w:rStyle w:val="Hyperlink"/>
                <w:i/>
                <w:iCs/>
                <w:noProof/>
                <w:lang w:val="mk-MK"/>
              </w:rPr>
              <w:t>Награда на членовите на органот на надзор во друштва во доминантна или во целосна државна сопственост</w:t>
            </w:r>
            <w:r>
              <w:rPr>
                <w:noProof/>
                <w:webHidden/>
              </w:rPr>
              <w:tab/>
            </w:r>
            <w:r>
              <w:rPr>
                <w:noProof/>
                <w:webHidden/>
              </w:rPr>
              <w:fldChar w:fldCharType="begin"/>
            </w:r>
            <w:r>
              <w:rPr>
                <w:noProof/>
                <w:webHidden/>
              </w:rPr>
              <w:instrText xml:space="preserve"> PAGEREF _Toc230523966 \h </w:instrText>
            </w:r>
            <w:r>
              <w:rPr>
                <w:noProof/>
                <w:webHidden/>
              </w:rPr>
            </w:r>
            <w:r>
              <w:rPr>
                <w:noProof/>
                <w:webHidden/>
              </w:rPr>
              <w:fldChar w:fldCharType="separate"/>
            </w:r>
            <w:r w:rsidR="0000720E">
              <w:rPr>
                <w:noProof/>
                <w:webHidden/>
              </w:rPr>
              <w:t>- 250 -</w:t>
            </w:r>
            <w:r>
              <w:rPr>
                <w:noProof/>
                <w:webHidden/>
              </w:rPr>
              <w:fldChar w:fldCharType="end"/>
            </w:r>
          </w:hyperlink>
        </w:p>
        <w:p w14:paraId="4FB77875" w14:textId="787763B3"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7" w:history="1">
            <w:r w:rsidRPr="00917194">
              <w:rPr>
                <w:rStyle w:val="Hyperlink"/>
                <w:i/>
                <w:iCs/>
                <w:noProof/>
                <w:lang w:val="mk-MK"/>
              </w:rPr>
              <w:t>1.3.2.</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394 – Право на глас за политиката на наградување</w:t>
            </w:r>
            <w:r>
              <w:rPr>
                <w:noProof/>
                <w:webHidden/>
              </w:rPr>
              <w:tab/>
            </w:r>
            <w:r>
              <w:rPr>
                <w:noProof/>
                <w:webHidden/>
              </w:rPr>
              <w:fldChar w:fldCharType="begin"/>
            </w:r>
            <w:r>
              <w:rPr>
                <w:noProof/>
                <w:webHidden/>
              </w:rPr>
              <w:instrText xml:space="preserve"> PAGEREF _Toc230523967 \h </w:instrText>
            </w:r>
            <w:r>
              <w:rPr>
                <w:noProof/>
                <w:webHidden/>
              </w:rPr>
            </w:r>
            <w:r>
              <w:rPr>
                <w:noProof/>
                <w:webHidden/>
              </w:rPr>
              <w:fldChar w:fldCharType="separate"/>
            </w:r>
            <w:r w:rsidR="0000720E">
              <w:rPr>
                <w:noProof/>
                <w:webHidden/>
              </w:rPr>
              <w:t>- 250 -</w:t>
            </w:r>
            <w:r>
              <w:rPr>
                <w:noProof/>
                <w:webHidden/>
              </w:rPr>
              <w:fldChar w:fldCharType="end"/>
            </w:r>
          </w:hyperlink>
        </w:p>
        <w:p w14:paraId="4C94F5EC" w14:textId="774E9B37"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8" w:history="1">
            <w:r w:rsidRPr="00917194">
              <w:rPr>
                <w:rStyle w:val="Hyperlink"/>
                <w:i/>
                <w:iCs/>
                <w:noProof/>
                <w:lang w:val="mk-MK"/>
              </w:rPr>
              <w:t>1.3.3.</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 395 – Извештај за наградување</w:t>
            </w:r>
            <w:r>
              <w:rPr>
                <w:noProof/>
                <w:webHidden/>
              </w:rPr>
              <w:tab/>
            </w:r>
            <w:r>
              <w:rPr>
                <w:noProof/>
                <w:webHidden/>
              </w:rPr>
              <w:fldChar w:fldCharType="begin"/>
            </w:r>
            <w:r>
              <w:rPr>
                <w:noProof/>
                <w:webHidden/>
              </w:rPr>
              <w:instrText xml:space="preserve"> PAGEREF _Toc230523968 \h </w:instrText>
            </w:r>
            <w:r>
              <w:rPr>
                <w:noProof/>
                <w:webHidden/>
              </w:rPr>
            </w:r>
            <w:r>
              <w:rPr>
                <w:noProof/>
                <w:webHidden/>
              </w:rPr>
              <w:fldChar w:fldCharType="separate"/>
            </w:r>
            <w:r w:rsidR="0000720E">
              <w:rPr>
                <w:noProof/>
                <w:webHidden/>
              </w:rPr>
              <w:t>- 251 -</w:t>
            </w:r>
            <w:r>
              <w:rPr>
                <w:noProof/>
                <w:webHidden/>
              </w:rPr>
              <w:fldChar w:fldCharType="end"/>
            </w:r>
          </w:hyperlink>
        </w:p>
        <w:p w14:paraId="09AB3B46" w14:textId="7037D7A6"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69" w:history="1">
            <w:r w:rsidRPr="00917194">
              <w:rPr>
                <w:rStyle w:val="Hyperlink"/>
                <w:i/>
                <w:iCs/>
                <w:noProof/>
                <w:lang w:val="mk-MK"/>
              </w:rPr>
              <w:t>1.3.4.</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Членови 617-620 – Заеднички елементи кај сите прекугранични операции</w:t>
            </w:r>
            <w:r>
              <w:rPr>
                <w:noProof/>
                <w:webHidden/>
              </w:rPr>
              <w:tab/>
            </w:r>
            <w:r>
              <w:rPr>
                <w:noProof/>
                <w:webHidden/>
              </w:rPr>
              <w:fldChar w:fldCharType="begin"/>
            </w:r>
            <w:r>
              <w:rPr>
                <w:noProof/>
                <w:webHidden/>
              </w:rPr>
              <w:instrText xml:space="preserve"> PAGEREF _Toc230523969 \h </w:instrText>
            </w:r>
            <w:r>
              <w:rPr>
                <w:noProof/>
                <w:webHidden/>
              </w:rPr>
            </w:r>
            <w:r>
              <w:rPr>
                <w:noProof/>
                <w:webHidden/>
              </w:rPr>
              <w:fldChar w:fldCharType="separate"/>
            </w:r>
            <w:r w:rsidR="0000720E">
              <w:rPr>
                <w:noProof/>
                <w:webHidden/>
              </w:rPr>
              <w:t>- 251 -</w:t>
            </w:r>
            <w:r>
              <w:rPr>
                <w:noProof/>
                <w:webHidden/>
              </w:rPr>
              <w:fldChar w:fldCharType="end"/>
            </w:r>
          </w:hyperlink>
        </w:p>
        <w:p w14:paraId="090DAC6C" w14:textId="5231C487"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0" w:history="1">
            <w:r w:rsidRPr="00917194">
              <w:rPr>
                <w:rStyle w:val="Hyperlink"/>
                <w:i/>
                <w:iCs/>
                <w:noProof/>
                <w:lang w:val="mk-MK"/>
              </w:rPr>
              <w:t>1.3.5.</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Членови 623-624 – Прекугранична преобразба</w:t>
            </w:r>
            <w:r>
              <w:rPr>
                <w:noProof/>
                <w:webHidden/>
              </w:rPr>
              <w:tab/>
            </w:r>
            <w:r>
              <w:rPr>
                <w:noProof/>
                <w:webHidden/>
              </w:rPr>
              <w:fldChar w:fldCharType="begin"/>
            </w:r>
            <w:r>
              <w:rPr>
                <w:noProof/>
                <w:webHidden/>
              </w:rPr>
              <w:instrText xml:space="preserve"> PAGEREF _Toc230523970 \h </w:instrText>
            </w:r>
            <w:r>
              <w:rPr>
                <w:noProof/>
                <w:webHidden/>
              </w:rPr>
            </w:r>
            <w:r>
              <w:rPr>
                <w:noProof/>
                <w:webHidden/>
              </w:rPr>
              <w:fldChar w:fldCharType="separate"/>
            </w:r>
            <w:r w:rsidR="0000720E">
              <w:rPr>
                <w:noProof/>
                <w:webHidden/>
              </w:rPr>
              <w:t>- 252 -</w:t>
            </w:r>
            <w:r>
              <w:rPr>
                <w:noProof/>
                <w:webHidden/>
              </w:rPr>
              <w:fldChar w:fldCharType="end"/>
            </w:r>
          </w:hyperlink>
        </w:p>
        <w:p w14:paraId="6C9C635A" w14:textId="61CC7974"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1" w:history="1">
            <w:r w:rsidRPr="00917194">
              <w:rPr>
                <w:rStyle w:val="Hyperlink"/>
                <w:i/>
                <w:iCs/>
                <w:noProof/>
                <w:lang w:val="mk-MK"/>
              </w:rPr>
              <w:t>1.3.6.</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Членови 662-663 – Прекугранично спојување</w:t>
            </w:r>
            <w:r>
              <w:rPr>
                <w:noProof/>
                <w:webHidden/>
              </w:rPr>
              <w:tab/>
            </w:r>
            <w:r>
              <w:rPr>
                <w:noProof/>
                <w:webHidden/>
              </w:rPr>
              <w:fldChar w:fldCharType="begin"/>
            </w:r>
            <w:r>
              <w:rPr>
                <w:noProof/>
                <w:webHidden/>
              </w:rPr>
              <w:instrText xml:space="preserve"> PAGEREF _Toc230523971 \h </w:instrText>
            </w:r>
            <w:r>
              <w:rPr>
                <w:noProof/>
                <w:webHidden/>
              </w:rPr>
            </w:r>
            <w:r>
              <w:rPr>
                <w:noProof/>
                <w:webHidden/>
              </w:rPr>
              <w:fldChar w:fldCharType="separate"/>
            </w:r>
            <w:r w:rsidR="0000720E">
              <w:rPr>
                <w:noProof/>
                <w:webHidden/>
              </w:rPr>
              <w:t>- 253 -</w:t>
            </w:r>
            <w:r>
              <w:rPr>
                <w:noProof/>
                <w:webHidden/>
              </w:rPr>
              <w:fldChar w:fldCharType="end"/>
            </w:r>
          </w:hyperlink>
        </w:p>
        <w:p w14:paraId="469C75C5" w14:textId="7A062560" w:rsidR="0087719A" w:rsidRDefault="0087719A">
          <w:pPr>
            <w:pStyle w:val="TOC3"/>
            <w:tabs>
              <w:tab w:val="left" w:pos="120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2" w:history="1">
            <w:r w:rsidRPr="00917194">
              <w:rPr>
                <w:rStyle w:val="Hyperlink"/>
                <w:i/>
                <w:iCs/>
                <w:noProof/>
                <w:lang w:val="mk-MK"/>
              </w:rPr>
              <w:t>1.3.7.</w:t>
            </w:r>
            <w:r>
              <w:rPr>
                <w:rFonts w:asciiTheme="minorHAnsi" w:eastAsiaTheme="minorEastAsia" w:hAnsiTheme="minorHAnsi" w:cstheme="minorBidi"/>
                <w:noProof/>
                <w:kern w:val="2"/>
                <w:sz w:val="24"/>
                <w:szCs w:val="24"/>
                <w:lang w:val="en-US"/>
                <w14:ligatures w14:val="standardContextual"/>
              </w:rPr>
              <w:tab/>
            </w:r>
            <w:r w:rsidRPr="00917194">
              <w:rPr>
                <w:rStyle w:val="Hyperlink"/>
                <w:i/>
                <w:iCs/>
                <w:noProof/>
                <w:lang w:val="mk-MK"/>
              </w:rPr>
              <w:t>Членови 679-680 – Прекугранична поделба</w:t>
            </w:r>
            <w:r>
              <w:rPr>
                <w:noProof/>
                <w:webHidden/>
              </w:rPr>
              <w:tab/>
            </w:r>
            <w:r>
              <w:rPr>
                <w:noProof/>
                <w:webHidden/>
              </w:rPr>
              <w:fldChar w:fldCharType="begin"/>
            </w:r>
            <w:r>
              <w:rPr>
                <w:noProof/>
                <w:webHidden/>
              </w:rPr>
              <w:instrText xml:space="preserve"> PAGEREF _Toc230523972 \h </w:instrText>
            </w:r>
            <w:r>
              <w:rPr>
                <w:noProof/>
                <w:webHidden/>
              </w:rPr>
            </w:r>
            <w:r>
              <w:rPr>
                <w:noProof/>
                <w:webHidden/>
              </w:rPr>
              <w:fldChar w:fldCharType="separate"/>
            </w:r>
            <w:r w:rsidR="0000720E">
              <w:rPr>
                <w:noProof/>
                <w:webHidden/>
              </w:rPr>
              <w:t>- 254 -</w:t>
            </w:r>
            <w:r>
              <w:rPr>
                <w:noProof/>
                <w:webHidden/>
              </w:rPr>
              <w:fldChar w:fldCharType="end"/>
            </w:r>
          </w:hyperlink>
        </w:p>
        <w:p w14:paraId="7B5EECFD" w14:textId="76DBE064"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3" w:history="1">
            <w:r w:rsidRPr="00917194">
              <w:rPr>
                <w:rStyle w:val="Hyperlink"/>
                <w:noProof/>
                <w:lang w:val="mk-MK" w:bidi="hi-IN"/>
              </w:rPr>
              <w:t>1.4.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Недостатоците на предлог-Законот</w:t>
            </w:r>
            <w:r w:rsidRPr="00917194">
              <w:rPr>
                <w:rStyle w:val="Hyperlink"/>
                <w:noProof/>
                <w:lang w:bidi="hi-IN"/>
              </w:rPr>
              <w:t xml:space="preserve"> </w:t>
            </w:r>
            <w:r w:rsidRPr="00917194">
              <w:rPr>
                <w:rStyle w:val="Hyperlink"/>
                <w:noProof/>
                <w:lang w:val="mk-MK" w:bidi="hi-IN"/>
              </w:rPr>
              <w:t>за целосно воспоставување на работничко акционерство и реално учество на вработените</w:t>
            </w:r>
            <w:r>
              <w:rPr>
                <w:noProof/>
                <w:webHidden/>
              </w:rPr>
              <w:tab/>
            </w:r>
            <w:r>
              <w:rPr>
                <w:noProof/>
                <w:webHidden/>
              </w:rPr>
              <w:fldChar w:fldCharType="begin"/>
            </w:r>
            <w:r>
              <w:rPr>
                <w:noProof/>
                <w:webHidden/>
              </w:rPr>
              <w:instrText xml:space="preserve"> PAGEREF _Toc230523973 \h </w:instrText>
            </w:r>
            <w:r>
              <w:rPr>
                <w:noProof/>
                <w:webHidden/>
              </w:rPr>
            </w:r>
            <w:r>
              <w:rPr>
                <w:noProof/>
                <w:webHidden/>
              </w:rPr>
              <w:fldChar w:fldCharType="separate"/>
            </w:r>
            <w:r w:rsidR="0000720E">
              <w:rPr>
                <w:noProof/>
                <w:webHidden/>
              </w:rPr>
              <w:t>- 254 -</w:t>
            </w:r>
            <w:r>
              <w:rPr>
                <w:noProof/>
                <w:webHidden/>
              </w:rPr>
              <w:fldChar w:fldCharType="end"/>
            </w:r>
          </w:hyperlink>
        </w:p>
        <w:p w14:paraId="03B6B1BB" w14:textId="608BD830"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74" w:history="1">
            <w:r w:rsidRPr="00917194">
              <w:rPr>
                <w:rStyle w:val="Hyperlink"/>
                <w:noProof/>
              </w:rPr>
              <w:t>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Статус-квото на корпоративното управување во Македонија</w:t>
            </w:r>
            <w:r>
              <w:rPr>
                <w:noProof/>
                <w:webHidden/>
              </w:rPr>
              <w:tab/>
            </w:r>
            <w:r>
              <w:rPr>
                <w:noProof/>
                <w:webHidden/>
              </w:rPr>
              <w:fldChar w:fldCharType="begin"/>
            </w:r>
            <w:r>
              <w:rPr>
                <w:noProof/>
                <w:webHidden/>
              </w:rPr>
              <w:instrText xml:space="preserve"> PAGEREF _Toc230523974 \h </w:instrText>
            </w:r>
            <w:r>
              <w:rPr>
                <w:noProof/>
                <w:webHidden/>
              </w:rPr>
            </w:r>
            <w:r>
              <w:rPr>
                <w:noProof/>
                <w:webHidden/>
              </w:rPr>
              <w:fldChar w:fldCharType="separate"/>
            </w:r>
            <w:r w:rsidR="0000720E">
              <w:rPr>
                <w:noProof/>
                <w:webHidden/>
              </w:rPr>
              <w:t>- 256 -</w:t>
            </w:r>
            <w:r>
              <w:rPr>
                <w:noProof/>
                <w:webHidden/>
              </w:rPr>
              <w:fldChar w:fldCharType="end"/>
            </w:r>
          </w:hyperlink>
        </w:p>
        <w:p w14:paraId="12CD0450" w14:textId="1FC486C7"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75" w:history="1">
            <w:r w:rsidRPr="00917194">
              <w:rPr>
                <w:rStyle w:val="Hyperlink"/>
                <w:noProof/>
              </w:rPr>
              <w:t>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Празнините помеѓу нормите и реалноста</w:t>
            </w:r>
            <w:r>
              <w:rPr>
                <w:noProof/>
                <w:webHidden/>
              </w:rPr>
              <w:tab/>
            </w:r>
            <w:r>
              <w:rPr>
                <w:noProof/>
                <w:webHidden/>
              </w:rPr>
              <w:fldChar w:fldCharType="begin"/>
            </w:r>
            <w:r>
              <w:rPr>
                <w:noProof/>
                <w:webHidden/>
              </w:rPr>
              <w:instrText xml:space="preserve"> PAGEREF _Toc230523975 \h </w:instrText>
            </w:r>
            <w:r>
              <w:rPr>
                <w:noProof/>
                <w:webHidden/>
              </w:rPr>
            </w:r>
            <w:r>
              <w:rPr>
                <w:noProof/>
                <w:webHidden/>
              </w:rPr>
              <w:fldChar w:fldCharType="separate"/>
            </w:r>
            <w:r w:rsidR="0000720E">
              <w:rPr>
                <w:noProof/>
                <w:webHidden/>
              </w:rPr>
              <w:t>- 261 -</w:t>
            </w:r>
            <w:r>
              <w:rPr>
                <w:noProof/>
                <w:webHidden/>
              </w:rPr>
              <w:fldChar w:fldCharType="end"/>
            </w:r>
          </w:hyperlink>
        </w:p>
        <w:p w14:paraId="5E2B3F70" w14:textId="4D1CCCA6"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76" w:history="1">
            <w:r w:rsidRPr="00917194">
              <w:rPr>
                <w:rStyle w:val="Hyperlink"/>
                <w:noProof/>
              </w:rPr>
              <w:t>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Предуслови за функционален систем: чекор еден и два пред сè</w:t>
            </w:r>
            <w:r>
              <w:rPr>
                <w:noProof/>
                <w:webHidden/>
              </w:rPr>
              <w:tab/>
            </w:r>
            <w:r>
              <w:rPr>
                <w:noProof/>
                <w:webHidden/>
              </w:rPr>
              <w:fldChar w:fldCharType="begin"/>
            </w:r>
            <w:r>
              <w:rPr>
                <w:noProof/>
                <w:webHidden/>
              </w:rPr>
              <w:instrText xml:space="preserve"> PAGEREF _Toc230523976 \h </w:instrText>
            </w:r>
            <w:r>
              <w:rPr>
                <w:noProof/>
                <w:webHidden/>
              </w:rPr>
            </w:r>
            <w:r>
              <w:rPr>
                <w:noProof/>
                <w:webHidden/>
              </w:rPr>
              <w:fldChar w:fldCharType="separate"/>
            </w:r>
            <w:r w:rsidR="0000720E">
              <w:rPr>
                <w:noProof/>
                <w:webHidden/>
              </w:rPr>
              <w:t>- 265 -</w:t>
            </w:r>
            <w:r>
              <w:rPr>
                <w:noProof/>
                <w:webHidden/>
              </w:rPr>
              <w:fldChar w:fldCharType="end"/>
            </w:r>
          </w:hyperlink>
        </w:p>
        <w:p w14:paraId="3C2D8561" w14:textId="15C8C207"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77" w:history="1">
            <w:r w:rsidRPr="00917194">
              <w:rPr>
                <w:rStyle w:val="Hyperlink"/>
                <w:noProof/>
              </w:rPr>
              <w:t>5.</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Глобалните современи трендови и вештачката интелигенција</w:t>
            </w:r>
            <w:r>
              <w:rPr>
                <w:noProof/>
                <w:webHidden/>
              </w:rPr>
              <w:tab/>
            </w:r>
            <w:r>
              <w:rPr>
                <w:noProof/>
                <w:webHidden/>
              </w:rPr>
              <w:fldChar w:fldCharType="begin"/>
            </w:r>
            <w:r>
              <w:rPr>
                <w:noProof/>
                <w:webHidden/>
              </w:rPr>
              <w:instrText xml:space="preserve"> PAGEREF _Toc230523977 \h </w:instrText>
            </w:r>
            <w:r>
              <w:rPr>
                <w:noProof/>
                <w:webHidden/>
              </w:rPr>
            </w:r>
            <w:r>
              <w:rPr>
                <w:noProof/>
                <w:webHidden/>
              </w:rPr>
              <w:fldChar w:fldCharType="separate"/>
            </w:r>
            <w:r w:rsidR="0000720E">
              <w:rPr>
                <w:noProof/>
                <w:webHidden/>
              </w:rPr>
              <w:t>- 269 -</w:t>
            </w:r>
            <w:r>
              <w:rPr>
                <w:noProof/>
                <w:webHidden/>
              </w:rPr>
              <w:fldChar w:fldCharType="end"/>
            </w:r>
          </w:hyperlink>
        </w:p>
        <w:p w14:paraId="39629DF9" w14:textId="0A4119AA"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8" w:history="1">
            <w:r w:rsidRPr="00917194">
              <w:rPr>
                <w:rStyle w:val="Hyperlink"/>
                <w:noProof/>
                <w:lang w:val="mk-MK" w:bidi="hi-IN"/>
              </w:rPr>
              <w:t>5.1.</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Фидуцијарните должности и подемот на алгоритамското одлучување</w:t>
            </w:r>
            <w:r>
              <w:rPr>
                <w:noProof/>
                <w:webHidden/>
              </w:rPr>
              <w:tab/>
            </w:r>
            <w:r>
              <w:rPr>
                <w:noProof/>
                <w:webHidden/>
              </w:rPr>
              <w:fldChar w:fldCharType="begin"/>
            </w:r>
            <w:r>
              <w:rPr>
                <w:noProof/>
                <w:webHidden/>
              </w:rPr>
              <w:instrText xml:space="preserve"> PAGEREF _Toc230523978 \h </w:instrText>
            </w:r>
            <w:r>
              <w:rPr>
                <w:noProof/>
                <w:webHidden/>
              </w:rPr>
            </w:r>
            <w:r>
              <w:rPr>
                <w:noProof/>
                <w:webHidden/>
              </w:rPr>
              <w:fldChar w:fldCharType="separate"/>
            </w:r>
            <w:r w:rsidR="0000720E">
              <w:rPr>
                <w:noProof/>
                <w:webHidden/>
              </w:rPr>
              <w:t>- 274 -</w:t>
            </w:r>
            <w:r>
              <w:rPr>
                <w:noProof/>
                <w:webHidden/>
              </w:rPr>
              <w:fldChar w:fldCharType="end"/>
            </w:r>
          </w:hyperlink>
        </w:p>
        <w:p w14:paraId="17533B17" w14:textId="6531151B"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79" w:history="1">
            <w:r w:rsidRPr="00917194">
              <w:rPr>
                <w:rStyle w:val="Hyperlink"/>
                <w:noProof/>
                <w:lang w:val="mk-MK" w:bidi="hi-IN"/>
              </w:rPr>
              <w:t>5.2.</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Компаративни доктринарни развојни текови</w:t>
            </w:r>
            <w:r>
              <w:rPr>
                <w:noProof/>
                <w:webHidden/>
              </w:rPr>
              <w:tab/>
            </w:r>
            <w:r>
              <w:rPr>
                <w:noProof/>
                <w:webHidden/>
              </w:rPr>
              <w:fldChar w:fldCharType="begin"/>
            </w:r>
            <w:r>
              <w:rPr>
                <w:noProof/>
                <w:webHidden/>
              </w:rPr>
              <w:instrText xml:space="preserve"> PAGEREF _Toc230523979 \h </w:instrText>
            </w:r>
            <w:r>
              <w:rPr>
                <w:noProof/>
                <w:webHidden/>
              </w:rPr>
            </w:r>
            <w:r>
              <w:rPr>
                <w:noProof/>
                <w:webHidden/>
              </w:rPr>
              <w:fldChar w:fldCharType="separate"/>
            </w:r>
            <w:r w:rsidR="0000720E">
              <w:rPr>
                <w:noProof/>
                <w:webHidden/>
              </w:rPr>
              <w:t>- 276 -</w:t>
            </w:r>
            <w:r>
              <w:rPr>
                <w:noProof/>
                <w:webHidden/>
              </w:rPr>
              <w:fldChar w:fldCharType="end"/>
            </w:r>
          </w:hyperlink>
        </w:p>
        <w:p w14:paraId="6F0EAED4" w14:textId="51173486"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80" w:history="1">
            <w:r w:rsidRPr="00917194">
              <w:rPr>
                <w:rStyle w:val="Hyperlink"/>
                <w:noProof/>
                <w:lang w:val="mk-MK" w:bidi="hi-IN"/>
              </w:rPr>
              <w:t>5.3.</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Регулаторни императиви за обелоденување и надзор на вештачката интелигенција</w:t>
            </w:r>
            <w:r>
              <w:rPr>
                <w:noProof/>
                <w:webHidden/>
              </w:rPr>
              <w:tab/>
            </w:r>
            <w:r>
              <w:rPr>
                <w:noProof/>
                <w:webHidden/>
              </w:rPr>
              <w:fldChar w:fldCharType="begin"/>
            </w:r>
            <w:r>
              <w:rPr>
                <w:noProof/>
                <w:webHidden/>
              </w:rPr>
              <w:instrText xml:space="preserve"> PAGEREF _Toc230523980 \h </w:instrText>
            </w:r>
            <w:r>
              <w:rPr>
                <w:noProof/>
                <w:webHidden/>
              </w:rPr>
            </w:r>
            <w:r>
              <w:rPr>
                <w:noProof/>
                <w:webHidden/>
              </w:rPr>
              <w:fldChar w:fldCharType="separate"/>
            </w:r>
            <w:r w:rsidR="0000720E">
              <w:rPr>
                <w:noProof/>
                <w:webHidden/>
              </w:rPr>
              <w:t>- 278 -</w:t>
            </w:r>
            <w:r>
              <w:rPr>
                <w:noProof/>
                <w:webHidden/>
              </w:rPr>
              <w:fldChar w:fldCharType="end"/>
            </w:r>
          </w:hyperlink>
        </w:p>
        <w:p w14:paraId="2155F42D" w14:textId="716BD0F8" w:rsidR="0087719A" w:rsidRDefault="0087719A">
          <w:pPr>
            <w:pStyle w:val="TOC2"/>
            <w:tabs>
              <w:tab w:val="left" w:pos="960"/>
              <w:tab w:val="right" w:leader="dot" w:pos="9020"/>
            </w:tabs>
            <w:rPr>
              <w:rFonts w:asciiTheme="minorHAnsi" w:eastAsiaTheme="minorEastAsia" w:hAnsiTheme="minorHAnsi" w:cstheme="minorBidi"/>
              <w:noProof/>
              <w:kern w:val="2"/>
              <w:sz w:val="24"/>
              <w:szCs w:val="24"/>
              <w:lang w:val="en-US"/>
              <w14:ligatures w14:val="standardContextual"/>
            </w:rPr>
          </w:pPr>
          <w:hyperlink w:anchor="_Toc230523981" w:history="1">
            <w:r w:rsidRPr="00917194">
              <w:rPr>
                <w:rStyle w:val="Hyperlink"/>
                <w:noProof/>
                <w:lang w:val="mk-MK" w:bidi="hi-IN"/>
              </w:rPr>
              <w:t>5.4.</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bidi="hi-IN"/>
              </w:rPr>
              <w:t>Студија на случај за автоматизирани модели на ризик во финансиски институции</w:t>
            </w:r>
            <w:r>
              <w:rPr>
                <w:noProof/>
                <w:webHidden/>
              </w:rPr>
              <w:tab/>
            </w:r>
            <w:r>
              <w:rPr>
                <w:noProof/>
                <w:webHidden/>
              </w:rPr>
              <w:fldChar w:fldCharType="begin"/>
            </w:r>
            <w:r>
              <w:rPr>
                <w:noProof/>
                <w:webHidden/>
              </w:rPr>
              <w:instrText xml:space="preserve"> PAGEREF _Toc230523981 \h </w:instrText>
            </w:r>
            <w:r>
              <w:rPr>
                <w:noProof/>
                <w:webHidden/>
              </w:rPr>
            </w:r>
            <w:r>
              <w:rPr>
                <w:noProof/>
                <w:webHidden/>
              </w:rPr>
              <w:fldChar w:fldCharType="separate"/>
            </w:r>
            <w:r w:rsidR="0000720E">
              <w:rPr>
                <w:noProof/>
                <w:webHidden/>
              </w:rPr>
              <w:t>- 278 -</w:t>
            </w:r>
            <w:r>
              <w:rPr>
                <w:noProof/>
                <w:webHidden/>
              </w:rPr>
              <w:fldChar w:fldCharType="end"/>
            </w:r>
          </w:hyperlink>
        </w:p>
        <w:p w14:paraId="7985313E" w14:textId="438D6C40"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82" w:history="1">
            <w:r w:rsidRPr="00917194">
              <w:rPr>
                <w:rStyle w:val="Hyperlink"/>
                <w:noProof/>
              </w:rPr>
              <w:t>6.</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rPr>
              <w:t>Акционерски</w:t>
            </w:r>
            <w:r w:rsidRPr="00917194">
              <w:rPr>
                <w:rStyle w:val="Hyperlink"/>
                <w:noProof/>
                <w:lang w:val="mk-MK"/>
              </w:rPr>
              <w:t>те</w:t>
            </w:r>
            <w:r w:rsidRPr="00917194">
              <w:rPr>
                <w:rStyle w:val="Hyperlink"/>
                <w:noProof/>
              </w:rPr>
              <w:t xml:space="preserve"> права и учество</w:t>
            </w:r>
            <w:r w:rsidRPr="00917194">
              <w:rPr>
                <w:rStyle w:val="Hyperlink"/>
                <w:noProof/>
                <w:lang w:val="mk-MK"/>
              </w:rPr>
              <w:t>то на вработените</w:t>
            </w:r>
            <w:r w:rsidRPr="00917194">
              <w:rPr>
                <w:rStyle w:val="Hyperlink"/>
                <w:noProof/>
              </w:rPr>
              <w:t xml:space="preserve"> под алгоритамско управување</w:t>
            </w:r>
            <w:r>
              <w:rPr>
                <w:noProof/>
                <w:webHidden/>
              </w:rPr>
              <w:tab/>
            </w:r>
            <w:r>
              <w:rPr>
                <w:noProof/>
                <w:webHidden/>
              </w:rPr>
              <w:fldChar w:fldCharType="begin"/>
            </w:r>
            <w:r>
              <w:rPr>
                <w:noProof/>
                <w:webHidden/>
              </w:rPr>
              <w:instrText xml:space="preserve"> PAGEREF _Toc230523982 \h </w:instrText>
            </w:r>
            <w:r>
              <w:rPr>
                <w:noProof/>
                <w:webHidden/>
              </w:rPr>
            </w:r>
            <w:r>
              <w:rPr>
                <w:noProof/>
                <w:webHidden/>
              </w:rPr>
              <w:fldChar w:fldCharType="separate"/>
            </w:r>
            <w:r w:rsidR="0000720E">
              <w:rPr>
                <w:noProof/>
                <w:webHidden/>
              </w:rPr>
              <w:t>- 279 -</w:t>
            </w:r>
            <w:r>
              <w:rPr>
                <w:noProof/>
                <w:webHidden/>
              </w:rPr>
              <w:fldChar w:fldCharType="end"/>
            </w:r>
          </w:hyperlink>
        </w:p>
        <w:p w14:paraId="05BF21FF" w14:textId="4FCB659E"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83" w:history="1">
            <w:r w:rsidRPr="00917194">
              <w:rPr>
                <w:rStyle w:val="Hyperlink"/>
                <w:noProof/>
              </w:rPr>
              <w:t>7.</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Прифаќањето на вештачката интелигенција таму каде што работниците се исклучени</w:t>
            </w:r>
            <w:r>
              <w:rPr>
                <w:noProof/>
                <w:webHidden/>
              </w:rPr>
              <w:tab/>
            </w:r>
            <w:r>
              <w:rPr>
                <w:noProof/>
                <w:webHidden/>
              </w:rPr>
              <w:fldChar w:fldCharType="begin"/>
            </w:r>
            <w:r>
              <w:rPr>
                <w:noProof/>
                <w:webHidden/>
              </w:rPr>
              <w:instrText xml:space="preserve"> PAGEREF _Toc230523983 \h </w:instrText>
            </w:r>
            <w:r>
              <w:rPr>
                <w:noProof/>
                <w:webHidden/>
              </w:rPr>
            </w:r>
            <w:r>
              <w:rPr>
                <w:noProof/>
                <w:webHidden/>
              </w:rPr>
              <w:fldChar w:fldCharType="separate"/>
            </w:r>
            <w:r w:rsidR="0000720E">
              <w:rPr>
                <w:noProof/>
                <w:webHidden/>
              </w:rPr>
              <w:t>- 282 -</w:t>
            </w:r>
            <w:r>
              <w:rPr>
                <w:noProof/>
                <w:webHidden/>
              </w:rPr>
              <w:fldChar w:fldCharType="end"/>
            </w:r>
          </w:hyperlink>
        </w:p>
        <w:p w14:paraId="1087DA87" w14:textId="11CA49C1"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84" w:history="1">
            <w:r w:rsidRPr="00917194">
              <w:rPr>
                <w:rStyle w:val="Hyperlink"/>
                <w:noProof/>
              </w:rPr>
              <w:t>8.</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Заклучни согледувања</w:t>
            </w:r>
            <w:r>
              <w:rPr>
                <w:noProof/>
                <w:webHidden/>
              </w:rPr>
              <w:tab/>
            </w:r>
            <w:r>
              <w:rPr>
                <w:noProof/>
                <w:webHidden/>
              </w:rPr>
              <w:fldChar w:fldCharType="begin"/>
            </w:r>
            <w:r>
              <w:rPr>
                <w:noProof/>
                <w:webHidden/>
              </w:rPr>
              <w:instrText xml:space="preserve"> PAGEREF _Toc230523984 \h </w:instrText>
            </w:r>
            <w:r>
              <w:rPr>
                <w:noProof/>
                <w:webHidden/>
              </w:rPr>
            </w:r>
            <w:r>
              <w:rPr>
                <w:noProof/>
                <w:webHidden/>
              </w:rPr>
              <w:fldChar w:fldCharType="separate"/>
            </w:r>
            <w:r w:rsidR="0000720E">
              <w:rPr>
                <w:noProof/>
                <w:webHidden/>
              </w:rPr>
              <w:t>- 286 -</w:t>
            </w:r>
            <w:r>
              <w:rPr>
                <w:noProof/>
                <w:webHidden/>
              </w:rPr>
              <w:fldChar w:fldCharType="end"/>
            </w:r>
          </w:hyperlink>
        </w:p>
        <w:p w14:paraId="46D72AEF" w14:textId="6DAE655C"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85" w:history="1">
            <w:r w:rsidRPr="00917194">
              <w:rPr>
                <w:rStyle w:val="Hyperlink"/>
                <w:noProof/>
                <w:lang w:val="mk-MK"/>
              </w:rPr>
              <w:t>Заклучоци</w:t>
            </w:r>
            <w:r>
              <w:rPr>
                <w:noProof/>
                <w:webHidden/>
              </w:rPr>
              <w:tab/>
            </w:r>
            <w:r>
              <w:rPr>
                <w:noProof/>
                <w:webHidden/>
              </w:rPr>
              <w:fldChar w:fldCharType="begin"/>
            </w:r>
            <w:r>
              <w:rPr>
                <w:noProof/>
                <w:webHidden/>
              </w:rPr>
              <w:instrText xml:space="preserve"> PAGEREF _Toc230523985 \h </w:instrText>
            </w:r>
            <w:r>
              <w:rPr>
                <w:noProof/>
                <w:webHidden/>
              </w:rPr>
            </w:r>
            <w:r>
              <w:rPr>
                <w:noProof/>
                <w:webHidden/>
              </w:rPr>
              <w:fldChar w:fldCharType="separate"/>
            </w:r>
            <w:r w:rsidR="0000720E">
              <w:rPr>
                <w:noProof/>
                <w:webHidden/>
              </w:rPr>
              <w:t>- 290 -</w:t>
            </w:r>
            <w:r>
              <w:rPr>
                <w:noProof/>
                <w:webHidden/>
              </w:rPr>
              <w:fldChar w:fldCharType="end"/>
            </w:r>
          </w:hyperlink>
        </w:p>
        <w:p w14:paraId="4796EE03" w14:textId="2753BC87" w:rsidR="0087719A" w:rsidRDefault="0087719A">
          <w:pPr>
            <w:pStyle w:val="TOC1"/>
            <w:tabs>
              <w:tab w:val="left" w:pos="440"/>
            </w:tabs>
            <w:rPr>
              <w:rFonts w:asciiTheme="minorHAnsi" w:eastAsiaTheme="minorEastAsia" w:hAnsiTheme="minorHAnsi" w:cstheme="minorBidi"/>
              <w:noProof/>
              <w:kern w:val="2"/>
              <w:sz w:val="24"/>
              <w:szCs w:val="24"/>
              <w:lang w:val="en-US"/>
              <w14:ligatures w14:val="standardContextual"/>
            </w:rPr>
          </w:pPr>
          <w:hyperlink w:anchor="_Toc230523986" w:history="1">
            <w:r w:rsidRPr="00917194">
              <w:rPr>
                <w:rStyle w:val="Hyperlink"/>
                <w:noProof/>
                <w:lang w:val="mk-MK"/>
              </w:rPr>
              <w:t>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Сиже на тезата</w:t>
            </w:r>
            <w:r>
              <w:rPr>
                <w:noProof/>
                <w:webHidden/>
              </w:rPr>
              <w:tab/>
            </w:r>
            <w:r>
              <w:rPr>
                <w:noProof/>
                <w:webHidden/>
              </w:rPr>
              <w:fldChar w:fldCharType="begin"/>
            </w:r>
            <w:r>
              <w:rPr>
                <w:noProof/>
                <w:webHidden/>
              </w:rPr>
              <w:instrText xml:space="preserve"> PAGEREF _Toc230523986 \h </w:instrText>
            </w:r>
            <w:r>
              <w:rPr>
                <w:noProof/>
                <w:webHidden/>
              </w:rPr>
            </w:r>
            <w:r>
              <w:rPr>
                <w:noProof/>
                <w:webHidden/>
              </w:rPr>
              <w:fldChar w:fldCharType="separate"/>
            </w:r>
            <w:r w:rsidR="0000720E">
              <w:rPr>
                <w:noProof/>
                <w:webHidden/>
              </w:rPr>
              <w:t>- 292 -</w:t>
            </w:r>
            <w:r>
              <w:rPr>
                <w:noProof/>
                <w:webHidden/>
              </w:rPr>
              <w:fldChar w:fldCharType="end"/>
            </w:r>
          </w:hyperlink>
        </w:p>
        <w:p w14:paraId="0435C51B" w14:textId="50EFE6BC"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87" w:history="1">
            <w:r w:rsidRPr="00917194">
              <w:rPr>
                <w:rStyle w:val="Hyperlink"/>
                <w:noProof/>
                <w:lang w:val="mk-MK"/>
              </w:rPr>
              <w:t>II.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Теоретски и практични импликации на докторатот</w:t>
            </w:r>
            <w:r>
              <w:rPr>
                <w:noProof/>
                <w:webHidden/>
              </w:rPr>
              <w:tab/>
            </w:r>
            <w:r>
              <w:rPr>
                <w:noProof/>
                <w:webHidden/>
              </w:rPr>
              <w:fldChar w:fldCharType="begin"/>
            </w:r>
            <w:r>
              <w:rPr>
                <w:noProof/>
                <w:webHidden/>
              </w:rPr>
              <w:instrText xml:space="preserve"> PAGEREF _Toc230523987 \h </w:instrText>
            </w:r>
            <w:r>
              <w:rPr>
                <w:noProof/>
                <w:webHidden/>
              </w:rPr>
            </w:r>
            <w:r>
              <w:rPr>
                <w:noProof/>
                <w:webHidden/>
              </w:rPr>
              <w:fldChar w:fldCharType="separate"/>
            </w:r>
            <w:r w:rsidR="0000720E">
              <w:rPr>
                <w:noProof/>
                <w:webHidden/>
              </w:rPr>
              <w:t>- 293 -</w:t>
            </w:r>
            <w:r>
              <w:rPr>
                <w:noProof/>
                <w:webHidden/>
              </w:rPr>
              <w:fldChar w:fldCharType="end"/>
            </w:r>
          </w:hyperlink>
        </w:p>
        <w:p w14:paraId="1DD75262" w14:textId="56B889D6"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88" w:history="1">
            <w:r w:rsidRPr="00917194">
              <w:rPr>
                <w:rStyle w:val="Hyperlink"/>
                <w:noProof/>
                <w:lang w:val="mk-MK"/>
              </w:rPr>
              <w:t>III.</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Потенцијал за прогрес преку судската јуриспруденција доколку нема законски реформи</w:t>
            </w:r>
            <w:r>
              <w:rPr>
                <w:noProof/>
                <w:webHidden/>
              </w:rPr>
              <w:tab/>
            </w:r>
            <w:r>
              <w:rPr>
                <w:noProof/>
                <w:webHidden/>
              </w:rPr>
              <w:fldChar w:fldCharType="begin"/>
            </w:r>
            <w:r>
              <w:rPr>
                <w:noProof/>
                <w:webHidden/>
              </w:rPr>
              <w:instrText xml:space="preserve"> PAGEREF _Toc230523988 \h </w:instrText>
            </w:r>
            <w:r>
              <w:rPr>
                <w:noProof/>
                <w:webHidden/>
              </w:rPr>
            </w:r>
            <w:r>
              <w:rPr>
                <w:noProof/>
                <w:webHidden/>
              </w:rPr>
              <w:fldChar w:fldCharType="separate"/>
            </w:r>
            <w:r w:rsidR="0000720E">
              <w:rPr>
                <w:noProof/>
                <w:webHidden/>
              </w:rPr>
              <w:t>- 294 -</w:t>
            </w:r>
            <w:r>
              <w:rPr>
                <w:noProof/>
                <w:webHidden/>
              </w:rPr>
              <w:fldChar w:fldCharType="end"/>
            </w:r>
          </w:hyperlink>
        </w:p>
        <w:p w14:paraId="68804E91" w14:textId="34168AFF" w:rsidR="0087719A" w:rsidRDefault="0087719A">
          <w:pPr>
            <w:pStyle w:val="TOC1"/>
            <w:tabs>
              <w:tab w:val="left" w:pos="720"/>
            </w:tabs>
            <w:rPr>
              <w:rFonts w:asciiTheme="minorHAnsi" w:eastAsiaTheme="minorEastAsia" w:hAnsiTheme="minorHAnsi" w:cstheme="minorBidi"/>
              <w:noProof/>
              <w:kern w:val="2"/>
              <w:sz w:val="24"/>
              <w:szCs w:val="24"/>
              <w:lang w:val="en-US"/>
              <w14:ligatures w14:val="standardContextual"/>
            </w:rPr>
          </w:pPr>
          <w:hyperlink w:anchor="_Toc230523989" w:history="1">
            <w:r w:rsidRPr="00917194">
              <w:rPr>
                <w:rStyle w:val="Hyperlink"/>
                <w:noProof/>
                <w:lang w:val="mk-MK"/>
              </w:rPr>
              <w:t>IV.</w:t>
            </w:r>
            <w:r>
              <w:rPr>
                <w:rFonts w:asciiTheme="minorHAnsi" w:eastAsiaTheme="minorEastAsia" w:hAnsiTheme="minorHAnsi" w:cstheme="minorBidi"/>
                <w:noProof/>
                <w:kern w:val="2"/>
                <w:sz w:val="24"/>
                <w:szCs w:val="24"/>
                <w:lang w:val="en-US"/>
                <w14:ligatures w14:val="standardContextual"/>
              </w:rPr>
              <w:tab/>
            </w:r>
            <w:r w:rsidRPr="00917194">
              <w:rPr>
                <w:rStyle w:val="Hyperlink"/>
                <w:noProof/>
                <w:lang w:val="mk-MK"/>
              </w:rPr>
              <w:t>Можноста за конструктивна интеракција помеѓу правните системи</w:t>
            </w:r>
            <w:r>
              <w:rPr>
                <w:noProof/>
                <w:webHidden/>
              </w:rPr>
              <w:tab/>
            </w:r>
            <w:r>
              <w:rPr>
                <w:noProof/>
                <w:webHidden/>
              </w:rPr>
              <w:fldChar w:fldCharType="begin"/>
            </w:r>
            <w:r>
              <w:rPr>
                <w:noProof/>
                <w:webHidden/>
              </w:rPr>
              <w:instrText xml:space="preserve"> PAGEREF _Toc230523989 \h </w:instrText>
            </w:r>
            <w:r>
              <w:rPr>
                <w:noProof/>
                <w:webHidden/>
              </w:rPr>
            </w:r>
            <w:r>
              <w:rPr>
                <w:noProof/>
                <w:webHidden/>
              </w:rPr>
              <w:fldChar w:fldCharType="separate"/>
            </w:r>
            <w:r w:rsidR="0000720E">
              <w:rPr>
                <w:noProof/>
                <w:webHidden/>
              </w:rPr>
              <w:t>- 296 -</w:t>
            </w:r>
            <w:r>
              <w:rPr>
                <w:noProof/>
                <w:webHidden/>
              </w:rPr>
              <w:fldChar w:fldCharType="end"/>
            </w:r>
          </w:hyperlink>
        </w:p>
        <w:p w14:paraId="1D531022" w14:textId="0D5BD522"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0" w:history="1">
            <w:r w:rsidRPr="00917194">
              <w:rPr>
                <w:rStyle w:val="Hyperlink"/>
                <w:noProof/>
                <w:lang w:val="mk-MK"/>
              </w:rPr>
              <w:t>Користена литература и други извори</w:t>
            </w:r>
            <w:r>
              <w:rPr>
                <w:noProof/>
                <w:webHidden/>
              </w:rPr>
              <w:tab/>
            </w:r>
            <w:r>
              <w:rPr>
                <w:noProof/>
                <w:webHidden/>
              </w:rPr>
              <w:fldChar w:fldCharType="begin"/>
            </w:r>
            <w:r>
              <w:rPr>
                <w:noProof/>
                <w:webHidden/>
              </w:rPr>
              <w:instrText xml:space="preserve"> PAGEREF _Toc230523990 \h </w:instrText>
            </w:r>
            <w:r>
              <w:rPr>
                <w:noProof/>
                <w:webHidden/>
              </w:rPr>
            </w:r>
            <w:r>
              <w:rPr>
                <w:noProof/>
                <w:webHidden/>
              </w:rPr>
              <w:fldChar w:fldCharType="separate"/>
            </w:r>
            <w:r w:rsidR="0000720E">
              <w:rPr>
                <w:noProof/>
                <w:webHidden/>
              </w:rPr>
              <w:t>- 298 -</w:t>
            </w:r>
            <w:r>
              <w:rPr>
                <w:noProof/>
                <w:webHidden/>
              </w:rPr>
              <w:fldChar w:fldCharType="end"/>
            </w:r>
          </w:hyperlink>
        </w:p>
        <w:p w14:paraId="169E9AB5" w14:textId="47014B21"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1" w:history="1">
            <w:r w:rsidRPr="00917194">
              <w:rPr>
                <w:rStyle w:val="Hyperlink"/>
                <w:noProof/>
                <w:lang w:val="mk-MK"/>
              </w:rPr>
              <w:t>ПРИЛОЗИ</w:t>
            </w:r>
            <w:r>
              <w:rPr>
                <w:noProof/>
                <w:webHidden/>
              </w:rPr>
              <w:tab/>
            </w:r>
            <w:r>
              <w:rPr>
                <w:noProof/>
                <w:webHidden/>
              </w:rPr>
              <w:fldChar w:fldCharType="begin"/>
            </w:r>
            <w:r>
              <w:rPr>
                <w:noProof/>
                <w:webHidden/>
              </w:rPr>
              <w:instrText xml:space="preserve"> PAGEREF _Toc230523991 \h </w:instrText>
            </w:r>
            <w:r>
              <w:rPr>
                <w:noProof/>
                <w:webHidden/>
              </w:rPr>
            </w:r>
            <w:r>
              <w:rPr>
                <w:noProof/>
                <w:webHidden/>
              </w:rPr>
              <w:fldChar w:fldCharType="separate"/>
            </w:r>
            <w:r w:rsidR="0000720E">
              <w:rPr>
                <w:noProof/>
                <w:webHidden/>
              </w:rPr>
              <w:t>- 317 -</w:t>
            </w:r>
            <w:r>
              <w:rPr>
                <w:noProof/>
                <w:webHidden/>
              </w:rPr>
              <w:fldChar w:fldCharType="end"/>
            </w:r>
          </w:hyperlink>
        </w:p>
        <w:p w14:paraId="5DA1C7A0" w14:textId="3FD4856B"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2" w:history="1">
            <w:r w:rsidRPr="00917194">
              <w:rPr>
                <w:rStyle w:val="Hyperlink"/>
                <w:noProof/>
                <w:lang w:val="mk-MK"/>
              </w:rPr>
              <w:t>Прилог 1:</w:t>
            </w:r>
            <w:r w:rsidRPr="00917194">
              <w:rPr>
                <w:rStyle w:val="Hyperlink"/>
                <w:noProof/>
                <w:lang w:val="en-US"/>
              </w:rPr>
              <w:t xml:space="preserve"> </w:t>
            </w:r>
            <w:r w:rsidRPr="00917194">
              <w:rPr>
                <w:rStyle w:val="Hyperlink"/>
                <w:noProof/>
                <w:lang w:val="mk-MK"/>
              </w:rPr>
              <w:t>Институции и организации вклучени во корпоративното управување</w:t>
            </w:r>
            <w:r>
              <w:rPr>
                <w:noProof/>
                <w:webHidden/>
              </w:rPr>
              <w:tab/>
            </w:r>
            <w:r>
              <w:rPr>
                <w:noProof/>
                <w:webHidden/>
              </w:rPr>
              <w:fldChar w:fldCharType="begin"/>
            </w:r>
            <w:r>
              <w:rPr>
                <w:noProof/>
                <w:webHidden/>
              </w:rPr>
              <w:instrText xml:space="preserve"> PAGEREF _Toc230523992 \h </w:instrText>
            </w:r>
            <w:r>
              <w:rPr>
                <w:noProof/>
                <w:webHidden/>
              </w:rPr>
            </w:r>
            <w:r>
              <w:rPr>
                <w:noProof/>
                <w:webHidden/>
              </w:rPr>
              <w:fldChar w:fldCharType="separate"/>
            </w:r>
            <w:r w:rsidR="0000720E">
              <w:rPr>
                <w:noProof/>
                <w:webHidden/>
              </w:rPr>
              <w:t>- 317 -</w:t>
            </w:r>
            <w:r>
              <w:rPr>
                <w:noProof/>
                <w:webHidden/>
              </w:rPr>
              <w:fldChar w:fldCharType="end"/>
            </w:r>
          </w:hyperlink>
        </w:p>
        <w:p w14:paraId="227435F8" w14:textId="7D25BFF3"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3" w:history="1">
            <w:r w:rsidRPr="00917194">
              <w:rPr>
                <w:rStyle w:val="Hyperlink"/>
                <w:noProof/>
              </w:rPr>
              <w:t>Прилог 2</w:t>
            </w:r>
            <w:r w:rsidRPr="00917194">
              <w:rPr>
                <w:rStyle w:val="Hyperlink"/>
                <w:noProof/>
                <w:lang w:val="mk-MK"/>
              </w:rPr>
              <w:t>:</w:t>
            </w:r>
            <w:r w:rsidRPr="00917194">
              <w:rPr>
                <w:rStyle w:val="Hyperlink"/>
                <w:noProof/>
              </w:rPr>
              <w:t xml:space="preserve"> Разлики помеѓу трговските друштва и структура на органите на </w:t>
            </w:r>
            <w:r w:rsidRPr="00917194">
              <w:rPr>
                <w:rStyle w:val="Hyperlink"/>
                <w:noProof/>
                <w:lang w:val="mk-MK"/>
              </w:rPr>
              <w:t>АД</w:t>
            </w:r>
            <w:r>
              <w:rPr>
                <w:noProof/>
                <w:webHidden/>
              </w:rPr>
              <w:tab/>
            </w:r>
            <w:r>
              <w:rPr>
                <w:noProof/>
                <w:webHidden/>
              </w:rPr>
              <w:fldChar w:fldCharType="begin"/>
            </w:r>
            <w:r>
              <w:rPr>
                <w:noProof/>
                <w:webHidden/>
              </w:rPr>
              <w:instrText xml:space="preserve"> PAGEREF _Toc230523993 \h </w:instrText>
            </w:r>
            <w:r>
              <w:rPr>
                <w:noProof/>
                <w:webHidden/>
              </w:rPr>
            </w:r>
            <w:r>
              <w:rPr>
                <w:noProof/>
                <w:webHidden/>
              </w:rPr>
              <w:fldChar w:fldCharType="separate"/>
            </w:r>
            <w:r w:rsidR="0000720E">
              <w:rPr>
                <w:noProof/>
                <w:webHidden/>
              </w:rPr>
              <w:t>- 319 -</w:t>
            </w:r>
            <w:r>
              <w:rPr>
                <w:noProof/>
                <w:webHidden/>
              </w:rPr>
              <w:fldChar w:fldCharType="end"/>
            </w:r>
          </w:hyperlink>
        </w:p>
        <w:p w14:paraId="5F4733B3" w14:textId="73329C54"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4" w:history="1">
            <w:r w:rsidRPr="00917194">
              <w:rPr>
                <w:rStyle w:val="Hyperlink"/>
                <w:noProof/>
                <w:lang w:val="mk-MK"/>
              </w:rPr>
              <w:t xml:space="preserve">Прилог </w:t>
            </w:r>
            <w:r w:rsidRPr="00917194">
              <w:rPr>
                <w:rStyle w:val="Hyperlink"/>
                <w:noProof/>
                <w:lang w:val="en-US"/>
              </w:rPr>
              <w:t xml:space="preserve">3: </w:t>
            </w:r>
            <w:r w:rsidRPr="00917194">
              <w:rPr>
                <w:rStyle w:val="Hyperlink"/>
                <w:noProof/>
                <w:lang w:val="mk-MK"/>
              </w:rPr>
              <w:t>Табеларен приказ и компаративна синтеза на моделите за вклучување на вработените во корпоративното управување</w:t>
            </w:r>
            <w:r>
              <w:rPr>
                <w:noProof/>
                <w:webHidden/>
              </w:rPr>
              <w:tab/>
            </w:r>
            <w:r>
              <w:rPr>
                <w:noProof/>
                <w:webHidden/>
              </w:rPr>
              <w:fldChar w:fldCharType="begin"/>
            </w:r>
            <w:r>
              <w:rPr>
                <w:noProof/>
                <w:webHidden/>
              </w:rPr>
              <w:instrText xml:space="preserve"> PAGEREF _Toc230523994 \h </w:instrText>
            </w:r>
            <w:r>
              <w:rPr>
                <w:noProof/>
                <w:webHidden/>
              </w:rPr>
            </w:r>
            <w:r>
              <w:rPr>
                <w:noProof/>
                <w:webHidden/>
              </w:rPr>
              <w:fldChar w:fldCharType="separate"/>
            </w:r>
            <w:r w:rsidR="0000720E">
              <w:rPr>
                <w:noProof/>
                <w:webHidden/>
              </w:rPr>
              <w:t>- 321 -</w:t>
            </w:r>
            <w:r>
              <w:rPr>
                <w:noProof/>
                <w:webHidden/>
              </w:rPr>
              <w:fldChar w:fldCharType="end"/>
            </w:r>
          </w:hyperlink>
        </w:p>
        <w:p w14:paraId="4997343E" w14:textId="7084227C"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5" w:history="1">
            <w:r w:rsidRPr="00917194">
              <w:rPr>
                <w:rStyle w:val="Hyperlink"/>
                <w:noProof/>
                <w:lang w:val="mk-MK"/>
              </w:rPr>
              <w:t>Прилог 4</w:t>
            </w:r>
            <w:r w:rsidRPr="00917194">
              <w:rPr>
                <w:rStyle w:val="Hyperlink"/>
                <w:noProof/>
                <w:lang w:val="en-US"/>
              </w:rPr>
              <w:t xml:space="preserve">: </w:t>
            </w:r>
            <w:r w:rsidRPr="00917194">
              <w:rPr>
                <w:rStyle w:val="Hyperlink"/>
                <w:noProof/>
                <w:lang w:val="mk-MK"/>
              </w:rPr>
              <w:t>Систематски преглед на релевантната литература од областа на корпоративното управување и јавните политики за спроведување на реформа</w:t>
            </w:r>
            <w:r>
              <w:rPr>
                <w:noProof/>
                <w:webHidden/>
              </w:rPr>
              <w:tab/>
            </w:r>
            <w:r>
              <w:rPr>
                <w:noProof/>
                <w:webHidden/>
              </w:rPr>
              <w:fldChar w:fldCharType="begin"/>
            </w:r>
            <w:r>
              <w:rPr>
                <w:noProof/>
                <w:webHidden/>
              </w:rPr>
              <w:instrText xml:space="preserve"> PAGEREF _Toc230523995 \h </w:instrText>
            </w:r>
            <w:r>
              <w:rPr>
                <w:noProof/>
                <w:webHidden/>
              </w:rPr>
            </w:r>
            <w:r>
              <w:rPr>
                <w:noProof/>
                <w:webHidden/>
              </w:rPr>
              <w:fldChar w:fldCharType="separate"/>
            </w:r>
            <w:r w:rsidR="0000720E">
              <w:rPr>
                <w:noProof/>
                <w:webHidden/>
              </w:rPr>
              <w:t>- 323 -</w:t>
            </w:r>
            <w:r>
              <w:rPr>
                <w:noProof/>
                <w:webHidden/>
              </w:rPr>
              <w:fldChar w:fldCharType="end"/>
            </w:r>
          </w:hyperlink>
        </w:p>
        <w:p w14:paraId="48BBFCAC" w14:textId="692734C1"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6" w:history="1">
            <w:r w:rsidRPr="00917194">
              <w:rPr>
                <w:rStyle w:val="Hyperlink"/>
                <w:noProof/>
                <w:lang w:val="mk-MK"/>
              </w:rPr>
              <w:t>Прилог 5</w:t>
            </w:r>
            <w:r w:rsidRPr="00917194">
              <w:rPr>
                <w:rStyle w:val="Hyperlink"/>
                <w:noProof/>
                <w:lang w:val="en-US"/>
              </w:rPr>
              <w:t xml:space="preserve">: </w:t>
            </w:r>
            <w:r w:rsidRPr="00917194">
              <w:rPr>
                <w:rStyle w:val="Hyperlink"/>
                <w:noProof/>
                <w:lang w:val="mk-MK"/>
              </w:rPr>
              <w:t>Патоказ за тригодишна реформа на корпоративното управување во Македонија</w:t>
            </w:r>
            <w:r>
              <w:rPr>
                <w:noProof/>
                <w:webHidden/>
              </w:rPr>
              <w:tab/>
            </w:r>
            <w:r>
              <w:rPr>
                <w:noProof/>
                <w:webHidden/>
              </w:rPr>
              <w:fldChar w:fldCharType="begin"/>
            </w:r>
            <w:r>
              <w:rPr>
                <w:noProof/>
                <w:webHidden/>
              </w:rPr>
              <w:instrText xml:space="preserve"> PAGEREF _Toc230523996 \h </w:instrText>
            </w:r>
            <w:r>
              <w:rPr>
                <w:noProof/>
                <w:webHidden/>
              </w:rPr>
            </w:r>
            <w:r>
              <w:rPr>
                <w:noProof/>
                <w:webHidden/>
              </w:rPr>
              <w:fldChar w:fldCharType="separate"/>
            </w:r>
            <w:r w:rsidR="0000720E">
              <w:rPr>
                <w:noProof/>
                <w:webHidden/>
              </w:rPr>
              <w:t>- 325 -</w:t>
            </w:r>
            <w:r>
              <w:rPr>
                <w:noProof/>
                <w:webHidden/>
              </w:rPr>
              <w:fldChar w:fldCharType="end"/>
            </w:r>
          </w:hyperlink>
        </w:p>
        <w:p w14:paraId="6ED93DA1" w14:textId="7AAADD18"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7" w:history="1">
            <w:r w:rsidRPr="00917194">
              <w:rPr>
                <w:rStyle w:val="Hyperlink"/>
                <w:noProof/>
                <w:lang w:val="mk-MK"/>
              </w:rPr>
              <w:t>Прилог 6</w:t>
            </w:r>
            <w:r w:rsidRPr="00917194">
              <w:rPr>
                <w:rStyle w:val="Hyperlink"/>
                <w:noProof/>
                <w:lang w:val="en-US"/>
              </w:rPr>
              <w:t xml:space="preserve">: </w:t>
            </w:r>
            <w:r w:rsidRPr="00917194">
              <w:rPr>
                <w:rStyle w:val="Hyperlink"/>
                <w:noProof/>
                <w:lang w:val="mk-MK"/>
              </w:rPr>
              <w:t>Распределба на засегнатите страни кои имаат капацитет да го блокираат реформскиот процес</w:t>
            </w:r>
            <w:r>
              <w:rPr>
                <w:noProof/>
                <w:webHidden/>
              </w:rPr>
              <w:tab/>
            </w:r>
            <w:r>
              <w:rPr>
                <w:noProof/>
                <w:webHidden/>
              </w:rPr>
              <w:fldChar w:fldCharType="begin"/>
            </w:r>
            <w:r>
              <w:rPr>
                <w:noProof/>
                <w:webHidden/>
              </w:rPr>
              <w:instrText xml:space="preserve"> PAGEREF _Toc230523997 \h </w:instrText>
            </w:r>
            <w:r>
              <w:rPr>
                <w:noProof/>
                <w:webHidden/>
              </w:rPr>
            </w:r>
            <w:r>
              <w:rPr>
                <w:noProof/>
                <w:webHidden/>
              </w:rPr>
              <w:fldChar w:fldCharType="separate"/>
            </w:r>
            <w:r w:rsidR="0000720E">
              <w:rPr>
                <w:noProof/>
                <w:webHidden/>
              </w:rPr>
              <w:t>- 327 -</w:t>
            </w:r>
            <w:r>
              <w:rPr>
                <w:noProof/>
                <w:webHidden/>
              </w:rPr>
              <w:fldChar w:fldCharType="end"/>
            </w:r>
          </w:hyperlink>
        </w:p>
        <w:p w14:paraId="1F1E3FF4" w14:textId="3C3AED63"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8" w:history="1">
            <w:r w:rsidRPr="00917194">
              <w:rPr>
                <w:rStyle w:val="Hyperlink"/>
                <w:noProof/>
                <w:lang w:val="mk-MK"/>
              </w:rPr>
              <w:t>Прилог 7</w:t>
            </w:r>
            <w:r w:rsidRPr="00917194">
              <w:rPr>
                <w:rStyle w:val="Hyperlink"/>
                <w:noProof/>
                <w:lang w:val="en-US"/>
              </w:rPr>
              <w:t xml:space="preserve">: </w:t>
            </w:r>
            <w:r w:rsidRPr="00917194">
              <w:rPr>
                <w:rStyle w:val="Hyperlink"/>
                <w:noProof/>
                <w:lang w:val="mk-MK"/>
              </w:rPr>
              <w:t>Фидбек</w:t>
            </w:r>
            <w:r>
              <w:rPr>
                <w:noProof/>
                <w:webHidden/>
              </w:rPr>
              <w:tab/>
            </w:r>
            <w:r>
              <w:rPr>
                <w:noProof/>
                <w:webHidden/>
              </w:rPr>
              <w:fldChar w:fldCharType="begin"/>
            </w:r>
            <w:r>
              <w:rPr>
                <w:noProof/>
                <w:webHidden/>
              </w:rPr>
              <w:instrText xml:space="preserve"> PAGEREF _Toc230523998 \h </w:instrText>
            </w:r>
            <w:r>
              <w:rPr>
                <w:noProof/>
                <w:webHidden/>
              </w:rPr>
            </w:r>
            <w:r>
              <w:rPr>
                <w:noProof/>
                <w:webHidden/>
              </w:rPr>
              <w:fldChar w:fldCharType="separate"/>
            </w:r>
            <w:r w:rsidR="0000720E">
              <w:rPr>
                <w:noProof/>
                <w:webHidden/>
              </w:rPr>
              <w:t>- 329 -</w:t>
            </w:r>
            <w:r>
              <w:rPr>
                <w:noProof/>
                <w:webHidden/>
              </w:rPr>
              <w:fldChar w:fldCharType="end"/>
            </w:r>
          </w:hyperlink>
        </w:p>
        <w:p w14:paraId="66882DDC" w14:textId="2AE22181"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3999" w:history="1">
            <w:r w:rsidRPr="00917194">
              <w:rPr>
                <w:rStyle w:val="Hyperlink"/>
                <w:noProof/>
                <w:lang w:val="mk-MK"/>
              </w:rPr>
              <w:t>Прилог 8</w:t>
            </w:r>
            <w:r w:rsidRPr="00917194">
              <w:rPr>
                <w:rStyle w:val="Hyperlink"/>
                <w:noProof/>
                <w:lang w:val="en-US"/>
              </w:rPr>
              <w:t xml:space="preserve">: </w:t>
            </w:r>
            <w:r w:rsidRPr="00917194">
              <w:rPr>
                <w:rStyle w:val="Hyperlink"/>
                <w:noProof/>
                <w:lang w:val="mk-MK"/>
              </w:rPr>
              <w:t>Користен прашалник за интервјуата со трговските друштва</w:t>
            </w:r>
            <w:r>
              <w:rPr>
                <w:noProof/>
                <w:webHidden/>
              </w:rPr>
              <w:tab/>
            </w:r>
            <w:r>
              <w:rPr>
                <w:noProof/>
                <w:webHidden/>
              </w:rPr>
              <w:fldChar w:fldCharType="begin"/>
            </w:r>
            <w:r>
              <w:rPr>
                <w:noProof/>
                <w:webHidden/>
              </w:rPr>
              <w:instrText xml:space="preserve"> PAGEREF _Toc230523999 \h </w:instrText>
            </w:r>
            <w:r>
              <w:rPr>
                <w:noProof/>
                <w:webHidden/>
              </w:rPr>
            </w:r>
            <w:r>
              <w:rPr>
                <w:noProof/>
                <w:webHidden/>
              </w:rPr>
              <w:fldChar w:fldCharType="separate"/>
            </w:r>
            <w:r w:rsidR="0000720E">
              <w:rPr>
                <w:noProof/>
                <w:webHidden/>
              </w:rPr>
              <w:t>- 331 -</w:t>
            </w:r>
            <w:r>
              <w:rPr>
                <w:noProof/>
                <w:webHidden/>
              </w:rPr>
              <w:fldChar w:fldCharType="end"/>
            </w:r>
          </w:hyperlink>
        </w:p>
        <w:p w14:paraId="11542FEF" w14:textId="79D1C758"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0" w:history="1">
            <w:r w:rsidRPr="00917194">
              <w:rPr>
                <w:rStyle w:val="Hyperlink"/>
                <w:noProof/>
                <w:lang w:val="mk-MK"/>
              </w:rPr>
              <w:t>Прилог 9</w:t>
            </w:r>
            <w:r w:rsidRPr="00917194">
              <w:rPr>
                <w:rStyle w:val="Hyperlink"/>
                <w:noProof/>
                <w:lang w:val="en-US"/>
              </w:rPr>
              <w:t xml:space="preserve">: </w:t>
            </w:r>
            <w:r w:rsidRPr="00917194">
              <w:rPr>
                <w:rStyle w:val="Hyperlink"/>
                <w:noProof/>
                <w:lang w:val="mk-MK"/>
              </w:rPr>
              <w:t>Користен прашалник за интервјуата со вработените во релевантните трговските друштва</w:t>
            </w:r>
            <w:r>
              <w:rPr>
                <w:noProof/>
                <w:webHidden/>
              </w:rPr>
              <w:tab/>
            </w:r>
            <w:r>
              <w:rPr>
                <w:noProof/>
                <w:webHidden/>
              </w:rPr>
              <w:fldChar w:fldCharType="begin"/>
            </w:r>
            <w:r>
              <w:rPr>
                <w:noProof/>
                <w:webHidden/>
              </w:rPr>
              <w:instrText xml:space="preserve"> PAGEREF _Toc230524000 \h </w:instrText>
            </w:r>
            <w:r>
              <w:rPr>
                <w:noProof/>
                <w:webHidden/>
              </w:rPr>
            </w:r>
            <w:r>
              <w:rPr>
                <w:noProof/>
                <w:webHidden/>
              </w:rPr>
              <w:fldChar w:fldCharType="separate"/>
            </w:r>
            <w:r w:rsidR="0000720E">
              <w:rPr>
                <w:noProof/>
                <w:webHidden/>
              </w:rPr>
              <w:t>- 341 -</w:t>
            </w:r>
            <w:r>
              <w:rPr>
                <w:noProof/>
                <w:webHidden/>
              </w:rPr>
              <w:fldChar w:fldCharType="end"/>
            </w:r>
          </w:hyperlink>
        </w:p>
        <w:p w14:paraId="65BFA396" w14:textId="53CD4A86"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1" w:history="1">
            <w:r w:rsidRPr="00917194">
              <w:rPr>
                <w:rStyle w:val="Hyperlink"/>
                <w:noProof/>
                <w:lang w:val="mk-MK"/>
              </w:rPr>
              <w:t>Прилог 10</w:t>
            </w:r>
            <w:r w:rsidRPr="00917194">
              <w:rPr>
                <w:rStyle w:val="Hyperlink"/>
                <w:noProof/>
                <w:lang w:val="en-US"/>
              </w:rPr>
              <w:t xml:space="preserve">: </w:t>
            </w:r>
            <w:r w:rsidRPr="00917194">
              <w:rPr>
                <w:rStyle w:val="Hyperlink"/>
                <w:noProof/>
                <w:lang w:val="mk-MK"/>
              </w:rPr>
              <w:t>Користен прашалник за интервјуата со национални и меѓународни експерти</w:t>
            </w:r>
            <w:r>
              <w:rPr>
                <w:noProof/>
                <w:webHidden/>
              </w:rPr>
              <w:tab/>
            </w:r>
            <w:r>
              <w:rPr>
                <w:noProof/>
                <w:webHidden/>
              </w:rPr>
              <w:fldChar w:fldCharType="begin"/>
            </w:r>
            <w:r>
              <w:rPr>
                <w:noProof/>
                <w:webHidden/>
              </w:rPr>
              <w:instrText xml:space="preserve"> PAGEREF _Toc230524001 \h </w:instrText>
            </w:r>
            <w:r>
              <w:rPr>
                <w:noProof/>
                <w:webHidden/>
              </w:rPr>
            </w:r>
            <w:r>
              <w:rPr>
                <w:noProof/>
                <w:webHidden/>
              </w:rPr>
              <w:fldChar w:fldCharType="separate"/>
            </w:r>
            <w:r w:rsidR="0000720E">
              <w:rPr>
                <w:noProof/>
                <w:webHidden/>
              </w:rPr>
              <w:t>- 352 -</w:t>
            </w:r>
            <w:r>
              <w:rPr>
                <w:noProof/>
                <w:webHidden/>
              </w:rPr>
              <w:fldChar w:fldCharType="end"/>
            </w:r>
          </w:hyperlink>
        </w:p>
        <w:p w14:paraId="03F3A170" w14:textId="6BA3CB55"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2" w:history="1">
            <w:r w:rsidRPr="00917194">
              <w:rPr>
                <w:rStyle w:val="Hyperlink"/>
                <w:noProof/>
                <w:lang w:val="mk-MK"/>
              </w:rPr>
              <w:t>Прилог 11</w:t>
            </w:r>
            <w:r w:rsidRPr="00917194">
              <w:rPr>
                <w:rStyle w:val="Hyperlink"/>
                <w:noProof/>
                <w:lang w:val="en-US"/>
              </w:rPr>
              <w:t xml:space="preserve">: </w:t>
            </w:r>
            <w:r w:rsidRPr="00917194">
              <w:rPr>
                <w:rStyle w:val="Hyperlink"/>
                <w:noProof/>
                <w:lang w:val="mk-MK"/>
              </w:rPr>
              <w:t>Форми на финансиска партиципација во ЕУ</w:t>
            </w:r>
            <w:r>
              <w:rPr>
                <w:noProof/>
                <w:webHidden/>
              </w:rPr>
              <w:tab/>
            </w:r>
            <w:r>
              <w:rPr>
                <w:noProof/>
                <w:webHidden/>
              </w:rPr>
              <w:fldChar w:fldCharType="begin"/>
            </w:r>
            <w:r>
              <w:rPr>
                <w:noProof/>
                <w:webHidden/>
              </w:rPr>
              <w:instrText xml:space="preserve"> PAGEREF _Toc230524002 \h </w:instrText>
            </w:r>
            <w:r>
              <w:rPr>
                <w:noProof/>
                <w:webHidden/>
              </w:rPr>
            </w:r>
            <w:r>
              <w:rPr>
                <w:noProof/>
                <w:webHidden/>
              </w:rPr>
              <w:fldChar w:fldCharType="separate"/>
            </w:r>
            <w:r w:rsidR="0000720E">
              <w:rPr>
                <w:noProof/>
                <w:webHidden/>
              </w:rPr>
              <w:t>- 361 -</w:t>
            </w:r>
            <w:r>
              <w:rPr>
                <w:noProof/>
                <w:webHidden/>
              </w:rPr>
              <w:fldChar w:fldCharType="end"/>
            </w:r>
          </w:hyperlink>
        </w:p>
        <w:p w14:paraId="34850767" w14:textId="25E37D93"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3" w:history="1">
            <w:r w:rsidRPr="00917194">
              <w:rPr>
                <w:rStyle w:val="Hyperlink"/>
                <w:noProof/>
                <w:lang w:val="mk-MK"/>
              </w:rPr>
              <w:t>Прилог 12</w:t>
            </w:r>
            <w:r w:rsidRPr="00917194">
              <w:rPr>
                <w:rStyle w:val="Hyperlink"/>
                <w:noProof/>
                <w:lang w:val="en-US"/>
              </w:rPr>
              <w:t xml:space="preserve">: </w:t>
            </w:r>
            <w:r w:rsidRPr="00917194">
              <w:rPr>
                <w:rStyle w:val="Hyperlink"/>
                <w:noProof/>
                <w:lang w:val="mk-MK"/>
              </w:rPr>
              <w:t>Студија на случај 1-Операционализација на деловната стратегија и мерење на нејзиниот успех преку вештачка интелигенција</w:t>
            </w:r>
            <w:r>
              <w:rPr>
                <w:noProof/>
                <w:webHidden/>
              </w:rPr>
              <w:tab/>
            </w:r>
            <w:r>
              <w:rPr>
                <w:noProof/>
                <w:webHidden/>
              </w:rPr>
              <w:fldChar w:fldCharType="begin"/>
            </w:r>
            <w:r>
              <w:rPr>
                <w:noProof/>
                <w:webHidden/>
              </w:rPr>
              <w:instrText xml:space="preserve"> PAGEREF _Toc230524003 \h </w:instrText>
            </w:r>
            <w:r>
              <w:rPr>
                <w:noProof/>
                <w:webHidden/>
              </w:rPr>
            </w:r>
            <w:r>
              <w:rPr>
                <w:noProof/>
                <w:webHidden/>
              </w:rPr>
              <w:fldChar w:fldCharType="separate"/>
            </w:r>
            <w:r w:rsidR="0000720E">
              <w:rPr>
                <w:noProof/>
                <w:webHidden/>
              </w:rPr>
              <w:t>- 363 -</w:t>
            </w:r>
            <w:r>
              <w:rPr>
                <w:noProof/>
                <w:webHidden/>
              </w:rPr>
              <w:fldChar w:fldCharType="end"/>
            </w:r>
          </w:hyperlink>
        </w:p>
        <w:p w14:paraId="6E79B95B" w14:textId="173C7EA9"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4" w:history="1">
            <w:r w:rsidRPr="00917194">
              <w:rPr>
                <w:rStyle w:val="Hyperlink"/>
                <w:noProof/>
                <w:lang w:val="mk-MK"/>
              </w:rPr>
              <w:t>Прилог 13</w:t>
            </w:r>
            <w:r w:rsidRPr="00917194">
              <w:rPr>
                <w:rStyle w:val="Hyperlink"/>
                <w:noProof/>
                <w:lang w:val="en-US"/>
              </w:rPr>
              <w:t xml:space="preserve">: </w:t>
            </w:r>
            <w:r w:rsidRPr="00917194">
              <w:rPr>
                <w:rStyle w:val="Hyperlink"/>
                <w:noProof/>
                <w:lang w:val="mk-MK"/>
              </w:rPr>
              <w:t>Студија на случај 2-Акционерските права сè повеќе се остваруваат преку алгоритамски посредници</w:t>
            </w:r>
            <w:r>
              <w:rPr>
                <w:noProof/>
                <w:webHidden/>
              </w:rPr>
              <w:tab/>
            </w:r>
            <w:r>
              <w:rPr>
                <w:noProof/>
                <w:webHidden/>
              </w:rPr>
              <w:fldChar w:fldCharType="begin"/>
            </w:r>
            <w:r>
              <w:rPr>
                <w:noProof/>
                <w:webHidden/>
              </w:rPr>
              <w:instrText xml:space="preserve"> PAGEREF _Toc230524004 \h </w:instrText>
            </w:r>
            <w:r>
              <w:rPr>
                <w:noProof/>
                <w:webHidden/>
              </w:rPr>
            </w:r>
            <w:r>
              <w:rPr>
                <w:noProof/>
                <w:webHidden/>
              </w:rPr>
              <w:fldChar w:fldCharType="separate"/>
            </w:r>
            <w:r w:rsidR="0000720E">
              <w:rPr>
                <w:noProof/>
                <w:webHidden/>
              </w:rPr>
              <w:t>- 365 -</w:t>
            </w:r>
            <w:r>
              <w:rPr>
                <w:noProof/>
                <w:webHidden/>
              </w:rPr>
              <w:fldChar w:fldCharType="end"/>
            </w:r>
          </w:hyperlink>
        </w:p>
        <w:p w14:paraId="4EC8C813" w14:textId="061F7BEC"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5" w:history="1">
            <w:r w:rsidRPr="00917194">
              <w:rPr>
                <w:rStyle w:val="Hyperlink"/>
                <w:noProof/>
                <w:lang w:val="mk-MK"/>
              </w:rPr>
              <w:t>Прилог 14</w:t>
            </w:r>
            <w:r w:rsidRPr="00917194">
              <w:rPr>
                <w:rStyle w:val="Hyperlink"/>
                <w:noProof/>
                <w:lang w:val="en-US"/>
              </w:rPr>
              <w:t xml:space="preserve">: </w:t>
            </w:r>
            <w:r w:rsidRPr="00917194">
              <w:rPr>
                <w:rStyle w:val="Hyperlink"/>
                <w:noProof/>
                <w:lang w:val="mk-MK"/>
              </w:rPr>
              <w:t>Студија на случај 3-Доктринални тензии предизвикани од вештачката интелигенција кога се користи за учество на акционерите</w:t>
            </w:r>
            <w:r>
              <w:rPr>
                <w:noProof/>
                <w:webHidden/>
              </w:rPr>
              <w:tab/>
            </w:r>
            <w:r>
              <w:rPr>
                <w:noProof/>
                <w:webHidden/>
              </w:rPr>
              <w:fldChar w:fldCharType="begin"/>
            </w:r>
            <w:r>
              <w:rPr>
                <w:noProof/>
                <w:webHidden/>
              </w:rPr>
              <w:instrText xml:space="preserve"> PAGEREF _Toc230524005 \h </w:instrText>
            </w:r>
            <w:r>
              <w:rPr>
                <w:noProof/>
                <w:webHidden/>
              </w:rPr>
            </w:r>
            <w:r>
              <w:rPr>
                <w:noProof/>
                <w:webHidden/>
              </w:rPr>
              <w:fldChar w:fldCharType="separate"/>
            </w:r>
            <w:r w:rsidR="0000720E">
              <w:rPr>
                <w:noProof/>
                <w:webHidden/>
              </w:rPr>
              <w:t>- 368 -</w:t>
            </w:r>
            <w:r>
              <w:rPr>
                <w:noProof/>
                <w:webHidden/>
              </w:rPr>
              <w:fldChar w:fldCharType="end"/>
            </w:r>
          </w:hyperlink>
        </w:p>
        <w:p w14:paraId="07B07006" w14:textId="6DB79EE2" w:rsidR="0087719A" w:rsidRDefault="0087719A">
          <w:pPr>
            <w:pStyle w:val="TOC1"/>
            <w:rPr>
              <w:rFonts w:asciiTheme="minorHAnsi" w:eastAsiaTheme="minorEastAsia" w:hAnsiTheme="minorHAnsi" w:cstheme="minorBidi"/>
              <w:noProof/>
              <w:kern w:val="2"/>
              <w:sz w:val="24"/>
              <w:szCs w:val="24"/>
              <w:lang w:val="en-US"/>
              <w14:ligatures w14:val="standardContextual"/>
            </w:rPr>
          </w:pPr>
          <w:hyperlink w:anchor="_Toc230524006" w:history="1">
            <w:r w:rsidRPr="00917194">
              <w:rPr>
                <w:rStyle w:val="Hyperlink"/>
                <w:noProof/>
                <w:lang w:val="mk-MK"/>
              </w:rPr>
              <w:t>Прилог 15</w:t>
            </w:r>
            <w:r w:rsidRPr="00917194">
              <w:rPr>
                <w:rStyle w:val="Hyperlink"/>
                <w:noProof/>
                <w:lang w:val="en-US"/>
              </w:rPr>
              <w:t xml:space="preserve">: </w:t>
            </w:r>
            <w:r w:rsidRPr="00917194">
              <w:rPr>
                <w:rStyle w:val="Hyperlink"/>
                <w:noProof/>
                <w:lang w:val="mk-MK"/>
              </w:rPr>
              <w:t>Студија на случај 4-Споредба на заштитните мерки за управување</w:t>
            </w:r>
            <w:r>
              <w:rPr>
                <w:noProof/>
                <w:webHidden/>
              </w:rPr>
              <w:tab/>
            </w:r>
            <w:r>
              <w:rPr>
                <w:noProof/>
                <w:webHidden/>
              </w:rPr>
              <w:fldChar w:fldCharType="begin"/>
            </w:r>
            <w:r>
              <w:rPr>
                <w:noProof/>
                <w:webHidden/>
              </w:rPr>
              <w:instrText xml:space="preserve"> PAGEREF _Toc230524006 \h </w:instrText>
            </w:r>
            <w:r>
              <w:rPr>
                <w:noProof/>
                <w:webHidden/>
              </w:rPr>
            </w:r>
            <w:r>
              <w:rPr>
                <w:noProof/>
                <w:webHidden/>
              </w:rPr>
              <w:fldChar w:fldCharType="separate"/>
            </w:r>
            <w:r w:rsidR="0000720E">
              <w:rPr>
                <w:noProof/>
                <w:webHidden/>
              </w:rPr>
              <w:t>- 370 -</w:t>
            </w:r>
            <w:r>
              <w:rPr>
                <w:noProof/>
                <w:webHidden/>
              </w:rPr>
              <w:fldChar w:fldCharType="end"/>
            </w:r>
          </w:hyperlink>
        </w:p>
        <w:p w14:paraId="6961BD99" w14:textId="16C657F8" w:rsidR="00E03F3B" w:rsidRPr="00555949" w:rsidRDefault="00ED2B59" w:rsidP="00555949">
          <w:r w:rsidRPr="00F53881">
            <w:rPr>
              <w:b/>
              <w:bCs/>
              <w:noProof/>
            </w:rPr>
            <w:fldChar w:fldCharType="end"/>
          </w:r>
        </w:p>
      </w:sdtContent>
    </w:sdt>
    <w:p w14:paraId="13146A6E" w14:textId="77777777" w:rsidR="001F2669" w:rsidRDefault="001F2669" w:rsidP="001075F9">
      <w:pPr>
        <w:pStyle w:val="BodyText"/>
        <w:rPr>
          <w:lang w:val="mk-MK"/>
        </w:rPr>
      </w:pPr>
    </w:p>
    <w:p w14:paraId="6C628E36" w14:textId="77777777" w:rsidR="001F2669" w:rsidRDefault="001F2669" w:rsidP="001075F9">
      <w:pPr>
        <w:pStyle w:val="BodyText"/>
        <w:rPr>
          <w:lang w:val="mk-MK"/>
        </w:rPr>
      </w:pPr>
    </w:p>
    <w:p w14:paraId="5FA2980A" w14:textId="77777777" w:rsidR="001F2669" w:rsidRDefault="001F2669" w:rsidP="001075F9">
      <w:pPr>
        <w:pStyle w:val="BodyText"/>
        <w:rPr>
          <w:lang w:val="mk-MK"/>
        </w:rPr>
      </w:pPr>
    </w:p>
    <w:p w14:paraId="1C499FA7" w14:textId="77777777" w:rsidR="001F2669" w:rsidRDefault="001F2669" w:rsidP="001075F9">
      <w:pPr>
        <w:pStyle w:val="BodyText"/>
        <w:rPr>
          <w:lang w:val="mk-MK"/>
        </w:rPr>
      </w:pPr>
    </w:p>
    <w:p w14:paraId="0B59BBBE" w14:textId="77777777" w:rsidR="008335EC" w:rsidRDefault="008335EC" w:rsidP="001075F9">
      <w:pPr>
        <w:pStyle w:val="BodyText"/>
        <w:rPr>
          <w:lang w:val="mk-MK"/>
        </w:rPr>
      </w:pPr>
    </w:p>
    <w:p w14:paraId="45B2118E" w14:textId="77777777" w:rsidR="008335EC" w:rsidRDefault="008335EC" w:rsidP="001075F9">
      <w:pPr>
        <w:pStyle w:val="BodyText"/>
        <w:rPr>
          <w:lang w:val="mk-MK"/>
        </w:rPr>
      </w:pPr>
    </w:p>
    <w:p w14:paraId="1EF35F5F" w14:textId="77777777" w:rsidR="008335EC" w:rsidRDefault="008335EC" w:rsidP="001075F9">
      <w:pPr>
        <w:pStyle w:val="BodyText"/>
        <w:rPr>
          <w:lang w:val="mk-MK"/>
        </w:rPr>
      </w:pPr>
    </w:p>
    <w:p w14:paraId="19F96B5C" w14:textId="77777777" w:rsidR="008335EC" w:rsidRDefault="008335EC" w:rsidP="001075F9">
      <w:pPr>
        <w:pStyle w:val="BodyText"/>
        <w:rPr>
          <w:lang w:val="mk-MK"/>
        </w:rPr>
      </w:pPr>
    </w:p>
    <w:p w14:paraId="3F11FC7B" w14:textId="77777777" w:rsidR="008335EC" w:rsidRDefault="008335EC" w:rsidP="001075F9">
      <w:pPr>
        <w:pStyle w:val="BodyText"/>
        <w:rPr>
          <w:lang w:val="mk-MK"/>
        </w:rPr>
      </w:pPr>
    </w:p>
    <w:p w14:paraId="1C198BAE" w14:textId="77777777" w:rsidR="008335EC" w:rsidRDefault="008335EC" w:rsidP="001075F9">
      <w:pPr>
        <w:pStyle w:val="BodyText"/>
        <w:rPr>
          <w:lang w:val="mk-MK"/>
        </w:rPr>
      </w:pPr>
    </w:p>
    <w:p w14:paraId="1FE7955B" w14:textId="77777777" w:rsidR="008335EC" w:rsidRDefault="008335EC" w:rsidP="001075F9">
      <w:pPr>
        <w:pStyle w:val="BodyText"/>
        <w:rPr>
          <w:lang w:val="mk-MK"/>
        </w:rPr>
      </w:pPr>
    </w:p>
    <w:p w14:paraId="291A0ACE" w14:textId="77777777" w:rsidR="008335EC" w:rsidRDefault="008335EC" w:rsidP="001075F9">
      <w:pPr>
        <w:pStyle w:val="BodyText"/>
        <w:rPr>
          <w:lang w:val="mk-MK"/>
        </w:rPr>
      </w:pPr>
    </w:p>
    <w:p w14:paraId="75930BC0" w14:textId="77777777" w:rsidR="008335EC" w:rsidRDefault="008335EC" w:rsidP="001075F9">
      <w:pPr>
        <w:pStyle w:val="BodyText"/>
        <w:rPr>
          <w:lang w:val="mk-MK"/>
        </w:rPr>
      </w:pPr>
    </w:p>
    <w:p w14:paraId="4F4F3F42" w14:textId="77777777" w:rsidR="008335EC" w:rsidRDefault="008335EC" w:rsidP="001075F9">
      <w:pPr>
        <w:pStyle w:val="BodyText"/>
        <w:rPr>
          <w:lang w:val="mk-MK"/>
        </w:rPr>
      </w:pPr>
    </w:p>
    <w:p w14:paraId="4CF86168" w14:textId="77777777" w:rsidR="008335EC" w:rsidRDefault="008335EC" w:rsidP="001075F9">
      <w:pPr>
        <w:pStyle w:val="BodyText"/>
        <w:rPr>
          <w:lang w:val="mk-MK"/>
        </w:rPr>
      </w:pPr>
    </w:p>
    <w:p w14:paraId="09F08406" w14:textId="77777777" w:rsidR="008335EC" w:rsidRDefault="008335EC" w:rsidP="001075F9">
      <w:pPr>
        <w:pStyle w:val="BodyText"/>
        <w:rPr>
          <w:lang w:val="mk-MK"/>
        </w:rPr>
      </w:pPr>
    </w:p>
    <w:p w14:paraId="4EB4F30F" w14:textId="77777777" w:rsidR="008335EC" w:rsidRDefault="008335EC" w:rsidP="001075F9">
      <w:pPr>
        <w:pStyle w:val="BodyText"/>
        <w:rPr>
          <w:lang w:val="mk-MK"/>
        </w:rPr>
      </w:pPr>
    </w:p>
    <w:p w14:paraId="63A2D442" w14:textId="77777777" w:rsidR="008335EC" w:rsidRDefault="008335EC" w:rsidP="001075F9">
      <w:pPr>
        <w:pStyle w:val="BodyText"/>
        <w:rPr>
          <w:lang w:val="mk-MK"/>
        </w:rPr>
      </w:pPr>
    </w:p>
    <w:p w14:paraId="3772F6A4" w14:textId="77777777" w:rsidR="008335EC" w:rsidRDefault="008335EC" w:rsidP="001075F9">
      <w:pPr>
        <w:pStyle w:val="BodyText"/>
        <w:rPr>
          <w:lang w:val="mk-MK"/>
        </w:rPr>
      </w:pPr>
    </w:p>
    <w:p w14:paraId="08F724AA" w14:textId="77777777" w:rsidR="008335EC" w:rsidRDefault="008335EC" w:rsidP="001075F9">
      <w:pPr>
        <w:pStyle w:val="BodyText"/>
        <w:rPr>
          <w:lang w:val="mk-MK"/>
        </w:rPr>
      </w:pPr>
    </w:p>
    <w:p w14:paraId="6F6A9808" w14:textId="77777777" w:rsidR="008335EC" w:rsidRDefault="008335EC" w:rsidP="001075F9">
      <w:pPr>
        <w:pStyle w:val="BodyText"/>
        <w:rPr>
          <w:lang w:val="mk-MK"/>
        </w:rPr>
      </w:pPr>
    </w:p>
    <w:p w14:paraId="57097E6A" w14:textId="77777777" w:rsidR="008335EC" w:rsidRDefault="008335EC" w:rsidP="001075F9">
      <w:pPr>
        <w:pStyle w:val="BodyText"/>
        <w:rPr>
          <w:lang w:val="mk-MK"/>
        </w:rPr>
      </w:pPr>
    </w:p>
    <w:p w14:paraId="0319A705" w14:textId="77777777" w:rsidR="008335EC" w:rsidRDefault="008335EC" w:rsidP="001075F9">
      <w:pPr>
        <w:pStyle w:val="BodyText"/>
        <w:rPr>
          <w:lang w:val="mk-MK"/>
        </w:rPr>
      </w:pPr>
    </w:p>
    <w:p w14:paraId="4D45AA04" w14:textId="77777777" w:rsidR="008335EC" w:rsidRDefault="008335EC" w:rsidP="001075F9">
      <w:pPr>
        <w:pStyle w:val="BodyText"/>
        <w:rPr>
          <w:lang w:val="mk-MK"/>
        </w:rPr>
      </w:pPr>
    </w:p>
    <w:p w14:paraId="481D3875" w14:textId="77777777" w:rsidR="008335EC" w:rsidRDefault="008335EC" w:rsidP="001075F9">
      <w:pPr>
        <w:pStyle w:val="BodyText"/>
        <w:rPr>
          <w:lang w:val="mk-MK"/>
        </w:rPr>
      </w:pPr>
    </w:p>
    <w:p w14:paraId="398D7FC3" w14:textId="77777777" w:rsidR="008335EC" w:rsidRDefault="008335EC" w:rsidP="001075F9">
      <w:pPr>
        <w:pStyle w:val="BodyText"/>
        <w:rPr>
          <w:lang w:val="mk-MK"/>
        </w:rPr>
      </w:pPr>
    </w:p>
    <w:p w14:paraId="3195428F" w14:textId="77777777" w:rsidR="008335EC" w:rsidRDefault="008335EC" w:rsidP="001075F9">
      <w:pPr>
        <w:pStyle w:val="BodyText"/>
        <w:rPr>
          <w:lang w:val="mk-MK"/>
        </w:rPr>
      </w:pPr>
    </w:p>
    <w:p w14:paraId="0AE7DFCC" w14:textId="77777777" w:rsidR="008335EC" w:rsidRDefault="008335EC" w:rsidP="001075F9">
      <w:pPr>
        <w:pStyle w:val="BodyText"/>
        <w:rPr>
          <w:lang w:val="mk-MK"/>
        </w:rPr>
      </w:pPr>
    </w:p>
    <w:p w14:paraId="33D39DD5" w14:textId="77777777" w:rsidR="008335EC" w:rsidRDefault="008335EC" w:rsidP="001075F9">
      <w:pPr>
        <w:pStyle w:val="BodyText"/>
        <w:rPr>
          <w:lang w:val="mk-MK"/>
        </w:rPr>
      </w:pPr>
    </w:p>
    <w:p w14:paraId="27FBE952" w14:textId="77777777" w:rsidR="008335EC" w:rsidRDefault="008335EC" w:rsidP="001075F9">
      <w:pPr>
        <w:pStyle w:val="BodyText"/>
        <w:rPr>
          <w:lang w:val="mk-MK"/>
        </w:rPr>
      </w:pPr>
    </w:p>
    <w:p w14:paraId="7EEB96E4" w14:textId="7BAFA493" w:rsidR="00CB7709" w:rsidRPr="00271B57" w:rsidRDefault="00143238" w:rsidP="006B7513">
      <w:pPr>
        <w:pStyle w:val="Heading1"/>
        <w:ind w:left="2278" w:firstLine="602"/>
        <w:rPr>
          <w:lang w:val="mk-MK"/>
        </w:rPr>
      </w:pPr>
      <w:bookmarkStart w:id="0" w:name="_Toc230523853"/>
      <w:r>
        <w:rPr>
          <w:lang w:val="mk-MK"/>
        </w:rPr>
        <w:lastRenderedPageBreak/>
        <w:t>Табела на кратенки</w:t>
      </w:r>
      <w:r w:rsidR="00271B57">
        <w:rPr>
          <w:lang w:val="en-US"/>
        </w:rPr>
        <w:t xml:space="preserve"> </w:t>
      </w:r>
      <w:r w:rsidR="00271B57">
        <w:rPr>
          <w:lang w:val="mk-MK"/>
        </w:rPr>
        <w:t>и значење</w:t>
      </w:r>
      <w:bookmarkEnd w:id="0"/>
    </w:p>
    <w:p w14:paraId="030B2517" w14:textId="77777777" w:rsidR="00CB7709" w:rsidRDefault="00CB7709" w:rsidP="00CB7709">
      <w:pPr>
        <w:pStyle w:val="BodyText"/>
        <w:rPr>
          <w:lang w:val="mk-MK"/>
        </w:rPr>
      </w:pPr>
    </w:p>
    <w:p w14:paraId="427F0D08" w14:textId="77777777" w:rsidR="00F360C1" w:rsidRDefault="00F360C1" w:rsidP="00CB7709">
      <w:pPr>
        <w:pStyle w:val="BodyText"/>
        <w:rPr>
          <w:lang w:val="mk-MK"/>
        </w:rPr>
      </w:pPr>
    </w:p>
    <w:p w14:paraId="0564D139" w14:textId="77777777" w:rsidR="00F360C1" w:rsidRDefault="00F360C1" w:rsidP="00CB7709">
      <w:pPr>
        <w:pStyle w:val="BodyText"/>
        <w:rPr>
          <w:lang w:val="mk-MK"/>
        </w:rPr>
      </w:pPr>
    </w:p>
    <w:p w14:paraId="28947B59" w14:textId="0BFC5985" w:rsidR="00271B57" w:rsidRPr="00271B57" w:rsidRDefault="00271B57" w:rsidP="006B7513">
      <w:pPr>
        <w:pStyle w:val="BodyText"/>
        <w:ind w:firstLine="720"/>
        <w:rPr>
          <w:lang w:val="en-US"/>
        </w:rPr>
      </w:pPr>
      <w:r>
        <w:rPr>
          <w:lang w:val="mk-MK"/>
        </w:rPr>
        <w:t>Акционери</w:t>
      </w:r>
      <w:r>
        <w:rPr>
          <w:lang w:val="mk-MK"/>
        </w:rPr>
        <w:tab/>
      </w:r>
      <w:r>
        <w:rPr>
          <w:lang w:val="mk-MK"/>
        </w:rPr>
        <w:tab/>
      </w:r>
      <w:r>
        <w:rPr>
          <w:lang w:val="en-US"/>
        </w:rPr>
        <w:t>Shareholders</w:t>
      </w:r>
    </w:p>
    <w:p w14:paraId="78752F22" w14:textId="0D8453EE" w:rsidR="00ED2097" w:rsidRDefault="00743672" w:rsidP="006B7513">
      <w:pPr>
        <w:pStyle w:val="BodyText"/>
        <w:ind w:firstLine="720"/>
        <w:rPr>
          <w:lang w:val="mk-MK"/>
        </w:rPr>
      </w:pPr>
      <w:r>
        <w:rPr>
          <w:lang w:val="mk-MK"/>
        </w:rPr>
        <w:t>БР (</w:t>
      </w:r>
      <w:r w:rsidR="00ED2097">
        <w:rPr>
          <w:lang w:val="en-US"/>
        </w:rPr>
        <w:t>BR</w:t>
      </w:r>
      <w:r>
        <w:rPr>
          <w:lang w:val="mk-MK"/>
        </w:rPr>
        <w:t>)</w:t>
      </w:r>
      <w:r w:rsidR="00ED2097">
        <w:rPr>
          <w:lang w:val="en-US"/>
        </w:rPr>
        <w:tab/>
      </w:r>
      <w:r w:rsidR="00ED2097">
        <w:rPr>
          <w:lang w:val="en-US"/>
        </w:rPr>
        <w:tab/>
        <w:t xml:space="preserve">Board Responsibilities </w:t>
      </w:r>
    </w:p>
    <w:p w14:paraId="7840A9C7" w14:textId="174215F6" w:rsidR="00E808DC" w:rsidRDefault="00E808DC" w:rsidP="006B7513">
      <w:pPr>
        <w:pStyle w:val="BodyText"/>
        <w:ind w:firstLine="720"/>
        <w:rPr>
          <w:lang w:val="mk-MK"/>
        </w:rPr>
      </w:pPr>
      <w:r>
        <w:rPr>
          <w:lang w:val="mk-MK"/>
        </w:rPr>
        <w:t>ВПБЧП</w:t>
      </w:r>
      <w:r>
        <w:rPr>
          <w:lang w:val="mk-MK"/>
        </w:rPr>
        <w:tab/>
      </w:r>
      <w:r>
        <w:rPr>
          <w:lang w:val="mk-MK"/>
        </w:rPr>
        <w:tab/>
      </w:r>
      <w:r w:rsidRPr="00E808DC">
        <w:rPr>
          <w:lang w:val="mk-MK"/>
        </w:rPr>
        <w:t xml:space="preserve">Водечките принципи на ОН за бизнис и човекови права </w:t>
      </w:r>
    </w:p>
    <w:p w14:paraId="113982E4" w14:textId="392084F4" w:rsidR="00E808DC" w:rsidRDefault="00E808DC" w:rsidP="006B7513">
      <w:pPr>
        <w:pStyle w:val="BodyText"/>
        <w:ind w:firstLine="720"/>
        <w:rPr>
          <w:lang w:val="en-US"/>
        </w:rPr>
      </w:pPr>
      <w:r>
        <w:rPr>
          <w:lang w:val="mk-MK"/>
        </w:rPr>
        <w:tab/>
      </w:r>
      <w:r>
        <w:rPr>
          <w:lang w:val="mk-MK"/>
        </w:rPr>
        <w:tab/>
      </w:r>
      <w:r>
        <w:rPr>
          <w:lang w:val="mk-MK"/>
        </w:rPr>
        <w:tab/>
      </w:r>
      <w:r>
        <w:rPr>
          <w:lang w:val="en-US"/>
        </w:rPr>
        <w:t>UN Guiding Principles on Business and Human Rights</w:t>
      </w:r>
    </w:p>
    <w:p w14:paraId="6E9416EA" w14:textId="768BFA22" w:rsidR="00A63492" w:rsidRDefault="00A63492" w:rsidP="006B7513">
      <w:pPr>
        <w:pStyle w:val="BodyText"/>
        <w:ind w:firstLine="720"/>
        <w:rPr>
          <w:lang w:val="mk-MK"/>
        </w:rPr>
      </w:pPr>
      <w:r>
        <w:rPr>
          <w:lang w:val="mk-MK"/>
        </w:rPr>
        <w:t>ГК</w:t>
      </w:r>
      <w:r>
        <w:rPr>
          <w:lang w:val="mk-MK"/>
        </w:rPr>
        <w:tab/>
      </w:r>
      <w:r>
        <w:rPr>
          <w:lang w:val="mk-MK"/>
        </w:rPr>
        <w:tab/>
      </w:r>
      <w:r>
        <w:rPr>
          <w:lang w:val="mk-MK"/>
        </w:rPr>
        <w:tab/>
        <w:t>Глобален компакт</w:t>
      </w:r>
    </w:p>
    <w:p w14:paraId="113CC13B" w14:textId="0EDFCBC3" w:rsidR="00A63492" w:rsidRPr="00A63492" w:rsidRDefault="00A63492" w:rsidP="006B7513">
      <w:pPr>
        <w:pStyle w:val="BodyText"/>
        <w:ind w:firstLine="720"/>
        <w:rPr>
          <w:lang w:val="en-US"/>
        </w:rPr>
      </w:pPr>
      <w:r>
        <w:rPr>
          <w:lang w:val="mk-MK"/>
        </w:rPr>
        <w:tab/>
      </w:r>
      <w:r>
        <w:rPr>
          <w:lang w:val="mk-MK"/>
        </w:rPr>
        <w:tab/>
      </w:r>
      <w:r>
        <w:rPr>
          <w:lang w:val="mk-MK"/>
        </w:rPr>
        <w:tab/>
      </w:r>
      <w:r>
        <w:rPr>
          <w:lang w:val="en-US"/>
        </w:rPr>
        <w:t>Global Compact</w:t>
      </w:r>
    </w:p>
    <w:p w14:paraId="23AE9E24" w14:textId="29FADA6A" w:rsidR="00116530" w:rsidRDefault="00116530" w:rsidP="00116530">
      <w:pPr>
        <w:pStyle w:val="BodyText"/>
        <w:ind w:firstLine="720"/>
        <w:rPr>
          <w:lang w:val="mk-MK"/>
        </w:rPr>
      </w:pPr>
      <w:r>
        <w:rPr>
          <w:lang w:val="mk-MK"/>
        </w:rPr>
        <w:t>ДВК</w:t>
      </w:r>
      <w:r>
        <w:rPr>
          <w:lang w:val="mk-MK"/>
        </w:rPr>
        <w:tab/>
      </w:r>
      <w:r>
        <w:rPr>
          <w:lang w:val="mk-MK"/>
        </w:rPr>
        <w:tab/>
      </w:r>
      <w:r>
        <w:rPr>
          <w:lang w:val="mk-MK"/>
        </w:rPr>
        <w:tab/>
        <w:t>Должно внимание на компанииите</w:t>
      </w:r>
    </w:p>
    <w:p w14:paraId="05FDCDA8" w14:textId="3463072A" w:rsidR="00116530" w:rsidRDefault="00116530" w:rsidP="00116530">
      <w:pPr>
        <w:pStyle w:val="BodyText"/>
        <w:ind w:firstLine="720"/>
        <w:rPr>
          <w:lang w:val="mk-MK"/>
        </w:rPr>
      </w:pPr>
      <w:r>
        <w:rPr>
          <w:lang w:val="mk-MK"/>
        </w:rPr>
        <w:tab/>
      </w:r>
      <w:r>
        <w:rPr>
          <w:lang w:val="mk-MK"/>
        </w:rPr>
        <w:tab/>
      </w:r>
      <w:r>
        <w:rPr>
          <w:lang w:val="mk-MK"/>
        </w:rPr>
        <w:tab/>
      </w:r>
      <w:r>
        <w:rPr>
          <w:lang w:val="en-US"/>
        </w:rPr>
        <w:t>Due diligence</w:t>
      </w:r>
    </w:p>
    <w:p w14:paraId="449A26C5" w14:textId="3921EC4C" w:rsidR="003628B1" w:rsidRDefault="003628B1" w:rsidP="00116530">
      <w:pPr>
        <w:pStyle w:val="BodyText"/>
        <w:ind w:firstLine="720"/>
        <w:rPr>
          <w:lang w:val="mk-MK"/>
        </w:rPr>
      </w:pPr>
      <w:r>
        <w:rPr>
          <w:lang w:val="mk-MK"/>
        </w:rPr>
        <w:t>ДКО</w:t>
      </w:r>
      <w:r>
        <w:rPr>
          <w:lang w:val="mk-MK"/>
        </w:rPr>
        <w:tab/>
      </w:r>
      <w:r>
        <w:rPr>
          <w:lang w:val="mk-MK"/>
        </w:rPr>
        <w:tab/>
      </w:r>
      <w:r>
        <w:rPr>
          <w:lang w:val="mk-MK"/>
        </w:rPr>
        <w:tab/>
        <w:t>Директива за корпоративна одржливост</w:t>
      </w:r>
    </w:p>
    <w:p w14:paraId="06ECA18C" w14:textId="66975EDB" w:rsidR="003628B1" w:rsidRPr="003628B1" w:rsidRDefault="003628B1" w:rsidP="00116530">
      <w:pPr>
        <w:pStyle w:val="BodyText"/>
        <w:ind w:firstLine="720"/>
        <w:rPr>
          <w:lang w:val="mk-MK"/>
        </w:rPr>
      </w:pPr>
      <w:r>
        <w:rPr>
          <w:lang w:val="mk-MK"/>
        </w:rPr>
        <w:tab/>
      </w:r>
      <w:r>
        <w:rPr>
          <w:lang w:val="mk-MK"/>
        </w:rPr>
        <w:tab/>
      </w:r>
      <w:r>
        <w:rPr>
          <w:lang w:val="mk-MK"/>
        </w:rPr>
        <w:tab/>
      </w:r>
      <w:r w:rsidR="00A43A6B" w:rsidRPr="00A43A6B">
        <w:rPr>
          <w:lang w:val="mk-MK"/>
        </w:rPr>
        <w:t>Corporate Sustainability Reporting Directive</w:t>
      </w:r>
    </w:p>
    <w:p w14:paraId="60EC7EF3" w14:textId="70807FAB" w:rsidR="00F6713B" w:rsidRDefault="00F6713B" w:rsidP="006B7513">
      <w:pPr>
        <w:pStyle w:val="BodyText"/>
        <w:ind w:firstLine="720"/>
        <w:rPr>
          <w:lang w:val="mk-MK"/>
        </w:rPr>
      </w:pPr>
      <w:r>
        <w:rPr>
          <w:lang w:val="mk-MK"/>
        </w:rPr>
        <w:t>ЕБРР</w:t>
      </w:r>
      <w:r w:rsidR="001A6E17">
        <w:rPr>
          <w:lang w:val="mk-MK"/>
        </w:rPr>
        <w:tab/>
      </w:r>
      <w:r w:rsidR="001A6E17">
        <w:rPr>
          <w:lang w:val="mk-MK"/>
        </w:rPr>
        <w:tab/>
      </w:r>
      <w:r w:rsidR="001A6E17">
        <w:rPr>
          <w:lang w:val="mk-MK"/>
        </w:rPr>
        <w:tab/>
      </w:r>
      <w:r w:rsidR="001A6E17" w:rsidRPr="001A6E17">
        <w:rPr>
          <w:lang w:val="mk-MK"/>
        </w:rPr>
        <w:t>Европска банка за реконструкција и развој</w:t>
      </w:r>
    </w:p>
    <w:p w14:paraId="66544722" w14:textId="06D3E7C3" w:rsidR="00855E7F" w:rsidRDefault="00855E7F" w:rsidP="006B7513">
      <w:pPr>
        <w:pStyle w:val="BodyText"/>
        <w:ind w:firstLine="720"/>
        <w:rPr>
          <w:lang w:val="en-US"/>
        </w:rPr>
      </w:pPr>
      <w:r>
        <w:rPr>
          <w:lang w:val="mk-MK"/>
        </w:rPr>
        <w:t>ЕТД</w:t>
      </w:r>
      <w:r>
        <w:rPr>
          <w:lang w:val="mk-MK"/>
        </w:rPr>
        <w:tab/>
      </w:r>
      <w:r>
        <w:rPr>
          <w:lang w:val="mk-MK"/>
        </w:rPr>
        <w:tab/>
      </w:r>
      <w:r>
        <w:rPr>
          <w:lang w:val="mk-MK"/>
        </w:rPr>
        <w:tab/>
        <w:t>Европско трговско друштво</w:t>
      </w:r>
    </w:p>
    <w:p w14:paraId="78771C94" w14:textId="70F249B9" w:rsidR="00A5254E" w:rsidRPr="00A5254E" w:rsidRDefault="00A5254E" w:rsidP="006B7513">
      <w:pPr>
        <w:pStyle w:val="BodyText"/>
        <w:ind w:firstLine="720"/>
        <w:rPr>
          <w:lang w:val="en-US"/>
        </w:rPr>
      </w:pPr>
      <w:r>
        <w:rPr>
          <w:lang w:val="en-US"/>
        </w:rPr>
        <w:tab/>
      </w:r>
      <w:r>
        <w:rPr>
          <w:lang w:val="en-US"/>
        </w:rPr>
        <w:tab/>
      </w:r>
      <w:r>
        <w:rPr>
          <w:lang w:val="en-US"/>
        </w:rPr>
        <w:tab/>
      </w:r>
      <w:r w:rsidR="00725FE3" w:rsidRPr="00725FE3">
        <w:rPr>
          <w:lang w:val="en-US"/>
        </w:rPr>
        <w:t>Societas Europaea</w:t>
      </w:r>
    </w:p>
    <w:p w14:paraId="71AE9E36" w14:textId="63FC5290" w:rsidR="00C33A39" w:rsidRDefault="00C33A39" w:rsidP="006B7513">
      <w:pPr>
        <w:pStyle w:val="BodyText"/>
        <w:ind w:firstLine="720"/>
        <w:rPr>
          <w:lang w:val="en-US"/>
        </w:rPr>
      </w:pPr>
      <w:r>
        <w:rPr>
          <w:lang w:val="mk-MK"/>
        </w:rPr>
        <w:t>ЕКЧП</w:t>
      </w:r>
      <w:r>
        <w:rPr>
          <w:lang w:val="mk-MK"/>
        </w:rPr>
        <w:tab/>
      </w:r>
      <w:r>
        <w:rPr>
          <w:lang w:val="mk-MK"/>
        </w:rPr>
        <w:tab/>
      </w:r>
      <w:r>
        <w:rPr>
          <w:lang w:val="mk-MK"/>
        </w:rPr>
        <w:tab/>
      </w:r>
      <w:r w:rsidR="00DE11D2" w:rsidRPr="00DE11D2">
        <w:rPr>
          <w:lang w:val="mk-MK"/>
        </w:rPr>
        <w:t xml:space="preserve">Европска конвенција за човекови права </w:t>
      </w:r>
    </w:p>
    <w:p w14:paraId="0A66E958" w14:textId="3064D2ED" w:rsidR="00725FE3" w:rsidRDefault="00725FE3" w:rsidP="006B7513">
      <w:pPr>
        <w:pStyle w:val="BodyText"/>
        <w:ind w:firstLine="720"/>
        <w:rPr>
          <w:lang w:val="mk-MK"/>
        </w:rPr>
      </w:pPr>
      <w:r>
        <w:rPr>
          <w:lang w:val="mk-MK"/>
        </w:rPr>
        <w:t>ЕКД</w:t>
      </w:r>
      <w:r>
        <w:rPr>
          <w:lang w:val="mk-MK"/>
        </w:rPr>
        <w:tab/>
      </w:r>
      <w:r>
        <w:rPr>
          <w:lang w:val="mk-MK"/>
        </w:rPr>
        <w:tab/>
      </w:r>
      <w:r>
        <w:rPr>
          <w:lang w:val="mk-MK"/>
        </w:rPr>
        <w:tab/>
        <w:t>Европско кооперативно друштво</w:t>
      </w:r>
    </w:p>
    <w:p w14:paraId="42091ECC" w14:textId="6A43F9B1" w:rsidR="00725FE3" w:rsidRPr="00725FE3" w:rsidRDefault="00390C87" w:rsidP="006B7513">
      <w:pPr>
        <w:pStyle w:val="BodyText"/>
        <w:ind w:firstLine="720"/>
        <w:rPr>
          <w:lang w:val="mk-MK"/>
        </w:rPr>
      </w:pPr>
      <w:r>
        <w:rPr>
          <w:lang w:val="mk-MK"/>
        </w:rPr>
        <w:tab/>
      </w:r>
      <w:r>
        <w:rPr>
          <w:lang w:val="mk-MK"/>
        </w:rPr>
        <w:tab/>
      </w:r>
      <w:r>
        <w:rPr>
          <w:lang w:val="mk-MK"/>
        </w:rPr>
        <w:tab/>
      </w:r>
      <w:r w:rsidRPr="00390C87">
        <w:rPr>
          <w:lang w:val="mk-MK"/>
        </w:rPr>
        <w:t>European Cooperative Society (SCE)</w:t>
      </w:r>
    </w:p>
    <w:p w14:paraId="6FBE7502" w14:textId="0FB21689" w:rsidR="008A5F9C" w:rsidRDefault="008A5F9C" w:rsidP="006B7513">
      <w:pPr>
        <w:pStyle w:val="BodyText"/>
        <w:ind w:firstLine="720"/>
        <w:rPr>
          <w:lang w:val="mk-MK"/>
        </w:rPr>
      </w:pPr>
      <w:r>
        <w:rPr>
          <w:lang w:val="mk-MK"/>
        </w:rPr>
        <w:t>ЕРС</w:t>
      </w:r>
      <w:r>
        <w:rPr>
          <w:lang w:val="mk-MK"/>
        </w:rPr>
        <w:tab/>
      </w:r>
      <w:r>
        <w:rPr>
          <w:lang w:val="mk-MK"/>
        </w:rPr>
        <w:tab/>
      </w:r>
      <w:r>
        <w:rPr>
          <w:lang w:val="mk-MK"/>
        </w:rPr>
        <w:tab/>
        <w:t>Европски работнички совет</w:t>
      </w:r>
    </w:p>
    <w:p w14:paraId="6A3EEDD4" w14:textId="0DAF00D2" w:rsidR="000C3A8B" w:rsidRDefault="000C3A8B" w:rsidP="006B7513">
      <w:pPr>
        <w:pStyle w:val="BodyText"/>
        <w:ind w:firstLine="720"/>
        <w:rPr>
          <w:lang w:val="mk-MK"/>
        </w:rPr>
      </w:pPr>
      <w:r>
        <w:rPr>
          <w:lang w:val="mk-MK"/>
        </w:rPr>
        <w:tab/>
      </w:r>
      <w:r>
        <w:rPr>
          <w:lang w:val="mk-MK"/>
        </w:rPr>
        <w:tab/>
      </w:r>
      <w:r>
        <w:rPr>
          <w:lang w:val="mk-MK"/>
        </w:rPr>
        <w:tab/>
      </w:r>
      <w:r w:rsidRPr="000C3A8B">
        <w:rPr>
          <w:lang w:val="mk-MK"/>
        </w:rPr>
        <w:t>European Works Councils</w:t>
      </w:r>
    </w:p>
    <w:p w14:paraId="124C47FA" w14:textId="380D428A" w:rsidR="00BD6F79" w:rsidRDefault="00BD6F79" w:rsidP="006B7513">
      <w:pPr>
        <w:pStyle w:val="BodyText"/>
        <w:ind w:firstLine="720"/>
        <w:rPr>
          <w:lang w:val="mk-MK"/>
        </w:rPr>
      </w:pPr>
      <w:r>
        <w:rPr>
          <w:lang w:val="mk-MK"/>
        </w:rPr>
        <w:t>ЕС</w:t>
      </w:r>
      <w:r w:rsidR="00640C8F">
        <w:rPr>
          <w:lang w:val="mk-MK"/>
        </w:rPr>
        <w:t>П</w:t>
      </w:r>
      <w:r>
        <w:rPr>
          <w:lang w:val="mk-MK"/>
        </w:rPr>
        <w:tab/>
      </w:r>
      <w:r>
        <w:rPr>
          <w:lang w:val="mk-MK"/>
        </w:rPr>
        <w:tab/>
      </w:r>
      <w:r>
        <w:rPr>
          <w:lang w:val="mk-MK"/>
        </w:rPr>
        <w:tab/>
      </w:r>
      <w:r w:rsidRPr="00687352">
        <w:rPr>
          <w:lang w:val="mk-MK"/>
        </w:rPr>
        <w:t xml:space="preserve">Европската социјална повелба </w:t>
      </w:r>
    </w:p>
    <w:p w14:paraId="6FA02FF4" w14:textId="5F8B17EC" w:rsidR="00AD5A0E" w:rsidRDefault="00AD5A0E" w:rsidP="00AD5A0E">
      <w:pPr>
        <w:pStyle w:val="BodyText"/>
        <w:ind w:firstLine="720"/>
        <w:rPr>
          <w:lang w:val="mk-MK"/>
        </w:rPr>
      </w:pPr>
      <w:r>
        <w:rPr>
          <w:lang w:val="mk-MK"/>
        </w:rPr>
        <w:t xml:space="preserve">ЕСОП </w:t>
      </w:r>
      <w:r>
        <w:rPr>
          <w:lang w:val="en-US"/>
        </w:rPr>
        <w:t>(ESOP)</w:t>
      </w:r>
      <w:r>
        <w:rPr>
          <w:lang w:val="mk-MK"/>
        </w:rPr>
        <w:tab/>
        <w:t>План за сопственост на акции од страна на вработените</w:t>
      </w:r>
    </w:p>
    <w:p w14:paraId="6821C109" w14:textId="60B4ABF9" w:rsidR="00AD5A0E" w:rsidRPr="00AD5A0E" w:rsidRDefault="00AD5A0E" w:rsidP="00AD5A0E">
      <w:pPr>
        <w:pStyle w:val="BodyText"/>
        <w:ind w:firstLine="720"/>
        <w:rPr>
          <w:lang w:val="mk-MK"/>
        </w:rPr>
      </w:pPr>
      <w:r>
        <w:rPr>
          <w:lang w:val="en-US"/>
        </w:rPr>
        <w:tab/>
      </w:r>
      <w:r>
        <w:rPr>
          <w:lang w:val="en-US"/>
        </w:rPr>
        <w:tab/>
      </w:r>
      <w:r>
        <w:rPr>
          <w:lang w:val="mk-MK"/>
        </w:rPr>
        <w:tab/>
      </w:r>
      <w:r w:rsidRPr="00127158">
        <w:rPr>
          <w:lang w:val="en-US"/>
        </w:rPr>
        <w:t xml:space="preserve">Employee Stock Ownership Plan </w:t>
      </w:r>
    </w:p>
    <w:p w14:paraId="7AEF683F" w14:textId="659CDBE4" w:rsidR="001063D7" w:rsidRDefault="001063D7" w:rsidP="006B7513">
      <w:pPr>
        <w:pStyle w:val="BodyText"/>
        <w:ind w:firstLine="720"/>
        <w:rPr>
          <w:lang w:val="mk-MK"/>
        </w:rPr>
      </w:pPr>
      <w:r>
        <w:rPr>
          <w:lang w:val="mk-MK"/>
        </w:rPr>
        <w:t>ЕСЧП</w:t>
      </w:r>
      <w:r>
        <w:rPr>
          <w:lang w:val="mk-MK"/>
        </w:rPr>
        <w:tab/>
      </w:r>
      <w:r>
        <w:rPr>
          <w:lang w:val="mk-MK"/>
        </w:rPr>
        <w:tab/>
      </w:r>
      <w:r>
        <w:rPr>
          <w:lang w:val="mk-MK"/>
        </w:rPr>
        <w:tab/>
      </w:r>
      <w:r w:rsidRPr="003469D5">
        <w:rPr>
          <w:lang w:val="mk-MK"/>
        </w:rPr>
        <w:t xml:space="preserve">Европскиот суд за човекови права </w:t>
      </w:r>
    </w:p>
    <w:p w14:paraId="04C1F165" w14:textId="488C71A5" w:rsidR="00DE11D2" w:rsidRDefault="00DE11D2" w:rsidP="00DE11D2">
      <w:pPr>
        <w:pStyle w:val="BodyText"/>
        <w:ind w:firstLine="720"/>
        <w:rPr>
          <w:lang w:val="mk-MK"/>
        </w:rPr>
      </w:pPr>
      <w:r>
        <w:rPr>
          <w:lang w:val="mk-MK"/>
        </w:rPr>
        <w:t>ЕУ</w:t>
      </w:r>
      <w:r>
        <w:rPr>
          <w:lang w:val="mk-MK"/>
        </w:rPr>
        <w:tab/>
      </w:r>
      <w:r>
        <w:rPr>
          <w:lang w:val="mk-MK"/>
        </w:rPr>
        <w:tab/>
      </w:r>
      <w:r>
        <w:rPr>
          <w:lang w:val="mk-MK"/>
        </w:rPr>
        <w:tab/>
        <w:t>Европска Унија</w:t>
      </w:r>
    </w:p>
    <w:p w14:paraId="51D89871" w14:textId="77777777" w:rsidR="00D24480" w:rsidRDefault="00D24480" w:rsidP="00D24480">
      <w:pPr>
        <w:pStyle w:val="BodyText"/>
        <w:ind w:firstLine="720"/>
        <w:rPr>
          <w:lang w:val="mk-MK"/>
        </w:rPr>
      </w:pPr>
      <w:r>
        <w:rPr>
          <w:lang w:val="mk-MK"/>
        </w:rPr>
        <w:t>ЗТД</w:t>
      </w:r>
      <w:r>
        <w:rPr>
          <w:lang w:val="mk-MK"/>
        </w:rPr>
        <w:tab/>
      </w:r>
      <w:r>
        <w:rPr>
          <w:lang w:val="mk-MK"/>
        </w:rPr>
        <w:tab/>
      </w:r>
      <w:r>
        <w:rPr>
          <w:lang w:val="mk-MK"/>
        </w:rPr>
        <w:tab/>
        <w:t>Закон за трговските друштва</w:t>
      </w:r>
    </w:p>
    <w:p w14:paraId="53935765" w14:textId="2055B939" w:rsidR="001D5328" w:rsidRDefault="001D5328" w:rsidP="00D24480">
      <w:pPr>
        <w:pStyle w:val="BodyText"/>
        <w:ind w:firstLine="720"/>
        <w:rPr>
          <w:lang w:val="mk-MK"/>
        </w:rPr>
      </w:pPr>
      <w:r>
        <w:rPr>
          <w:lang w:val="mk-MK"/>
        </w:rPr>
        <w:t>ИПА</w:t>
      </w:r>
      <w:r>
        <w:rPr>
          <w:lang w:val="mk-MK"/>
        </w:rPr>
        <w:tab/>
      </w:r>
      <w:r>
        <w:rPr>
          <w:lang w:val="mk-MK"/>
        </w:rPr>
        <w:tab/>
      </w:r>
      <w:r>
        <w:rPr>
          <w:lang w:val="mk-MK"/>
        </w:rPr>
        <w:tab/>
      </w:r>
      <w:r w:rsidR="00505E61" w:rsidRPr="00505E61">
        <w:rPr>
          <w:lang w:val="mk-MK"/>
        </w:rPr>
        <w:t>Инструмент за претпристапна помош</w:t>
      </w:r>
    </w:p>
    <w:p w14:paraId="6535D436" w14:textId="4C046C2B" w:rsidR="0020086A" w:rsidRDefault="0020086A" w:rsidP="00D24480">
      <w:pPr>
        <w:pStyle w:val="BodyText"/>
        <w:ind w:firstLine="720"/>
        <w:rPr>
          <w:lang w:val="mk-MK"/>
        </w:rPr>
      </w:pPr>
      <w:r>
        <w:rPr>
          <w:lang w:val="mk-MK"/>
        </w:rPr>
        <w:t>КЕ</w:t>
      </w:r>
      <w:r>
        <w:rPr>
          <w:lang w:val="mk-MK"/>
        </w:rPr>
        <w:tab/>
      </w:r>
      <w:r>
        <w:rPr>
          <w:lang w:val="mk-MK"/>
        </w:rPr>
        <w:tab/>
      </w:r>
      <w:r>
        <w:rPr>
          <w:lang w:val="mk-MK"/>
        </w:rPr>
        <w:tab/>
      </w:r>
      <w:r w:rsidR="006A3535">
        <w:rPr>
          <w:lang w:val="mk-MK"/>
        </w:rPr>
        <w:t>Комитет на Експерти на МОТ-</w:t>
      </w:r>
      <w:r w:rsidR="006A3535" w:rsidRPr="006A3535">
        <w:rPr>
          <w:lang w:val="mk-MK"/>
        </w:rPr>
        <w:t>CEACR</w:t>
      </w:r>
    </w:p>
    <w:p w14:paraId="3A7A621F" w14:textId="6F92D6E1" w:rsidR="00553987" w:rsidRDefault="00553987" w:rsidP="00D24480">
      <w:pPr>
        <w:pStyle w:val="BodyText"/>
        <w:ind w:firstLine="720"/>
        <w:rPr>
          <w:lang w:val="mk-MK"/>
        </w:rPr>
      </w:pPr>
      <w:r>
        <w:rPr>
          <w:lang w:val="mk-MK"/>
        </w:rPr>
        <w:t>КЕУ</w:t>
      </w:r>
      <w:r>
        <w:rPr>
          <w:lang w:val="mk-MK"/>
        </w:rPr>
        <w:tab/>
      </w:r>
      <w:r>
        <w:rPr>
          <w:lang w:val="mk-MK"/>
        </w:rPr>
        <w:tab/>
      </w:r>
      <w:r>
        <w:rPr>
          <w:lang w:val="mk-MK"/>
        </w:rPr>
        <w:tab/>
        <w:t>Конвенција за воспоставување на Европската Унија</w:t>
      </w:r>
    </w:p>
    <w:p w14:paraId="16481420" w14:textId="3E21EFB3" w:rsidR="00553987" w:rsidRPr="007A1FD4" w:rsidRDefault="007A1FD4" w:rsidP="00D24480">
      <w:pPr>
        <w:pStyle w:val="BodyText"/>
        <w:ind w:firstLine="720"/>
        <w:rPr>
          <w:lang w:val="en-US"/>
        </w:rPr>
      </w:pPr>
      <w:r>
        <w:rPr>
          <w:lang w:val="en-US"/>
        </w:rPr>
        <w:t>TEU</w:t>
      </w:r>
      <w:r>
        <w:rPr>
          <w:lang w:val="en-US"/>
        </w:rPr>
        <w:tab/>
      </w:r>
      <w:r>
        <w:rPr>
          <w:lang w:val="en-US"/>
        </w:rPr>
        <w:tab/>
      </w:r>
      <w:r>
        <w:rPr>
          <w:lang w:val="en-US"/>
        </w:rPr>
        <w:tab/>
        <w:t xml:space="preserve">Treaty on European Union </w:t>
      </w:r>
    </w:p>
    <w:p w14:paraId="06C3C3A9" w14:textId="148C80F5" w:rsidR="004F047D" w:rsidRPr="00F454B7" w:rsidRDefault="004F047D" w:rsidP="00D24480">
      <w:pPr>
        <w:pStyle w:val="BodyText"/>
        <w:ind w:firstLine="720"/>
        <w:rPr>
          <w:lang w:val="mk-MK"/>
        </w:rPr>
      </w:pPr>
      <w:r>
        <w:rPr>
          <w:lang w:val="mk-MK"/>
        </w:rPr>
        <w:t>МЕТ</w:t>
      </w:r>
      <w:r>
        <w:rPr>
          <w:lang w:val="mk-MK"/>
        </w:rPr>
        <w:tab/>
      </w:r>
      <w:r>
        <w:rPr>
          <w:lang w:val="mk-MK"/>
        </w:rPr>
        <w:tab/>
      </w:r>
      <w:r>
        <w:rPr>
          <w:lang w:val="mk-MK"/>
        </w:rPr>
        <w:tab/>
        <w:t>Министерство за економија и труд</w:t>
      </w:r>
    </w:p>
    <w:p w14:paraId="4D65B4DE" w14:textId="226D9996" w:rsidR="00D24480" w:rsidRDefault="009A0DE1" w:rsidP="00AD5A0E">
      <w:pPr>
        <w:pStyle w:val="BodyText"/>
        <w:ind w:firstLine="720"/>
        <w:rPr>
          <w:lang w:val="mk-MK"/>
        </w:rPr>
      </w:pPr>
      <w:r>
        <w:rPr>
          <w:lang w:val="mk-MK"/>
        </w:rPr>
        <w:t>МОТ</w:t>
      </w:r>
      <w:r>
        <w:rPr>
          <w:lang w:val="mk-MK"/>
        </w:rPr>
        <w:tab/>
      </w:r>
      <w:r>
        <w:rPr>
          <w:lang w:val="mk-MK"/>
        </w:rPr>
        <w:tab/>
      </w:r>
      <w:r>
        <w:rPr>
          <w:lang w:val="mk-MK"/>
        </w:rPr>
        <w:tab/>
        <w:t>Меѓународна организација на трудот</w:t>
      </w:r>
    </w:p>
    <w:p w14:paraId="400C0D00" w14:textId="27C0100F" w:rsidR="00843750" w:rsidRDefault="00843750" w:rsidP="00AD5A0E">
      <w:pPr>
        <w:pStyle w:val="BodyText"/>
        <w:ind w:firstLine="720"/>
        <w:rPr>
          <w:lang w:val="mk-MK"/>
        </w:rPr>
      </w:pPr>
      <w:r>
        <w:rPr>
          <w:lang w:val="mk-MK"/>
        </w:rPr>
        <w:t>МС</w:t>
      </w:r>
      <w:r>
        <w:rPr>
          <w:lang w:val="mk-MK"/>
        </w:rPr>
        <w:tab/>
      </w:r>
      <w:r>
        <w:rPr>
          <w:lang w:val="mk-MK"/>
        </w:rPr>
        <w:tab/>
      </w:r>
      <w:r>
        <w:rPr>
          <w:lang w:val="mk-MK"/>
        </w:rPr>
        <w:tab/>
        <w:t>Меморандум за соработка</w:t>
      </w:r>
    </w:p>
    <w:p w14:paraId="1B37B7FA" w14:textId="39DE62CF" w:rsidR="00843750" w:rsidRPr="00843750" w:rsidRDefault="00843750" w:rsidP="00AD5A0E">
      <w:pPr>
        <w:pStyle w:val="BodyText"/>
        <w:ind w:firstLine="720"/>
        <w:rPr>
          <w:lang w:val="en-US"/>
        </w:rPr>
      </w:pPr>
      <w:r>
        <w:rPr>
          <w:lang w:val="en-US"/>
        </w:rPr>
        <w:t>MOU</w:t>
      </w:r>
      <w:r>
        <w:rPr>
          <w:lang w:val="en-US"/>
        </w:rPr>
        <w:tab/>
      </w:r>
      <w:r>
        <w:rPr>
          <w:lang w:val="en-US"/>
        </w:rPr>
        <w:tab/>
      </w:r>
      <w:r>
        <w:rPr>
          <w:lang w:val="en-US"/>
        </w:rPr>
        <w:tab/>
        <w:t xml:space="preserve">Memorandum of Understanding </w:t>
      </w:r>
    </w:p>
    <w:p w14:paraId="71B3DCD4" w14:textId="4D6626FF" w:rsidR="00961A7A" w:rsidRDefault="00961A7A" w:rsidP="00AD5A0E">
      <w:pPr>
        <w:pStyle w:val="BodyText"/>
        <w:ind w:firstLine="720"/>
        <w:rPr>
          <w:lang w:val="en-US"/>
        </w:rPr>
      </w:pPr>
      <w:r>
        <w:rPr>
          <w:lang w:val="mk-MK"/>
        </w:rPr>
        <w:t>М</w:t>
      </w:r>
      <w:r w:rsidR="00684B3F">
        <w:rPr>
          <w:lang w:val="mk-MK"/>
        </w:rPr>
        <w:t>СПДМ</w:t>
      </w:r>
      <w:r>
        <w:rPr>
          <w:lang w:val="mk-MK"/>
        </w:rPr>
        <w:tab/>
      </w:r>
      <w:r>
        <w:rPr>
          <w:lang w:val="mk-MK"/>
        </w:rPr>
        <w:tab/>
        <w:t xml:space="preserve">Министерство за </w:t>
      </w:r>
      <w:r w:rsidR="00684B3F">
        <w:rPr>
          <w:lang w:val="mk-MK"/>
        </w:rPr>
        <w:t>социјална политика, демографија и млади</w:t>
      </w:r>
    </w:p>
    <w:p w14:paraId="17E0B8CE" w14:textId="1FB92CF9" w:rsidR="000E6B67" w:rsidRDefault="000E6B67" w:rsidP="00AD5A0E">
      <w:pPr>
        <w:pStyle w:val="BodyText"/>
        <w:ind w:firstLine="720"/>
        <w:rPr>
          <w:lang w:val="mk-MK"/>
        </w:rPr>
      </w:pPr>
      <w:r>
        <w:rPr>
          <w:lang w:val="mk-MK"/>
        </w:rPr>
        <w:t>ОН</w:t>
      </w:r>
      <w:r>
        <w:rPr>
          <w:lang w:val="mk-MK"/>
        </w:rPr>
        <w:tab/>
      </w:r>
      <w:r>
        <w:rPr>
          <w:lang w:val="mk-MK"/>
        </w:rPr>
        <w:tab/>
      </w:r>
      <w:r>
        <w:rPr>
          <w:lang w:val="mk-MK"/>
        </w:rPr>
        <w:tab/>
        <w:t>Обединети нации</w:t>
      </w:r>
    </w:p>
    <w:p w14:paraId="7BABD68D" w14:textId="4EAE82E7" w:rsidR="000E6B67" w:rsidRDefault="000E6B67" w:rsidP="00AD5A0E">
      <w:pPr>
        <w:pStyle w:val="BodyText"/>
        <w:ind w:firstLine="720"/>
        <w:rPr>
          <w:lang w:val="mk-MK"/>
        </w:rPr>
      </w:pPr>
      <w:r>
        <w:rPr>
          <w:lang w:val="mk-MK"/>
        </w:rPr>
        <w:t>ООН</w:t>
      </w:r>
      <w:r>
        <w:rPr>
          <w:lang w:val="mk-MK"/>
        </w:rPr>
        <w:tab/>
      </w:r>
      <w:r>
        <w:rPr>
          <w:lang w:val="mk-MK"/>
        </w:rPr>
        <w:tab/>
      </w:r>
      <w:r>
        <w:rPr>
          <w:lang w:val="mk-MK"/>
        </w:rPr>
        <w:tab/>
        <w:t>Организација на обединети нации</w:t>
      </w:r>
    </w:p>
    <w:p w14:paraId="4C36DD09" w14:textId="20E1D1CE" w:rsidR="00DA3F06" w:rsidRPr="000E6B67" w:rsidRDefault="00DA3F06" w:rsidP="00AD5A0E">
      <w:pPr>
        <w:pStyle w:val="BodyText"/>
        <w:ind w:firstLine="720"/>
        <w:rPr>
          <w:lang w:val="mk-MK"/>
        </w:rPr>
      </w:pPr>
      <w:r>
        <w:rPr>
          <w:lang w:val="mk-MK"/>
        </w:rPr>
        <w:t>ОЕЦД</w:t>
      </w:r>
      <w:r>
        <w:rPr>
          <w:lang w:val="mk-MK"/>
        </w:rPr>
        <w:tab/>
      </w:r>
      <w:r>
        <w:rPr>
          <w:lang w:val="mk-MK"/>
        </w:rPr>
        <w:tab/>
      </w:r>
      <w:r>
        <w:rPr>
          <w:lang w:val="mk-MK"/>
        </w:rPr>
        <w:tab/>
      </w:r>
      <w:r w:rsidRPr="00DA3F06">
        <w:rPr>
          <w:lang w:val="mk-MK"/>
        </w:rPr>
        <w:t xml:space="preserve">Организација за економска соработка и развој </w:t>
      </w:r>
    </w:p>
    <w:p w14:paraId="252E6903" w14:textId="7CD55D83" w:rsidR="006913B0" w:rsidRDefault="00C428C1" w:rsidP="001E3E37">
      <w:pPr>
        <w:pStyle w:val="BodyText"/>
        <w:ind w:firstLine="720"/>
        <w:rPr>
          <w:lang w:val="mk-MK"/>
        </w:rPr>
      </w:pPr>
      <w:r w:rsidRPr="00C428C1">
        <w:rPr>
          <w:lang w:val="mk-MK"/>
        </w:rPr>
        <w:t>ПООПЕУ</w:t>
      </w:r>
      <w:r>
        <w:rPr>
          <w:lang w:val="mk-MK"/>
        </w:rPr>
        <w:tab/>
      </w:r>
      <w:r>
        <w:rPr>
          <w:lang w:val="mk-MK"/>
        </w:rPr>
        <w:tab/>
      </w:r>
      <w:r w:rsidRPr="00C428C1">
        <w:rPr>
          <w:lang w:val="mk-MK"/>
        </w:rPr>
        <w:t>Повелбата за основни права на Европската Унија</w:t>
      </w:r>
    </w:p>
    <w:p w14:paraId="08485B54" w14:textId="0C2E30C9" w:rsidR="001E3E37" w:rsidRDefault="001E3E37" w:rsidP="001E3E37">
      <w:pPr>
        <w:pStyle w:val="BodyText"/>
        <w:ind w:firstLine="720"/>
        <w:rPr>
          <w:lang w:val="mk-MK"/>
        </w:rPr>
      </w:pPr>
      <w:r>
        <w:rPr>
          <w:lang w:val="mk-MK"/>
        </w:rPr>
        <w:t>С-Е</w:t>
      </w:r>
      <w:r>
        <w:rPr>
          <w:lang w:val="mk-MK"/>
        </w:rPr>
        <w:tab/>
      </w:r>
      <w:r>
        <w:rPr>
          <w:lang w:val="mk-MK"/>
        </w:rPr>
        <w:tab/>
      </w:r>
      <w:r>
        <w:rPr>
          <w:lang w:val="mk-MK"/>
        </w:rPr>
        <w:tab/>
        <w:t>Совет на Европа</w:t>
      </w:r>
    </w:p>
    <w:p w14:paraId="0500919E" w14:textId="214FAA63" w:rsidR="00C428C1" w:rsidRDefault="007F0C60" w:rsidP="006B7513">
      <w:pPr>
        <w:pStyle w:val="BodyText"/>
        <w:ind w:firstLine="720"/>
        <w:rPr>
          <w:lang w:val="mk-MK"/>
        </w:rPr>
      </w:pPr>
      <w:r>
        <w:rPr>
          <w:lang w:val="mk-MK"/>
        </w:rPr>
        <w:t>СЕ (</w:t>
      </w:r>
      <w:r>
        <w:rPr>
          <w:lang w:val="en-US"/>
        </w:rPr>
        <w:t>SE)</w:t>
      </w:r>
      <w:r>
        <w:rPr>
          <w:lang w:val="en-US"/>
        </w:rPr>
        <w:tab/>
      </w:r>
      <w:r>
        <w:rPr>
          <w:lang w:val="en-US"/>
        </w:rPr>
        <w:tab/>
        <w:t xml:space="preserve">Stakeholder Engagement </w:t>
      </w:r>
      <w:r w:rsidR="00C428C1" w:rsidRPr="00C428C1">
        <w:rPr>
          <w:lang w:val="mk-MK"/>
        </w:rPr>
        <w:t xml:space="preserve"> </w:t>
      </w:r>
    </w:p>
    <w:p w14:paraId="5BD8FF9F" w14:textId="78835617" w:rsidR="001063D7" w:rsidRDefault="001063D7" w:rsidP="001063D7">
      <w:pPr>
        <w:pStyle w:val="BodyText"/>
        <w:ind w:firstLine="720"/>
        <w:rPr>
          <w:lang w:val="mk-MK"/>
        </w:rPr>
      </w:pPr>
      <w:r>
        <w:rPr>
          <w:lang w:val="mk-MK"/>
        </w:rPr>
        <w:t>СЕУ</w:t>
      </w:r>
      <w:r>
        <w:rPr>
          <w:lang w:val="mk-MK"/>
        </w:rPr>
        <w:tab/>
      </w:r>
      <w:r>
        <w:rPr>
          <w:lang w:val="mk-MK"/>
        </w:rPr>
        <w:tab/>
      </w:r>
      <w:r>
        <w:rPr>
          <w:lang w:val="mk-MK"/>
        </w:rPr>
        <w:tab/>
      </w:r>
      <w:r w:rsidRPr="003469D5">
        <w:rPr>
          <w:lang w:val="mk-MK"/>
        </w:rPr>
        <w:t>Судот на Европската унија</w:t>
      </w:r>
    </w:p>
    <w:p w14:paraId="4C5F3022" w14:textId="6EA25A49" w:rsidR="00F6713B" w:rsidRPr="00F6713B" w:rsidRDefault="00F6713B" w:rsidP="001063D7">
      <w:pPr>
        <w:pStyle w:val="BodyText"/>
        <w:ind w:firstLine="720"/>
        <w:rPr>
          <w:lang w:val="en-US"/>
        </w:rPr>
      </w:pPr>
      <w:r>
        <w:rPr>
          <w:lang w:val="mk-MK"/>
        </w:rPr>
        <w:t>СБ</w:t>
      </w:r>
      <w:r>
        <w:rPr>
          <w:lang w:val="mk-MK"/>
        </w:rPr>
        <w:tab/>
      </w:r>
      <w:r>
        <w:rPr>
          <w:lang w:val="mk-MK"/>
        </w:rPr>
        <w:tab/>
      </w:r>
      <w:r>
        <w:rPr>
          <w:lang w:val="mk-MK"/>
        </w:rPr>
        <w:tab/>
        <w:t>Светска банка</w:t>
      </w:r>
    </w:p>
    <w:p w14:paraId="095E883E" w14:textId="78396AE3" w:rsidR="000612D5" w:rsidRDefault="000612D5" w:rsidP="001063D7">
      <w:pPr>
        <w:pStyle w:val="BodyText"/>
        <w:ind w:firstLine="720"/>
        <w:rPr>
          <w:lang w:val="mk-MK"/>
        </w:rPr>
      </w:pPr>
      <w:r>
        <w:rPr>
          <w:lang w:val="mk-MK"/>
        </w:rPr>
        <w:t>ТД</w:t>
      </w:r>
      <w:r>
        <w:rPr>
          <w:lang w:val="mk-MK"/>
        </w:rPr>
        <w:tab/>
      </w:r>
      <w:r>
        <w:rPr>
          <w:lang w:val="mk-MK"/>
        </w:rPr>
        <w:tab/>
      </w:r>
      <w:r>
        <w:rPr>
          <w:lang w:val="mk-MK"/>
        </w:rPr>
        <w:tab/>
        <w:t>Трговско друштво</w:t>
      </w:r>
    </w:p>
    <w:p w14:paraId="0C14B0E5" w14:textId="6524D5C4" w:rsidR="003A7B16" w:rsidRDefault="003A7B16" w:rsidP="001063D7">
      <w:pPr>
        <w:pStyle w:val="BodyText"/>
        <w:ind w:firstLine="720"/>
        <w:rPr>
          <w:lang w:val="mk-MK"/>
        </w:rPr>
      </w:pPr>
      <w:r>
        <w:rPr>
          <w:lang w:val="mk-MK"/>
        </w:rPr>
        <w:t>ЦОР</w:t>
      </w:r>
      <w:r w:rsidR="003D29CF">
        <w:rPr>
          <w:lang w:val="en-US"/>
        </w:rPr>
        <w:t xml:space="preserve"> (SDG)</w:t>
      </w:r>
      <w:r>
        <w:rPr>
          <w:lang w:val="mk-MK"/>
        </w:rPr>
        <w:tab/>
      </w:r>
      <w:r>
        <w:rPr>
          <w:lang w:val="mk-MK"/>
        </w:rPr>
        <w:tab/>
        <w:t>Цели за одржлив развој</w:t>
      </w:r>
    </w:p>
    <w:p w14:paraId="5A6350CE" w14:textId="3BF0FD33" w:rsidR="00CB7709" w:rsidRDefault="003D29CF" w:rsidP="00843750">
      <w:pPr>
        <w:pStyle w:val="BodyText"/>
        <w:ind w:firstLine="720"/>
        <w:rPr>
          <w:lang w:val="mk-MK"/>
        </w:rPr>
      </w:pPr>
      <w:r>
        <w:rPr>
          <w:lang w:val="mk-MK"/>
        </w:rPr>
        <w:tab/>
      </w:r>
      <w:r>
        <w:rPr>
          <w:lang w:val="mk-MK"/>
        </w:rPr>
        <w:tab/>
      </w:r>
      <w:r>
        <w:rPr>
          <w:lang w:val="mk-MK"/>
        </w:rPr>
        <w:tab/>
      </w:r>
      <w:r>
        <w:rPr>
          <w:lang w:val="en-US"/>
        </w:rPr>
        <w:t>Sustainable Development Goals</w:t>
      </w:r>
    </w:p>
    <w:p w14:paraId="7025ACB9" w14:textId="77777777" w:rsidR="00CC6C97" w:rsidRPr="00CC6C97" w:rsidRDefault="00CC6C97" w:rsidP="00843750">
      <w:pPr>
        <w:pStyle w:val="BodyText"/>
        <w:ind w:firstLine="720"/>
        <w:rPr>
          <w:lang w:val="mk-MK"/>
        </w:rPr>
      </w:pPr>
    </w:p>
    <w:p w14:paraId="13C15B5D" w14:textId="5826C820" w:rsidR="00FE1B18" w:rsidRPr="002A3BEB" w:rsidRDefault="00FE61E1" w:rsidP="002A3BEB">
      <w:pPr>
        <w:pStyle w:val="Heading1"/>
        <w:spacing w:after="240"/>
        <w:ind w:left="0"/>
        <w:jc w:val="center"/>
        <w:rPr>
          <w:lang w:val="en-US"/>
        </w:rPr>
      </w:pPr>
      <w:bookmarkStart w:id="1" w:name="_Toc230523854"/>
      <w:r>
        <w:rPr>
          <w:lang w:val="mk-MK"/>
        </w:rPr>
        <w:lastRenderedPageBreak/>
        <w:t xml:space="preserve">Табела на </w:t>
      </w:r>
      <w:r w:rsidR="00F258AC">
        <w:rPr>
          <w:lang w:val="mk-MK"/>
        </w:rPr>
        <w:t>релевантни случаи</w:t>
      </w:r>
      <w:bookmarkEnd w:id="1"/>
    </w:p>
    <w:p w14:paraId="5CCD1D72" w14:textId="06FDE776" w:rsidR="00B50DBD" w:rsidRDefault="003365B0" w:rsidP="00B50DBD">
      <w:pPr>
        <w:pBdr>
          <w:top w:val="nil"/>
          <w:left w:val="nil"/>
          <w:bottom w:val="nil"/>
          <w:right w:val="nil"/>
          <w:between w:val="nil"/>
          <w:bar w:val="nil"/>
        </w:pBdr>
        <w:spacing w:before="240"/>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A and Others v United Kingdom (2009) 49 EHRR 29</w:t>
      </w:r>
    </w:p>
    <w:p w14:paraId="4D05B3DD" w14:textId="5051D3CA" w:rsidR="002A3BEB" w:rsidRPr="002A3BEB" w:rsidRDefault="002A3BEB" w:rsidP="00824254">
      <w:pPr>
        <w:pBdr>
          <w:top w:val="nil"/>
          <w:left w:val="nil"/>
          <w:bottom w:val="nil"/>
          <w:right w:val="nil"/>
          <w:between w:val="nil"/>
          <w:bar w:val="nil"/>
        </w:pBdr>
        <w:ind w:right="-970"/>
        <w:jc w:val="both"/>
        <w:rPr>
          <w:rFonts w:eastAsia="Arial Unicode MS"/>
          <w:color w:val="000000"/>
          <w:sz w:val="24"/>
          <w:szCs w:val="24"/>
          <w:u w:color="000000"/>
          <w:bdr w:val="nil"/>
          <w:lang w:val="en-US"/>
        </w:rPr>
      </w:pPr>
      <w:r w:rsidRPr="002A3BEB">
        <w:rPr>
          <w:rFonts w:eastAsia="Arial Unicode MS"/>
          <w:color w:val="000000"/>
          <w:sz w:val="24"/>
          <w:szCs w:val="24"/>
          <w:u w:color="000000"/>
          <w:bdr w:val="nil"/>
          <w:lang w:val="en-US"/>
        </w:rPr>
        <w:t>Agrokomerc Cases (series of criminal and commercial proceedings before Yugoslav and later BiH courts, late 1980s–1990s)</w:t>
      </w:r>
    </w:p>
    <w:p w14:paraId="6628842A"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Adefdromil v France App No 32191/09 (2 January 2015) </w:t>
      </w:r>
    </w:p>
    <w:p w14:paraId="3FE8F9F2" w14:textId="516C70BE" w:rsidR="00184FCD" w:rsidRPr="00184FCD" w:rsidRDefault="00184FCD"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184FCD">
        <w:rPr>
          <w:rFonts w:eastAsia="Arial Unicode MS"/>
          <w:color w:val="000000"/>
          <w:sz w:val="24"/>
          <w:szCs w:val="24"/>
          <w:u w:color="000000"/>
          <w:bdr w:val="nil"/>
          <w:lang w:val="en-US"/>
        </w:rPr>
        <w:t>Aalborg Portland A/S v Commission C-204/00 P, CJEU, 2004</w:t>
      </w:r>
    </w:p>
    <w:p w14:paraId="38F4195F"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Airey v Ireland (1979–80) 2 EHRR 305 </w:t>
      </w:r>
    </w:p>
    <w:p w14:paraId="046E49C8" w14:textId="77777777" w:rsidR="00453171" w:rsidRPr="00C36A85" w:rsidRDefault="003365B0" w:rsidP="00453171">
      <w:pPr>
        <w:pBdr>
          <w:top w:val="nil"/>
          <w:left w:val="nil"/>
          <w:bottom w:val="nil"/>
          <w:right w:val="nil"/>
          <w:between w:val="nil"/>
          <w:bar w:val="nil"/>
        </w:pBdr>
        <w:ind w:left="-360" w:right="-970" w:firstLine="360"/>
        <w:rPr>
          <w:rFonts w:eastAsia="Arial Unicode MS"/>
          <w:color w:val="000000"/>
          <w:sz w:val="24"/>
          <w:szCs w:val="24"/>
          <w:bdr w:val="nil"/>
          <w:lang w:val="en-US"/>
        </w:rPr>
      </w:pPr>
      <w:r w:rsidRPr="00C36A85">
        <w:rPr>
          <w:rFonts w:eastAsia="Arial Unicode MS"/>
          <w:color w:val="000000"/>
          <w:sz w:val="24"/>
          <w:szCs w:val="24"/>
          <w:bdr w:val="nil"/>
        </w:rPr>
        <w:t xml:space="preserve">Al-Adsani v United Kingdom (2002) 34 EHRR 11 </w:t>
      </w:r>
    </w:p>
    <w:p w14:paraId="7F175ABA" w14:textId="1A63BDBE" w:rsidR="0013434E" w:rsidRDefault="0013434E"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13434E">
        <w:rPr>
          <w:rFonts w:eastAsia="Arial Unicode MS"/>
          <w:color w:val="000000"/>
          <w:sz w:val="24"/>
          <w:szCs w:val="24"/>
          <w:u w:color="000000"/>
          <w:bdr w:val="nil"/>
          <w:lang w:val="en-US"/>
        </w:rPr>
        <w:t>Andrejeva v. Latvia, App. No. 55707/00 (Eur. Ct. H.R. 2009)</w:t>
      </w:r>
    </w:p>
    <w:p w14:paraId="116DF9E6" w14:textId="2E504AD5" w:rsidR="004F50BE" w:rsidRPr="00184FCD" w:rsidRDefault="004F50BE" w:rsidP="00453171">
      <w:pPr>
        <w:pBdr>
          <w:top w:val="nil"/>
          <w:left w:val="nil"/>
          <w:bottom w:val="nil"/>
          <w:right w:val="nil"/>
          <w:between w:val="nil"/>
          <w:bar w:val="nil"/>
        </w:pBdr>
        <w:ind w:left="-360" w:right="-970" w:firstLine="360"/>
        <w:rPr>
          <w:rFonts w:eastAsia="Arial Unicode MS"/>
          <w:color w:val="000000"/>
          <w:sz w:val="24"/>
          <w:szCs w:val="24"/>
          <w:bdr w:val="nil"/>
          <w:lang w:val="en-US"/>
        </w:rPr>
      </w:pPr>
      <w:r w:rsidRPr="00184FCD">
        <w:rPr>
          <w:rFonts w:eastAsia="Arial Unicode MS"/>
          <w:color w:val="000000"/>
          <w:sz w:val="24"/>
          <w:szCs w:val="24"/>
          <w:bdr w:val="nil"/>
          <w:lang w:val="en-US"/>
        </w:rPr>
        <w:t>Apostolakis v. Greece, App. No. 33333/09 (Eur. Ct. H.R. 2009)</w:t>
      </w:r>
    </w:p>
    <w:p w14:paraId="4CBCBBC4"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ASLEF v United Kingdom (2007) 45 EHRR 34 </w:t>
      </w:r>
    </w:p>
    <w:p w14:paraId="22F1157D"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Association of Academics v Iceland App No 2451/16 (15 May 2018) </w:t>
      </w:r>
    </w:p>
    <w:p w14:paraId="212E555A" w14:textId="07F78733" w:rsidR="00570887" w:rsidRDefault="00570887"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570887">
        <w:rPr>
          <w:rFonts w:eastAsia="Arial Unicode MS"/>
          <w:color w:val="000000"/>
          <w:sz w:val="24"/>
          <w:szCs w:val="24"/>
          <w:u w:color="000000"/>
          <w:bdr w:val="nil"/>
          <w:lang w:val="mk-MK"/>
        </w:rPr>
        <w:t>Baka v Hungary (2016) 61 EHRR 13</w:t>
      </w:r>
    </w:p>
    <w:p w14:paraId="3847B081" w14:textId="42415C79" w:rsidR="001D3858" w:rsidRPr="001D3858" w:rsidRDefault="001D3858"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1D3858">
        <w:rPr>
          <w:rFonts w:eastAsia="Arial Unicode MS"/>
          <w:color w:val="000000"/>
          <w:sz w:val="24"/>
          <w:szCs w:val="24"/>
          <w:u w:color="000000"/>
          <w:bdr w:val="nil"/>
          <w:lang w:val="en-US"/>
        </w:rPr>
        <w:t>Banco Español de Crédito SA v Sanmartín Sánchez C-618/10, CJEU, 2012</w:t>
      </w:r>
    </w:p>
    <w:p w14:paraId="48B094E9" w14:textId="5AE869C3"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Bankovic and others v Belgium (2007) 44 EHRR SE5 </w:t>
      </w:r>
    </w:p>
    <w:p w14:paraId="61CC8799" w14:textId="6FC7EBE7" w:rsidR="001D3858" w:rsidRDefault="00241573"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241573">
        <w:rPr>
          <w:rFonts w:eastAsia="Arial Unicode MS"/>
          <w:color w:val="000000"/>
          <w:sz w:val="24"/>
          <w:szCs w:val="24"/>
          <w:u w:color="000000"/>
          <w:bdr w:val="nil"/>
          <w:lang w:val="en-US"/>
        </w:rPr>
        <w:t>Bankovic and others v Belgium 52207/99</w:t>
      </w:r>
      <w:r>
        <w:rPr>
          <w:rFonts w:eastAsia="Arial Unicode MS"/>
          <w:color w:val="000000"/>
          <w:sz w:val="24"/>
          <w:szCs w:val="24"/>
          <w:u w:color="000000"/>
          <w:bdr w:val="nil"/>
          <w:lang w:val="en-US"/>
        </w:rPr>
        <w:t xml:space="preserve">. </w:t>
      </w:r>
      <w:r w:rsidRPr="00241573">
        <w:rPr>
          <w:rFonts w:eastAsia="Arial Unicode MS"/>
          <w:color w:val="000000"/>
          <w:sz w:val="24"/>
          <w:szCs w:val="24"/>
          <w:u w:color="000000"/>
          <w:bdr w:val="nil"/>
          <w:lang w:val="en-US"/>
        </w:rPr>
        <w:t>Decision</w:t>
      </w:r>
      <w:r>
        <w:rPr>
          <w:rFonts w:eastAsia="Arial Unicode MS"/>
          <w:color w:val="000000"/>
          <w:sz w:val="24"/>
          <w:szCs w:val="24"/>
          <w:u w:color="000000"/>
          <w:bdr w:val="nil"/>
          <w:lang w:val="en-US"/>
        </w:rPr>
        <w:t>,</w:t>
      </w:r>
      <w:r w:rsidRPr="00241573">
        <w:rPr>
          <w:rFonts w:eastAsia="Arial Unicode MS"/>
          <w:color w:val="000000"/>
          <w:sz w:val="24"/>
          <w:szCs w:val="24"/>
          <w:u w:color="000000"/>
          <w:bdr w:val="nil"/>
          <w:lang w:val="en-US"/>
        </w:rPr>
        <w:t xml:space="preserve"> Court (Grand Chamber) | 12/12/2001</w:t>
      </w:r>
    </w:p>
    <w:p w14:paraId="04DD13F6" w14:textId="5BEB5FD2" w:rsidR="00542306" w:rsidRPr="001D3858" w:rsidRDefault="00542306"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542306">
        <w:rPr>
          <w:rFonts w:eastAsia="Arial Unicode MS"/>
          <w:color w:val="000000"/>
          <w:sz w:val="24"/>
          <w:szCs w:val="24"/>
          <w:u w:color="000000"/>
          <w:bdr w:val="nil"/>
          <w:lang w:val="en-US"/>
        </w:rPr>
        <w:t>Bayer AG v Commission C-2/01 P, CJEU, 2004</w:t>
      </w:r>
    </w:p>
    <w:p w14:paraId="2CE06C2A"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Bosphorus v Ireland (2006) 42 EHRR 1 </w:t>
      </w:r>
      <w:r w:rsidR="00F5424C" w:rsidRPr="003365B0">
        <w:rPr>
          <w:rFonts w:eastAsia="Arial Unicode MS"/>
          <w:color w:val="000000"/>
          <w:sz w:val="24"/>
          <w:szCs w:val="24"/>
          <w:u w:color="000000"/>
          <w:bdr w:val="nil"/>
        </w:rPr>
        <w:t xml:space="preserve"> </w:t>
      </w:r>
    </w:p>
    <w:p w14:paraId="20DC3A7C" w14:textId="212A4E07" w:rsidR="00931305" w:rsidRPr="00931305" w:rsidRDefault="00931305"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931305">
        <w:rPr>
          <w:rFonts w:eastAsia="Arial Unicode MS"/>
          <w:color w:val="000000"/>
          <w:sz w:val="24"/>
          <w:szCs w:val="24"/>
          <w:u w:color="000000"/>
          <w:bdr w:val="nil"/>
          <w:lang w:val="en-US"/>
        </w:rPr>
        <w:t>Broniowski v Poland (2004)</w:t>
      </w:r>
      <w:r>
        <w:rPr>
          <w:rFonts w:eastAsia="Arial Unicode MS"/>
          <w:color w:val="000000"/>
          <w:sz w:val="24"/>
          <w:szCs w:val="24"/>
          <w:u w:color="000000"/>
          <w:bdr w:val="nil"/>
          <w:lang w:val="en-US"/>
        </w:rPr>
        <w:t xml:space="preserve">. </w:t>
      </w:r>
      <w:r w:rsidRPr="00931305">
        <w:rPr>
          <w:rFonts w:eastAsia="Arial Unicode MS"/>
          <w:color w:val="000000"/>
          <w:sz w:val="24"/>
          <w:szCs w:val="24"/>
          <w:u w:color="000000"/>
          <w:bdr w:val="nil"/>
          <w:lang w:val="en-US"/>
        </w:rPr>
        <w:t>Application no. 31443/96</w:t>
      </w:r>
      <w:r>
        <w:rPr>
          <w:rFonts w:eastAsia="Arial Unicode MS"/>
          <w:color w:val="000000"/>
          <w:sz w:val="24"/>
          <w:szCs w:val="24"/>
          <w:u w:color="000000"/>
          <w:bdr w:val="nil"/>
          <w:lang w:val="en-US"/>
        </w:rPr>
        <w:t xml:space="preserve">. </w:t>
      </w:r>
      <w:r w:rsidRPr="0066727D">
        <w:rPr>
          <w:rFonts w:eastAsia="Arial Unicode MS"/>
          <w:color w:val="000000"/>
          <w:sz w:val="24"/>
          <w:szCs w:val="24"/>
          <w:u w:color="000000"/>
          <w:bdr w:val="nil"/>
          <w:lang w:val="en-US"/>
        </w:rPr>
        <w:t>European Court of Human Rights</w:t>
      </w:r>
      <w:r>
        <w:rPr>
          <w:rFonts w:eastAsia="Arial Unicode MS"/>
          <w:color w:val="000000"/>
          <w:sz w:val="24"/>
          <w:szCs w:val="24"/>
          <w:u w:color="000000"/>
          <w:bdr w:val="nil"/>
          <w:lang w:val="en-US"/>
        </w:rPr>
        <w:t xml:space="preserve">. </w:t>
      </w:r>
    </w:p>
    <w:p w14:paraId="4178808A" w14:textId="6C970C54" w:rsidR="0066727D" w:rsidRDefault="0066727D"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66727D">
        <w:rPr>
          <w:rFonts w:eastAsia="Arial Unicode MS"/>
          <w:color w:val="000000"/>
          <w:sz w:val="24"/>
          <w:szCs w:val="24"/>
          <w:u w:color="000000"/>
          <w:bdr w:val="nil"/>
          <w:lang w:val="en-US"/>
        </w:rPr>
        <w:t>Béláné Nagy v. Hungary (2016). Application no. 53080/13. European Court of Human Rights</w:t>
      </w:r>
    </w:p>
    <w:p w14:paraId="190E2423" w14:textId="7A57B491" w:rsidR="00D0353F" w:rsidRPr="0066727D" w:rsidRDefault="00D0353F"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D0353F">
        <w:rPr>
          <w:rFonts w:eastAsia="Arial Unicode MS"/>
          <w:color w:val="000000"/>
          <w:sz w:val="24"/>
          <w:szCs w:val="24"/>
          <w:u w:color="000000"/>
          <w:bdr w:val="nil"/>
          <w:lang w:val="en-US"/>
        </w:rPr>
        <w:t>Centros Ltd v Erhvervs- og Selskabsstyrelsen C-212/97, CJEU, 1999</w:t>
      </w:r>
    </w:p>
    <w:p w14:paraId="2769ED0A"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Cheall v United Kingdom (1986) 8 EHRR CD74 </w:t>
      </w:r>
    </w:p>
    <w:p w14:paraId="2681C0A0" w14:textId="360B5A66" w:rsidR="00824254" w:rsidRPr="00824254" w:rsidRDefault="00824254" w:rsidP="00824254">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Cheall v United Kingdom</w:t>
      </w:r>
      <w:r>
        <w:rPr>
          <w:rFonts w:eastAsia="Arial Unicode MS"/>
          <w:color w:val="000000"/>
          <w:sz w:val="24"/>
          <w:szCs w:val="24"/>
          <w:u w:color="000000"/>
          <w:bdr w:val="nil"/>
          <w:lang w:val="en-US"/>
        </w:rPr>
        <w:t>, preparatory works and proceedings,</w:t>
      </w:r>
      <w:r w:rsidRPr="003365B0">
        <w:rPr>
          <w:rFonts w:eastAsia="Arial Unicode MS"/>
          <w:color w:val="000000"/>
          <w:sz w:val="24"/>
          <w:szCs w:val="24"/>
          <w:u w:color="000000"/>
          <w:bdr w:val="nil"/>
        </w:rPr>
        <w:t xml:space="preserve"> 8 EHRR CD74 </w:t>
      </w:r>
    </w:p>
    <w:p w14:paraId="0381892F" w14:textId="77DC056E" w:rsidR="000E08F1" w:rsidRPr="000E08F1" w:rsidRDefault="003365B0" w:rsidP="00220350">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Chassagou and others v France (2000) 29 EHRR 615 </w:t>
      </w:r>
      <w:r w:rsidR="00F5424C" w:rsidRPr="003365B0">
        <w:rPr>
          <w:rFonts w:eastAsia="Arial Unicode MS"/>
          <w:color w:val="000000"/>
          <w:sz w:val="24"/>
          <w:szCs w:val="24"/>
          <w:u w:color="000000"/>
          <w:bdr w:val="nil"/>
        </w:rPr>
        <w:t xml:space="preserve"> </w:t>
      </w:r>
    </w:p>
    <w:p w14:paraId="228E148A"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Council Of Civil Service Unions And Others v United Kingdom (GCHQ case) (1988) 10 EHRR</w:t>
      </w:r>
    </w:p>
    <w:p w14:paraId="79206290" w14:textId="296022DC" w:rsidR="004F50BE" w:rsidRDefault="004F50BE"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4F50BE">
        <w:rPr>
          <w:rFonts w:eastAsia="Arial Unicode MS"/>
          <w:color w:val="000000"/>
          <w:sz w:val="24"/>
          <w:szCs w:val="24"/>
          <w:u w:color="000000"/>
          <w:bdr w:val="nil"/>
          <w:lang w:val="en-US"/>
        </w:rPr>
        <w:t>D.H. and Others v. Czech Republic, App. No. 57325/00 (Eur. Ct. H.R. 2007)</w:t>
      </w:r>
    </w:p>
    <w:p w14:paraId="17239880" w14:textId="51662998" w:rsidR="00B7127F" w:rsidRDefault="00B7127F" w:rsidP="00A528F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B7127F">
        <w:rPr>
          <w:rFonts w:eastAsia="Arial Unicode MS"/>
          <w:color w:val="000000"/>
          <w:sz w:val="24"/>
          <w:szCs w:val="24"/>
          <w:u w:color="000000"/>
          <w:bdr w:val="nil"/>
          <w:lang w:val="mk-MK"/>
        </w:rPr>
        <w:t>Danilenkov and Others v Russia (2009)</w:t>
      </w:r>
      <w:r>
        <w:rPr>
          <w:rFonts w:eastAsia="Arial Unicode MS"/>
          <w:color w:val="000000"/>
          <w:sz w:val="24"/>
          <w:szCs w:val="24"/>
          <w:u w:color="000000"/>
          <w:bdr w:val="nil"/>
          <w:lang w:val="mk-MK"/>
        </w:rPr>
        <w:t xml:space="preserve">. </w:t>
      </w:r>
      <w:r w:rsidR="00A528F1" w:rsidRPr="00A528F1">
        <w:rPr>
          <w:rFonts w:eastAsia="Arial Unicode MS"/>
          <w:color w:val="000000"/>
          <w:sz w:val="24"/>
          <w:szCs w:val="24"/>
          <w:u w:color="000000"/>
          <w:bdr w:val="nil"/>
          <w:lang w:val="mk-MK"/>
        </w:rPr>
        <w:t>Application no. 67336/01</w:t>
      </w:r>
      <w:r w:rsidR="00A528F1">
        <w:rPr>
          <w:rFonts w:eastAsia="Arial Unicode MS"/>
          <w:color w:val="000000"/>
          <w:sz w:val="24"/>
          <w:szCs w:val="24"/>
          <w:u w:color="000000"/>
          <w:bdr w:val="nil"/>
          <w:lang w:val="mk-MK"/>
        </w:rPr>
        <w:t xml:space="preserve">. </w:t>
      </w:r>
      <w:r w:rsidR="00A528F1" w:rsidRPr="00A83F87">
        <w:rPr>
          <w:rFonts w:eastAsia="Arial Unicode MS"/>
          <w:color w:val="000000"/>
          <w:sz w:val="24"/>
          <w:szCs w:val="24"/>
          <w:u w:color="000000"/>
          <w:bdr w:val="nil"/>
          <w:lang w:val="en-US"/>
        </w:rPr>
        <w:t>European Court of Human Rights</w:t>
      </w:r>
    </w:p>
    <w:p w14:paraId="1876EFC2" w14:textId="63B1FD58" w:rsidR="00AD55DD" w:rsidRPr="00AD55DD" w:rsidRDefault="00AD55DD" w:rsidP="00A528F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AD55DD">
        <w:rPr>
          <w:rFonts w:eastAsia="Arial Unicode MS"/>
          <w:color w:val="000000"/>
          <w:sz w:val="24"/>
          <w:szCs w:val="24"/>
          <w:u w:color="000000"/>
          <w:bdr w:val="nil"/>
          <w:lang w:val="mk-MK"/>
        </w:rPr>
        <w:t>De Geouffre de la Pradelle v France (1992)</w:t>
      </w:r>
      <w:r>
        <w:rPr>
          <w:rFonts w:eastAsia="Arial Unicode MS"/>
          <w:color w:val="000000"/>
          <w:sz w:val="24"/>
          <w:szCs w:val="24"/>
          <w:u w:color="000000"/>
          <w:bdr w:val="nil"/>
          <w:lang w:val="en-US"/>
        </w:rPr>
        <w:t xml:space="preserve">. </w:t>
      </w:r>
      <w:r w:rsidRPr="00AD55DD">
        <w:rPr>
          <w:rFonts w:eastAsia="Arial Unicode MS"/>
          <w:color w:val="000000"/>
          <w:sz w:val="24"/>
          <w:szCs w:val="24"/>
          <w:u w:color="000000"/>
          <w:bdr w:val="nil"/>
          <w:lang w:val="en-US"/>
        </w:rPr>
        <w:t>Application no. 12964/87</w:t>
      </w:r>
      <w:r>
        <w:rPr>
          <w:rFonts w:eastAsia="Arial Unicode MS"/>
          <w:color w:val="000000"/>
          <w:sz w:val="24"/>
          <w:szCs w:val="24"/>
          <w:u w:color="000000"/>
          <w:bdr w:val="nil"/>
          <w:lang w:val="en-US"/>
        </w:rPr>
        <w:t xml:space="preserve">. </w:t>
      </w:r>
      <w:r w:rsidRPr="00A83F87">
        <w:rPr>
          <w:rFonts w:eastAsia="Arial Unicode MS"/>
          <w:color w:val="000000"/>
          <w:sz w:val="24"/>
          <w:szCs w:val="24"/>
          <w:u w:color="000000"/>
          <w:bdr w:val="nil"/>
          <w:lang w:val="en-US"/>
        </w:rPr>
        <w:t>European Court</w:t>
      </w:r>
    </w:p>
    <w:p w14:paraId="122384EC" w14:textId="446E2AA1" w:rsidR="00453171" w:rsidRPr="00542306"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Demir and Baykara v Turkey (2009)</w:t>
      </w:r>
      <w:r w:rsidR="00443747">
        <w:rPr>
          <w:rFonts w:eastAsia="Arial Unicode MS"/>
          <w:color w:val="000000"/>
          <w:sz w:val="24"/>
          <w:szCs w:val="24"/>
          <w:u w:color="000000"/>
          <w:bdr w:val="nil"/>
          <w:lang w:val="en-US"/>
        </w:rPr>
        <w:t xml:space="preserve"> </w:t>
      </w:r>
      <w:r w:rsidR="00443747" w:rsidRPr="00443747">
        <w:rPr>
          <w:rFonts w:eastAsia="Arial Unicode MS"/>
          <w:color w:val="000000"/>
          <w:sz w:val="24"/>
          <w:szCs w:val="24"/>
          <w:u w:color="000000"/>
          <w:bdr w:val="nil"/>
          <w:lang w:val="en-US"/>
        </w:rPr>
        <w:t>App. No. 34503/97,</w:t>
      </w:r>
      <w:r w:rsidRPr="003365B0">
        <w:rPr>
          <w:rFonts w:eastAsia="Arial Unicode MS"/>
          <w:color w:val="000000"/>
          <w:sz w:val="24"/>
          <w:szCs w:val="24"/>
          <w:u w:color="000000"/>
          <w:bdr w:val="nil"/>
        </w:rPr>
        <w:t xml:space="preserve"> 48 EHRR 54</w:t>
      </w:r>
    </w:p>
    <w:p w14:paraId="46BC4571" w14:textId="3FC0E547" w:rsidR="00AC429A" w:rsidRPr="00AC429A" w:rsidRDefault="00AC429A"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BF29F2">
        <w:rPr>
          <w:rFonts w:eastAsia="Arial Unicode MS"/>
          <w:color w:val="000000"/>
          <w:sz w:val="24"/>
          <w:szCs w:val="24"/>
          <w:u w:color="000000"/>
          <w:bdr w:val="nil"/>
          <w:lang w:val="mk-MK"/>
        </w:rPr>
        <w:t>Dodge v. Ford Motor Co. (1919)</w:t>
      </w:r>
    </w:p>
    <w:p w14:paraId="567EE41E"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Enerji Yapi-Yol Sen v Turkey Application No 68959/01 (21 April 2009)</w:t>
      </w:r>
      <w:r w:rsidR="004B6C44" w:rsidRPr="003365B0">
        <w:rPr>
          <w:rFonts w:eastAsia="Arial Unicode MS"/>
          <w:color w:val="000000"/>
          <w:sz w:val="24"/>
          <w:szCs w:val="24"/>
          <w:u w:color="000000"/>
          <w:bdr w:val="nil"/>
        </w:rPr>
        <w:t xml:space="preserve"> </w:t>
      </w:r>
    </w:p>
    <w:p w14:paraId="17E7C0F2" w14:textId="0245BDEA" w:rsidR="00220350" w:rsidRPr="00220350" w:rsidRDefault="00D92F49"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D92F49">
        <w:rPr>
          <w:rFonts w:eastAsia="Arial Unicode MS"/>
          <w:color w:val="000000"/>
          <w:sz w:val="24"/>
          <w:szCs w:val="24"/>
          <w:u w:color="000000"/>
          <w:bdr w:val="nil"/>
          <w:lang w:val="en-US"/>
        </w:rPr>
        <w:t>Essent N.V. v Minister van Economische Zaken C-105/12, CJEU, 2013</w:t>
      </w:r>
    </w:p>
    <w:p w14:paraId="2B016151" w14:textId="71D42043"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Fogarty v United Kingdom</w:t>
      </w:r>
      <w:r w:rsidR="00BA201B">
        <w:rPr>
          <w:rFonts w:eastAsia="Arial Unicode MS"/>
          <w:color w:val="000000"/>
          <w:sz w:val="24"/>
          <w:szCs w:val="24"/>
          <w:u w:color="000000"/>
          <w:bdr w:val="nil"/>
          <w:lang w:val="en-US"/>
        </w:rPr>
        <w:t xml:space="preserve">, preparatory works and proceedings, </w:t>
      </w:r>
      <w:r w:rsidRPr="003365B0">
        <w:rPr>
          <w:rFonts w:eastAsia="Arial Unicode MS"/>
          <w:color w:val="000000"/>
          <w:sz w:val="24"/>
          <w:szCs w:val="24"/>
          <w:u w:color="000000"/>
          <w:bdr w:val="nil"/>
        </w:rPr>
        <w:t xml:space="preserve">34 EHRR 12 </w:t>
      </w:r>
    </w:p>
    <w:p w14:paraId="42C58547" w14:textId="25355797" w:rsidR="00BA201B" w:rsidRPr="00BA201B" w:rsidRDefault="00BA201B" w:rsidP="00BA201B">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Fogarty v United Kingdom (2002) 34 EHRR 12 </w:t>
      </w:r>
    </w:p>
    <w:p w14:paraId="2243558B"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Golder v United Kingdom (1979–80) 1 EHRR 524 </w:t>
      </w:r>
    </w:p>
    <w:p w14:paraId="2AC3C663" w14:textId="151E0F0F" w:rsidR="00525500" w:rsidRPr="00525500" w:rsidRDefault="0052550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525500">
        <w:rPr>
          <w:rFonts w:eastAsia="Arial Unicode MS"/>
          <w:color w:val="000000"/>
          <w:sz w:val="24"/>
          <w:szCs w:val="24"/>
          <w:u w:color="000000"/>
          <w:bdr w:val="nil"/>
          <w:lang w:val="en-US"/>
        </w:rPr>
        <w:t xml:space="preserve">Guja v Moldova </w:t>
      </w:r>
      <w:r>
        <w:rPr>
          <w:rFonts w:eastAsia="Arial Unicode MS"/>
          <w:color w:val="000000"/>
          <w:sz w:val="24"/>
          <w:szCs w:val="24"/>
          <w:u w:color="000000"/>
          <w:bdr w:val="nil"/>
          <w:lang w:val="en-US"/>
        </w:rPr>
        <w:t>(2004)</w:t>
      </w:r>
      <w:r w:rsidRPr="00525500">
        <w:rPr>
          <w:rFonts w:eastAsia="Arial Unicode MS"/>
          <w:color w:val="000000"/>
          <w:sz w:val="24"/>
          <w:szCs w:val="24"/>
          <w:u w:color="000000"/>
          <w:bdr w:val="nil"/>
          <w:lang w:val="en-US"/>
        </w:rPr>
        <w:t xml:space="preserve"> Application no. 14277/04, European Court of Human Rights</w:t>
      </w:r>
    </w:p>
    <w:p w14:paraId="1803B3AD" w14:textId="77777777" w:rsidR="00453171"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Gustafsson v Sweden (1996) 22 EHRR 409 </w:t>
      </w:r>
    </w:p>
    <w:p w14:paraId="1FE6335F" w14:textId="6FC6088C" w:rsidR="00085B2D" w:rsidRPr="00085B2D" w:rsidRDefault="00C74EB6"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C74EB6">
        <w:rPr>
          <w:rFonts w:eastAsia="Arial Unicode MS"/>
          <w:color w:val="000000"/>
          <w:sz w:val="24"/>
          <w:szCs w:val="24"/>
          <w:u w:color="000000"/>
          <w:bdr w:val="nil"/>
          <w:lang w:val="en-US"/>
        </w:rPr>
        <w:t>Henningsen v Bloomfield Motors (US) 161 A.2d 69 (NJ, 1960)</w:t>
      </w:r>
    </w:p>
    <w:p w14:paraId="3D2DB902" w14:textId="77777777"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Hrvatski Lijecnicki Sindikat v Croatia App No 36701/09 (27 February 2015)</w:t>
      </w:r>
      <w:r w:rsidR="00B50DBD" w:rsidRPr="003365B0">
        <w:rPr>
          <w:rFonts w:eastAsia="Arial Unicode MS"/>
          <w:color w:val="000000"/>
          <w:sz w:val="24"/>
          <w:szCs w:val="24"/>
          <w:u w:color="000000"/>
          <w:bdr w:val="nil"/>
        </w:rPr>
        <w:t xml:space="preserve"> </w:t>
      </w:r>
    </w:p>
    <w:p w14:paraId="371B79FB" w14:textId="67DE3FF5" w:rsidR="00D66390" w:rsidRPr="00D66390" w:rsidRDefault="00D6639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D66390">
        <w:rPr>
          <w:rFonts w:eastAsia="Arial Unicode MS"/>
          <w:color w:val="000000"/>
          <w:sz w:val="24"/>
          <w:szCs w:val="24"/>
          <w:u w:color="000000"/>
          <w:bdr w:val="nil"/>
          <w:lang w:val="en-US"/>
        </w:rPr>
        <w:t>INA–MOL Arbitration and Croatian Court Proceedings</w:t>
      </w:r>
    </w:p>
    <w:p w14:paraId="4359901B" w14:textId="77777777"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3365B0">
        <w:rPr>
          <w:rFonts w:eastAsia="Arial Unicode MS"/>
          <w:color w:val="000000"/>
          <w:sz w:val="24"/>
          <w:szCs w:val="24"/>
          <w:u w:color="000000"/>
          <w:bdr w:val="nil"/>
        </w:rPr>
        <w:t>Junta Rectora del Ertzainen Nazional Elkartasuna v Spain App No 45829/09 (21 April 2015)</w:t>
      </w:r>
      <w:r w:rsidR="002A0D5C" w:rsidRPr="003365B0">
        <w:rPr>
          <w:rFonts w:eastAsia="Arial Unicode MS"/>
          <w:color w:val="000000"/>
          <w:sz w:val="24"/>
          <w:szCs w:val="24"/>
          <w:u w:color="000000"/>
          <w:bdr w:val="nil"/>
        </w:rPr>
        <w:t xml:space="preserve"> </w:t>
      </w:r>
    </w:p>
    <w:p w14:paraId="7C5442D5" w14:textId="64B38ED8" w:rsidR="00D66390" w:rsidRPr="00D66390" w:rsidRDefault="004A50C2"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4A50C2">
        <w:rPr>
          <w:rFonts w:eastAsia="Arial Unicode MS"/>
          <w:color w:val="000000"/>
          <w:sz w:val="24"/>
          <w:szCs w:val="24"/>
          <w:u w:color="000000"/>
          <w:bdr w:val="nil"/>
          <w:lang w:val="en-US"/>
        </w:rPr>
        <w:t>Kadi v Council and Commission C-402/05 P, CJEU, 2008</w:t>
      </w:r>
    </w:p>
    <w:p w14:paraId="23EF5AD5" w14:textId="307C5906"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Karaçay v Turkey App No 6615/03 (27 March 2007) </w:t>
      </w:r>
    </w:p>
    <w:p w14:paraId="1DB621B7" w14:textId="77777777"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Kaya and Seyhan v Turkey App No 30946/04 (15 December 2009) </w:t>
      </w:r>
    </w:p>
    <w:p w14:paraId="0E1DF19E" w14:textId="50ACBE93" w:rsidR="00A83F87" w:rsidRDefault="00A83F87"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A83F87">
        <w:rPr>
          <w:rFonts w:eastAsia="Arial Unicode MS"/>
          <w:color w:val="000000"/>
          <w:sz w:val="24"/>
          <w:szCs w:val="24"/>
          <w:u w:color="000000"/>
          <w:bdr w:val="nil"/>
          <w:lang w:val="en-US"/>
        </w:rPr>
        <w:t>Kopecký v. Slovakia (2004). Application no. 44912/98. European Court of Human Rights.</w:t>
      </w:r>
    </w:p>
    <w:p w14:paraId="1BDB0954" w14:textId="2AB87270" w:rsidR="00254A30" w:rsidRDefault="00254A3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254A30">
        <w:rPr>
          <w:rFonts w:eastAsia="Arial Unicode MS"/>
          <w:color w:val="000000"/>
          <w:sz w:val="24"/>
          <w:szCs w:val="24"/>
          <w:u w:color="000000"/>
          <w:bdr w:val="nil"/>
          <w:lang w:val="en-US"/>
        </w:rPr>
        <w:t>Kotlyar v Russia (2017)</w:t>
      </w:r>
      <w:r>
        <w:rPr>
          <w:rFonts w:eastAsia="Arial Unicode MS"/>
          <w:color w:val="000000"/>
          <w:sz w:val="24"/>
          <w:szCs w:val="24"/>
          <w:u w:color="000000"/>
          <w:bdr w:val="nil"/>
          <w:lang w:val="en-US"/>
        </w:rPr>
        <w:t>.</w:t>
      </w:r>
      <w:r w:rsidR="00646324">
        <w:rPr>
          <w:rFonts w:eastAsia="Arial Unicode MS"/>
          <w:color w:val="000000"/>
          <w:sz w:val="24"/>
          <w:szCs w:val="24"/>
          <w:u w:color="000000"/>
          <w:bdr w:val="nil"/>
          <w:lang w:val="en-US"/>
        </w:rPr>
        <w:t xml:space="preserve"> </w:t>
      </w:r>
      <w:r w:rsidR="00646324" w:rsidRPr="00646324">
        <w:rPr>
          <w:rFonts w:eastAsia="Arial Unicode MS"/>
          <w:color w:val="000000"/>
          <w:sz w:val="24"/>
          <w:szCs w:val="24"/>
          <w:u w:color="000000"/>
          <w:bdr w:val="nil"/>
          <w:lang w:val="en-US"/>
        </w:rPr>
        <w:t>Application nos. 38825/16</w:t>
      </w:r>
      <w:r w:rsidR="00646324">
        <w:rPr>
          <w:rFonts w:eastAsia="Arial Unicode MS"/>
          <w:color w:val="000000"/>
          <w:sz w:val="24"/>
          <w:szCs w:val="24"/>
          <w:u w:color="000000"/>
          <w:bdr w:val="nil"/>
          <w:lang w:val="en-US"/>
        </w:rPr>
        <w:t xml:space="preserve">. </w:t>
      </w:r>
      <w:r w:rsidR="00646324" w:rsidRPr="00A83F87">
        <w:rPr>
          <w:rFonts w:eastAsia="Arial Unicode MS"/>
          <w:color w:val="000000"/>
          <w:sz w:val="24"/>
          <w:szCs w:val="24"/>
          <w:u w:color="000000"/>
          <w:bdr w:val="nil"/>
          <w:lang w:val="en-US"/>
        </w:rPr>
        <w:t>European Court of Human Rights</w:t>
      </w:r>
      <w:r w:rsidR="00646324">
        <w:rPr>
          <w:rFonts w:eastAsia="Arial Unicode MS"/>
          <w:color w:val="000000"/>
          <w:sz w:val="24"/>
          <w:szCs w:val="24"/>
          <w:u w:color="000000"/>
          <w:bdr w:val="nil"/>
          <w:lang w:val="en-US"/>
        </w:rPr>
        <w:t xml:space="preserve">. </w:t>
      </w:r>
    </w:p>
    <w:p w14:paraId="4122A9D2" w14:textId="711255E3" w:rsidR="0085699E" w:rsidRPr="0085699E" w:rsidRDefault="0085699E"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85699E">
        <w:rPr>
          <w:rFonts w:eastAsia="Arial Unicode MS"/>
          <w:color w:val="000000"/>
          <w:sz w:val="24"/>
          <w:szCs w:val="24"/>
          <w:u w:color="000000"/>
          <w:bdr w:val="nil"/>
          <w:lang w:val="mk-MK"/>
        </w:rPr>
        <w:t>Kreuz v Poland (2001)</w:t>
      </w:r>
      <w:r>
        <w:rPr>
          <w:rFonts w:eastAsia="Arial Unicode MS"/>
          <w:color w:val="000000"/>
          <w:sz w:val="24"/>
          <w:szCs w:val="24"/>
          <w:u w:color="000000"/>
          <w:bdr w:val="nil"/>
          <w:lang w:val="en-US"/>
        </w:rPr>
        <w:t xml:space="preserve">. </w:t>
      </w:r>
      <w:r w:rsidR="00A71158" w:rsidRPr="00A71158">
        <w:rPr>
          <w:rFonts w:eastAsia="Arial Unicode MS"/>
          <w:color w:val="000000"/>
          <w:sz w:val="24"/>
          <w:szCs w:val="24"/>
          <w:u w:color="000000"/>
          <w:bdr w:val="nil"/>
          <w:lang w:val="en-US"/>
        </w:rPr>
        <w:t>Application no. 28249/95</w:t>
      </w:r>
      <w:r w:rsidR="00A71158">
        <w:rPr>
          <w:rFonts w:eastAsia="Arial Unicode MS"/>
          <w:color w:val="000000"/>
          <w:sz w:val="24"/>
          <w:szCs w:val="24"/>
          <w:u w:color="000000"/>
          <w:bdr w:val="nil"/>
          <w:lang w:val="en-US"/>
        </w:rPr>
        <w:t xml:space="preserve">. </w:t>
      </w:r>
      <w:r w:rsidR="00A71158" w:rsidRPr="00A83F87">
        <w:rPr>
          <w:rFonts w:eastAsia="Arial Unicode MS"/>
          <w:color w:val="000000"/>
          <w:sz w:val="24"/>
          <w:szCs w:val="24"/>
          <w:u w:color="000000"/>
          <w:bdr w:val="nil"/>
          <w:lang w:val="en-US"/>
        </w:rPr>
        <w:t>European Court of Human Rights.</w:t>
      </w:r>
    </w:p>
    <w:p w14:paraId="68BAD7B1" w14:textId="25CEB94F" w:rsidR="00DC1251" w:rsidRPr="001E6E96" w:rsidRDefault="00DC1251"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DC1251">
        <w:rPr>
          <w:rFonts w:eastAsia="Arial Unicode MS"/>
          <w:color w:val="000000"/>
          <w:sz w:val="24"/>
          <w:szCs w:val="24"/>
          <w:u w:color="000000"/>
          <w:bdr w:val="nil"/>
          <w:lang w:val="mk-MK"/>
        </w:rPr>
        <w:t>Kudeshkina v Russia (2009)</w:t>
      </w:r>
      <w:r w:rsidR="001E6E96">
        <w:rPr>
          <w:rFonts w:eastAsia="Arial Unicode MS"/>
          <w:color w:val="000000"/>
          <w:sz w:val="24"/>
          <w:szCs w:val="24"/>
          <w:u w:color="000000"/>
          <w:bdr w:val="nil"/>
          <w:lang w:val="mk-MK"/>
        </w:rPr>
        <w:t xml:space="preserve">. </w:t>
      </w:r>
      <w:r w:rsidR="001E6E96" w:rsidRPr="001E6E96">
        <w:rPr>
          <w:rFonts w:eastAsia="Arial Unicode MS"/>
          <w:color w:val="000000"/>
          <w:sz w:val="24"/>
          <w:szCs w:val="24"/>
          <w:u w:color="000000"/>
          <w:bdr w:val="nil"/>
          <w:lang w:val="mk-MK"/>
        </w:rPr>
        <w:t>Application no. 29492/05</w:t>
      </w:r>
      <w:r w:rsidR="001E6E96">
        <w:rPr>
          <w:rFonts w:eastAsia="Arial Unicode MS"/>
          <w:color w:val="000000"/>
          <w:sz w:val="24"/>
          <w:szCs w:val="24"/>
          <w:u w:color="000000"/>
          <w:bdr w:val="nil"/>
          <w:lang w:val="mk-MK"/>
        </w:rPr>
        <w:t xml:space="preserve">. </w:t>
      </w:r>
      <w:r w:rsidR="001E6E96" w:rsidRPr="00A83F87">
        <w:rPr>
          <w:rFonts w:eastAsia="Arial Unicode MS"/>
          <w:color w:val="000000"/>
          <w:sz w:val="24"/>
          <w:szCs w:val="24"/>
          <w:u w:color="000000"/>
          <w:bdr w:val="nil"/>
          <w:lang w:val="en-US"/>
        </w:rPr>
        <w:t>European Court of Human Rights</w:t>
      </w:r>
      <w:r w:rsidR="001E6E96">
        <w:rPr>
          <w:rFonts w:eastAsia="Arial Unicode MS"/>
          <w:color w:val="000000"/>
          <w:sz w:val="24"/>
          <w:szCs w:val="24"/>
          <w:u w:color="000000"/>
          <w:bdr w:val="nil"/>
          <w:lang w:val="mk-MK"/>
        </w:rPr>
        <w:t>.</w:t>
      </w:r>
    </w:p>
    <w:p w14:paraId="2C9FBB36" w14:textId="578B17D4"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lastRenderedPageBreak/>
        <w:t xml:space="preserve">Loizidou v Turkey (1997) 23 EHRR 513 </w:t>
      </w:r>
    </w:p>
    <w:p w14:paraId="4C750CA2" w14:textId="1A9FA63B" w:rsidR="006A05D7" w:rsidRDefault="00F4571C" w:rsidP="00453171">
      <w:pPr>
        <w:pBdr>
          <w:top w:val="nil"/>
          <w:left w:val="nil"/>
          <w:bottom w:val="nil"/>
          <w:right w:val="nil"/>
          <w:between w:val="nil"/>
          <w:bar w:val="nil"/>
        </w:pBdr>
        <w:ind w:left="-360" w:right="-970" w:firstLine="360"/>
        <w:rPr>
          <w:rFonts w:eastAsia="Arial Unicode MS"/>
          <w:color w:val="000000"/>
          <w:sz w:val="24"/>
          <w:szCs w:val="24"/>
          <w:u w:color="000000"/>
          <w:bdr w:val="nil"/>
          <w:lang w:val="en-US"/>
        </w:rPr>
      </w:pPr>
      <w:r w:rsidRPr="00F4571C">
        <w:rPr>
          <w:rFonts w:eastAsia="Arial Unicode MS"/>
          <w:color w:val="000000"/>
          <w:sz w:val="24"/>
          <w:szCs w:val="24"/>
          <w:u w:color="000000"/>
          <w:bdr w:val="nil"/>
          <w:lang w:val="en-US"/>
        </w:rPr>
        <w:t>Lucchini v Italy C-119/05, CJEU, 2007</w:t>
      </w:r>
      <w:r>
        <w:rPr>
          <w:rFonts w:eastAsia="Arial Unicode MS"/>
          <w:color w:val="000000"/>
          <w:sz w:val="24"/>
          <w:szCs w:val="24"/>
          <w:u w:color="000000"/>
          <w:bdr w:val="nil"/>
          <w:lang w:val="en-US"/>
        </w:rPr>
        <w:t>.</w:t>
      </w:r>
    </w:p>
    <w:p w14:paraId="25B71AA1" w14:textId="32143654" w:rsidR="002A0D5C" w:rsidRDefault="003365B0" w:rsidP="00453171">
      <w:pPr>
        <w:pBdr>
          <w:top w:val="nil"/>
          <w:left w:val="nil"/>
          <w:bottom w:val="nil"/>
          <w:right w:val="nil"/>
          <w:between w:val="nil"/>
          <w:bar w:val="nil"/>
        </w:pBdr>
        <w:ind w:left="-360" w:right="-970" w:firstLine="360"/>
        <w:rPr>
          <w:rFonts w:eastAsia="Arial Unicode MS"/>
          <w:color w:val="000000"/>
          <w:sz w:val="24"/>
          <w:szCs w:val="24"/>
          <w:u w:color="000000"/>
          <w:bdr w:val="nil"/>
          <w:lang w:val="mk-MK"/>
        </w:rPr>
      </w:pPr>
      <w:r w:rsidRPr="003365B0">
        <w:rPr>
          <w:rFonts w:eastAsia="Arial Unicode MS"/>
          <w:color w:val="000000"/>
          <w:sz w:val="24"/>
          <w:szCs w:val="24"/>
          <w:u w:color="000000"/>
          <w:bdr w:val="nil"/>
        </w:rPr>
        <w:t xml:space="preserve">Mamatkulov v Turkey (2005) 41 EHRR 25 </w:t>
      </w:r>
    </w:p>
    <w:p w14:paraId="3084D950" w14:textId="46000081" w:rsidR="00CA3147" w:rsidRPr="00CA3147" w:rsidRDefault="003365B0"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Matelly v France App No 10609/10 (2 January 2015) </w:t>
      </w:r>
      <w:r w:rsidRPr="003365B0">
        <w:rPr>
          <w:rFonts w:eastAsia="Arial Unicode MS"/>
          <w:color w:val="000000"/>
          <w:sz w:val="24"/>
          <w:szCs w:val="24"/>
          <w:u w:color="000000"/>
          <w:bdr w:val="nil"/>
        </w:rPr>
        <w:br/>
        <w:t xml:space="preserve">McElhinney v Ireland (2000) 29 EHRR CD214 </w:t>
      </w:r>
    </w:p>
    <w:p w14:paraId="62609271" w14:textId="77777777" w:rsidR="008D3141" w:rsidRDefault="00AB0B2F"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AB0B2F">
        <w:rPr>
          <w:rFonts w:eastAsia="Arial Unicode MS"/>
          <w:color w:val="000000"/>
          <w:sz w:val="24"/>
          <w:szCs w:val="24"/>
          <w:u w:color="000000"/>
          <w:bdr w:val="nil"/>
        </w:rPr>
        <w:t>National &amp; Provincial Building Society v. the United Kingdom (21319/93) [1997] ECHR 1466 (23 October 1997).</w:t>
      </w:r>
      <w:r w:rsidR="003365B0" w:rsidRPr="003365B0">
        <w:rPr>
          <w:rFonts w:eastAsia="Arial Unicode MS"/>
          <w:color w:val="000000"/>
          <w:sz w:val="24"/>
          <w:szCs w:val="24"/>
          <w:u w:color="000000"/>
          <w:bdr w:val="nil"/>
        </w:rPr>
        <w:br/>
        <w:t>National Union of Belgian Police v Belgium App No 4464/70 (EComHR Report of 27 May 1974)</w:t>
      </w:r>
      <w:r w:rsidR="003365B0" w:rsidRPr="003365B0">
        <w:rPr>
          <w:rFonts w:eastAsia="Arial Unicode MS"/>
          <w:color w:val="000000"/>
          <w:sz w:val="24"/>
          <w:szCs w:val="24"/>
          <w:u w:color="000000"/>
          <w:bdr w:val="nil"/>
        </w:rPr>
        <w:br/>
        <w:t xml:space="preserve">National Union of Belgian Police v Belgium (1979–80) 1 EHRR 578 </w:t>
      </w:r>
      <w:r w:rsidR="003365B0" w:rsidRPr="003365B0">
        <w:rPr>
          <w:rFonts w:eastAsia="Arial Unicode MS"/>
          <w:color w:val="000000"/>
          <w:sz w:val="24"/>
          <w:szCs w:val="24"/>
          <w:u w:color="000000"/>
          <w:bdr w:val="nil"/>
        </w:rPr>
        <w:br/>
        <w:t xml:space="preserve">National Union of Rail, Maritime and Transport Workers (RMT) v United Kingdom (2015) 60 EHRR </w:t>
      </w:r>
      <w:r w:rsidR="003365B0" w:rsidRPr="003365B0">
        <w:rPr>
          <w:rFonts w:eastAsia="Arial Unicode MS"/>
          <w:color w:val="000000"/>
          <w:sz w:val="24"/>
          <w:szCs w:val="24"/>
          <w:u w:color="000000"/>
          <w:bdr w:val="nil"/>
        </w:rPr>
        <w:br/>
        <w:t>Ognevenko v Russia App No 44873/09 (20 November 2018)</w:t>
      </w:r>
      <w:r w:rsidR="003365B0" w:rsidRPr="003365B0">
        <w:rPr>
          <w:rFonts w:eastAsia="Arial Unicode MS"/>
          <w:color w:val="000000"/>
          <w:sz w:val="24"/>
          <w:szCs w:val="24"/>
          <w:u w:color="000000"/>
          <w:bdr w:val="nil"/>
        </w:rPr>
        <w:br/>
        <w:t xml:space="preserve">Ólafsson v Iceland (2013) 56 EHRR 21 </w:t>
      </w:r>
      <w:r w:rsidR="003365B0" w:rsidRPr="003365B0">
        <w:rPr>
          <w:rFonts w:eastAsia="Arial Unicode MS"/>
          <w:color w:val="000000"/>
          <w:sz w:val="24"/>
          <w:szCs w:val="24"/>
          <w:u w:color="000000"/>
          <w:bdr w:val="nil"/>
        </w:rPr>
        <w:br/>
        <w:t xml:space="preserve">Plattform ‘Ärzte für das Leben’ v Austria (1991) 13 EHRR 204 </w:t>
      </w:r>
      <w:r w:rsidR="003365B0" w:rsidRPr="003365B0">
        <w:rPr>
          <w:rFonts w:eastAsia="Arial Unicode MS"/>
          <w:color w:val="000000"/>
          <w:sz w:val="24"/>
          <w:szCs w:val="24"/>
          <w:u w:color="000000"/>
          <w:bdr w:val="nil"/>
        </w:rPr>
        <w:br/>
        <w:t>Professional Trades Union for Prison, Correctional and Secure Psychiatric Workers (POA) v United Kingdom App No 59253/11 (21 May 2013)</w:t>
      </w:r>
      <w:r w:rsidR="003365B0" w:rsidRPr="003365B0">
        <w:rPr>
          <w:rFonts w:eastAsia="Arial Unicode MS"/>
          <w:color w:val="000000"/>
          <w:sz w:val="24"/>
          <w:szCs w:val="24"/>
          <w:u w:color="000000"/>
          <w:bdr w:val="nil"/>
        </w:rPr>
        <w:br/>
        <w:t xml:space="preserve">Rantsev v Cyprus and Russia (2010) 51 EHRR 1 </w:t>
      </w:r>
      <w:r w:rsidR="003365B0" w:rsidRPr="003365B0">
        <w:rPr>
          <w:rFonts w:eastAsia="Arial Unicode MS"/>
          <w:color w:val="000000"/>
          <w:sz w:val="24"/>
          <w:szCs w:val="24"/>
          <w:u w:color="000000"/>
          <w:bdr w:val="nil"/>
        </w:rPr>
        <w:br/>
        <w:t>RMT v United Kingdom – See National Union of Rail, Maritime and Transport Workers v U</w:t>
      </w:r>
      <w:r w:rsidR="002A0D5C">
        <w:rPr>
          <w:rFonts w:eastAsia="Arial Unicode MS"/>
          <w:color w:val="000000"/>
          <w:sz w:val="24"/>
          <w:szCs w:val="24"/>
          <w:u w:color="000000"/>
          <w:bdr w:val="nil"/>
          <w:lang w:val="mk-MK"/>
        </w:rPr>
        <w:t>К</w:t>
      </w:r>
    </w:p>
    <w:p w14:paraId="6946688C" w14:textId="51D3D4AD" w:rsidR="00CD65F3" w:rsidRDefault="008D3141"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8D3141">
        <w:rPr>
          <w:rFonts w:eastAsia="Arial Unicode MS"/>
          <w:color w:val="000000"/>
          <w:sz w:val="24"/>
          <w:szCs w:val="24"/>
          <w:u w:color="000000"/>
          <w:bdr w:val="nil"/>
        </w:rPr>
        <w:t>Rasmussen v Poland (2019)</w:t>
      </w:r>
      <w:r>
        <w:rPr>
          <w:rFonts w:eastAsia="Arial Unicode MS"/>
          <w:color w:val="000000"/>
          <w:sz w:val="24"/>
          <w:szCs w:val="24"/>
          <w:u w:color="000000"/>
          <w:bdr w:val="nil"/>
          <w:lang w:val="en-US"/>
        </w:rPr>
        <w:t xml:space="preserve">. </w:t>
      </w:r>
      <w:r w:rsidR="000911A7" w:rsidRPr="000911A7">
        <w:rPr>
          <w:rFonts w:eastAsia="Arial Unicode MS"/>
          <w:color w:val="000000"/>
          <w:sz w:val="24"/>
          <w:szCs w:val="24"/>
          <w:u w:color="000000"/>
          <w:bdr w:val="nil"/>
          <w:lang w:val="en-US"/>
        </w:rPr>
        <w:t>Application no. 38886/05</w:t>
      </w:r>
      <w:r w:rsidR="000911A7">
        <w:rPr>
          <w:rFonts w:eastAsia="Arial Unicode MS"/>
          <w:color w:val="000000"/>
          <w:sz w:val="24"/>
          <w:szCs w:val="24"/>
          <w:u w:color="000000"/>
          <w:bdr w:val="nil"/>
          <w:lang w:val="en-US"/>
        </w:rPr>
        <w:t xml:space="preserve">. </w:t>
      </w:r>
      <w:r w:rsidR="000911A7" w:rsidRPr="00A83F87">
        <w:rPr>
          <w:rFonts w:eastAsia="Arial Unicode MS"/>
          <w:color w:val="000000"/>
          <w:sz w:val="24"/>
          <w:szCs w:val="24"/>
          <w:u w:color="000000"/>
          <w:bdr w:val="nil"/>
          <w:lang w:val="en-US"/>
        </w:rPr>
        <w:t>European Court of Human Rights</w:t>
      </w:r>
      <w:r w:rsidR="000911A7">
        <w:rPr>
          <w:rFonts w:eastAsia="Arial Unicode MS"/>
          <w:color w:val="000000"/>
          <w:sz w:val="24"/>
          <w:szCs w:val="24"/>
          <w:u w:color="000000"/>
          <w:bdr w:val="nil"/>
          <w:lang w:val="en-US"/>
        </w:rPr>
        <w:t xml:space="preserve">. </w:t>
      </w:r>
      <w:r w:rsidR="003365B0" w:rsidRPr="003365B0">
        <w:rPr>
          <w:rFonts w:eastAsia="Arial Unicode MS"/>
          <w:color w:val="000000"/>
          <w:sz w:val="24"/>
          <w:szCs w:val="24"/>
          <w:u w:color="000000"/>
          <w:bdr w:val="nil"/>
        </w:rPr>
        <w:br/>
        <w:t xml:space="preserve">Saadi v United Kingdom (2008) 47 EHRR 17 </w:t>
      </w:r>
    </w:p>
    <w:p w14:paraId="64CD78A6" w14:textId="385239FF" w:rsidR="00B50DBD" w:rsidRDefault="00CD65F3" w:rsidP="002A0D5C">
      <w:pPr>
        <w:pBdr>
          <w:top w:val="nil"/>
          <w:left w:val="nil"/>
          <w:bottom w:val="nil"/>
          <w:right w:val="nil"/>
          <w:between w:val="nil"/>
          <w:bar w:val="nil"/>
        </w:pBdr>
        <w:ind w:right="-970"/>
        <w:rPr>
          <w:rFonts w:eastAsia="Arial Unicode MS"/>
          <w:color w:val="000000"/>
          <w:sz w:val="24"/>
          <w:szCs w:val="24"/>
          <w:u w:color="000000"/>
          <w:bdr w:val="nil"/>
          <w:lang w:val="mk-MK"/>
        </w:rPr>
      </w:pPr>
      <w:r w:rsidRPr="00CD65F3">
        <w:rPr>
          <w:rFonts w:eastAsia="Arial Unicode MS"/>
          <w:color w:val="000000"/>
          <w:sz w:val="24"/>
          <w:szCs w:val="24"/>
          <w:u w:color="000000"/>
          <w:bdr w:val="nil"/>
        </w:rPr>
        <w:t>Schuler-Zgraggen v. Switzerland, App. No. 14537/89 (Eur. Ct. H.R. 1993)</w:t>
      </w:r>
      <w:r w:rsidR="003365B0" w:rsidRPr="003365B0">
        <w:rPr>
          <w:rFonts w:eastAsia="Arial Unicode MS"/>
          <w:color w:val="000000"/>
          <w:sz w:val="24"/>
          <w:szCs w:val="24"/>
          <w:u w:color="000000"/>
          <w:bdr w:val="nil"/>
        </w:rPr>
        <w:br/>
        <w:t xml:space="preserve">Schmidt and Dahlström v Sweden (1979–80) 1 EHRR 632 </w:t>
      </w:r>
      <w:r w:rsidR="003365B0" w:rsidRPr="003365B0">
        <w:rPr>
          <w:rFonts w:eastAsia="Arial Unicode MS"/>
          <w:color w:val="000000"/>
          <w:sz w:val="24"/>
          <w:szCs w:val="24"/>
          <w:u w:color="000000"/>
          <w:bdr w:val="nil"/>
        </w:rPr>
        <w:br/>
        <w:t xml:space="preserve">Sezer v Turkey App No 36807/07 (26 June 2015) </w:t>
      </w:r>
      <w:r w:rsidR="003365B0" w:rsidRPr="003365B0">
        <w:rPr>
          <w:rFonts w:eastAsia="Arial Unicode MS"/>
          <w:color w:val="000000"/>
          <w:sz w:val="24"/>
          <w:szCs w:val="24"/>
          <w:u w:color="000000"/>
          <w:bdr w:val="nil"/>
        </w:rPr>
        <w:br/>
        <w:t xml:space="preserve">Sibson v United Kingdom (1994) 17 EHRR 193 </w:t>
      </w:r>
      <w:r w:rsidR="003365B0" w:rsidRPr="003365B0">
        <w:rPr>
          <w:rFonts w:eastAsia="Arial Unicode MS"/>
          <w:color w:val="000000"/>
          <w:sz w:val="24"/>
          <w:szCs w:val="24"/>
          <w:u w:color="000000"/>
          <w:bdr w:val="nil"/>
        </w:rPr>
        <w:br/>
        <w:t xml:space="preserve">Sidabras and Dziautas v Lithuania (2006) 42 EHRR 6 </w:t>
      </w:r>
      <w:r w:rsidR="003365B0" w:rsidRPr="003365B0">
        <w:rPr>
          <w:rFonts w:eastAsia="Arial Unicode MS"/>
          <w:color w:val="000000"/>
          <w:sz w:val="24"/>
          <w:szCs w:val="24"/>
          <w:u w:color="000000"/>
          <w:bdr w:val="nil"/>
        </w:rPr>
        <w:br/>
        <w:t xml:space="preserve">Sigurjonsson v Iceland (1993) 16 EHRR 462 </w:t>
      </w:r>
    </w:p>
    <w:p w14:paraId="1176EBB1" w14:textId="77777777" w:rsidR="007F08C0" w:rsidRDefault="003365B0"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Siliadin v France (2006) 43 EHRR 16 </w:t>
      </w:r>
      <w:r w:rsidRPr="003365B0">
        <w:rPr>
          <w:rFonts w:eastAsia="Arial Unicode MS"/>
          <w:color w:val="000000"/>
          <w:sz w:val="24"/>
          <w:szCs w:val="24"/>
          <w:u w:color="000000"/>
          <w:bdr w:val="nil"/>
        </w:rPr>
        <w:br/>
        <w:t xml:space="preserve">Sindicatul ‘Pastorul Cel Bun’ v Romania (2014) 58 EHRR 10 </w:t>
      </w:r>
      <w:r w:rsidRPr="003365B0">
        <w:rPr>
          <w:rFonts w:eastAsia="Arial Unicode MS"/>
          <w:color w:val="000000"/>
          <w:sz w:val="24"/>
          <w:szCs w:val="24"/>
          <w:u w:color="000000"/>
          <w:bdr w:val="nil"/>
        </w:rPr>
        <w:br/>
        <w:t>Sisman and others v Turkey App No 1305/05 (8 March 2012)</w:t>
      </w:r>
    </w:p>
    <w:p w14:paraId="79C548E1" w14:textId="77777777" w:rsidR="00F75ACD" w:rsidRDefault="007F08C0"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BF29F2">
        <w:rPr>
          <w:rFonts w:eastAsia="Arial Unicode MS"/>
          <w:color w:val="000000"/>
          <w:sz w:val="24"/>
          <w:szCs w:val="24"/>
          <w:u w:color="000000"/>
          <w:bdr w:val="nil"/>
          <w:lang w:val="mk-MK"/>
        </w:rPr>
        <w:t>Smith v. Van Gorkom (1985)</w:t>
      </w:r>
      <w:r w:rsidR="003365B0" w:rsidRPr="003365B0">
        <w:rPr>
          <w:rFonts w:eastAsia="Arial Unicode MS"/>
          <w:color w:val="000000"/>
          <w:sz w:val="24"/>
          <w:szCs w:val="24"/>
          <w:u w:color="000000"/>
          <w:bdr w:val="nil"/>
        </w:rPr>
        <w:t xml:space="preserve"> </w:t>
      </w:r>
      <w:r w:rsidR="003365B0" w:rsidRPr="003365B0">
        <w:rPr>
          <w:rFonts w:eastAsia="Arial Unicode MS"/>
          <w:color w:val="000000"/>
          <w:sz w:val="24"/>
          <w:szCs w:val="24"/>
          <w:u w:color="000000"/>
          <w:bdr w:val="nil"/>
        </w:rPr>
        <w:br/>
        <w:t xml:space="preserve">Soering v United Kingdom (1989) 11 EHRR 439 </w:t>
      </w:r>
    </w:p>
    <w:p w14:paraId="53BDD5B8" w14:textId="03F5366B" w:rsidR="0053683C" w:rsidRPr="0053683C" w:rsidRDefault="0053683C"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53683C">
        <w:rPr>
          <w:rFonts w:eastAsia="Arial Unicode MS"/>
          <w:color w:val="000000"/>
          <w:sz w:val="24"/>
          <w:szCs w:val="24"/>
          <w:u w:color="000000"/>
          <w:bdr w:val="nil"/>
          <w:lang w:val="en-US"/>
        </w:rPr>
        <w:t>Sovtransavto Holding v. Ukraine (2002). Application no. 48553/99. European Court of Human Rights</w:t>
      </w:r>
    </w:p>
    <w:p w14:paraId="27817260" w14:textId="77777777" w:rsidR="0053683C" w:rsidRDefault="00F75ACD" w:rsidP="002A0D5C">
      <w:pPr>
        <w:pBdr>
          <w:top w:val="nil"/>
          <w:left w:val="nil"/>
          <w:bottom w:val="nil"/>
          <w:right w:val="nil"/>
          <w:between w:val="nil"/>
          <w:bar w:val="nil"/>
        </w:pBdr>
        <w:ind w:right="-970"/>
        <w:rPr>
          <w:rFonts w:eastAsia="Arial Unicode MS"/>
          <w:color w:val="000000"/>
          <w:sz w:val="24"/>
          <w:szCs w:val="24"/>
          <w:u w:color="000000"/>
          <w:bdr w:val="nil"/>
          <w:lang w:val="mk-MK"/>
        </w:rPr>
      </w:pPr>
      <w:r w:rsidRPr="00F75ACD">
        <w:rPr>
          <w:rFonts w:eastAsia="Arial Unicode MS"/>
          <w:color w:val="000000"/>
          <w:sz w:val="24"/>
          <w:szCs w:val="24"/>
          <w:u w:color="000000"/>
          <w:bdr w:val="nil"/>
        </w:rPr>
        <w:t>Stec and Others v. United Kingdom, App. No. 65731/01 (Eur. Ct. H.R. 2006)</w:t>
      </w:r>
      <w:r w:rsidR="003365B0" w:rsidRPr="003365B0">
        <w:rPr>
          <w:rFonts w:eastAsia="Arial Unicode MS"/>
          <w:color w:val="000000"/>
          <w:sz w:val="24"/>
          <w:szCs w:val="24"/>
          <w:u w:color="000000"/>
          <w:bdr w:val="nil"/>
        </w:rPr>
        <w:br/>
        <w:t>Sørensen and Rasmussen v Denmark (2008) 46 EHRR 29</w:t>
      </w:r>
      <w:r w:rsidR="003365B0" w:rsidRPr="003365B0">
        <w:rPr>
          <w:rFonts w:eastAsia="Arial Unicode MS"/>
          <w:color w:val="000000"/>
          <w:sz w:val="24"/>
          <w:szCs w:val="24"/>
          <w:u w:color="000000"/>
          <w:bdr w:val="nil"/>
        </w:rPr>
        <w:br/>
        <w:t xml:space="preserve">Swedish Engine Drivers’ Union v Sweden (1979–80) 1 EHRR 617 </w:t>
      </w:r>
      <w:r w:rsidR="003365B0" w:rsidRPr="003365B0">
        <w:rPr>
          <w:rFonts w:eastAsia="Arial Unicode MS"/>
          <w:color w:val="000000"/>
          <w:sz w:val="24"/>
          <w:szCs w:val="24"/>
          <w:u w:color="000000"/>
          <w:bdr w:val="nil"/>
        </w:rPr>
        <w:br/>
        <w:t xml:space="preserve">Tek Gıda İş Sendikası v Turkey App No 35009/05 (4 April 2017) </w:t>
      </w:r>
    </w:p>
    <w:p w14:paraId="2AA87DE8" w14:textId="7E8DEE4C" w:rsidR="00A528F1" w:rsidRPr="00025A04" w:rsidRDefault="00A528F1"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A528F1">
        <w:rPr>
          <w:rFonts w:eastAsia="Arial Unicode MS"/>
          <w:color w:val="000000"/>
          <w:sz w:val="24"/>
          <w:szCs w:val="24"/>
          <w:u w:color="000000"/>
          <w:bdr w:val="nil"/>
        </w:rPr>
        <w:t>Trade Union of the Police in the Slovak Republic v Slovakia</w:t>
      </w:r>
      <w:r>
        <w:rPr>
          <w:rFonts w:eastAsia="Arial Unicode MS"/>
          <w:color w:val="000000"/>
          <w:sz w:val="24"/>
          <w:szCs w:val="24"/>
          <w:u w:color="000000"/>
          <w:bdr w:val="nil"/>
          <w:lang w:val="mk-MK"/>
        </w:rPr>
        <w:t>.</w:t>
      </w:r>
      <w:r w:rsidR="00025A04">
        <w:rPr>
          <w:rFonts w:eastAsia="Arial Unicode MS"/>
          <w:color w:val="000000"/>
          <w:sz w:val="24"/>
          <w:szCs w:val="24"/>
          <w:u w:color="000000"/>
          <w:bdr w:val="nil"/>
          <w:lang w:val="mk-MK"/>
        </w:rPr>
        <w:t xml:space="preserve"> </w:t>
      </w:r>
      <w:r w:rsidR="00025A04" w:rsidRPr="00025A04">
        <w:rPr>
          <w:rFonts w:eastAsia="Arial Unicode MS"/>
          <w:color w:val="000000"/>
          <w:sz w:val="24"/>
          <w:szCs w:val="24"/>
          <w:u w:color="000000"/>
          <w:bdr w:val="nil"/>
          <w:lang w:val="mk-MK"/>
        </w:rPr>
        <w:t>Application no. 11828/08</w:t>
      </w:r>
      <w:r w:rsidR="00025A04">
        <w:rPr>
          <w:rFonts w:eastAsia="Arial Unicode MS"/>
          <w:color w:val="000000"/>
          <w:sz w:val="24"/>
          <w:szCs w:val="24"/>
          <w:u w:color="000000"/>
          <w:bdr w:val="nil"/>
          <w:lang w:val="mk-MK"/>
        </w:rPr>
        <w:t xml:space="preserve">. </w:t>
      </w:r>
      <w:r w:rsidR="00025A04">
        <w:rPr>
          <w:rFonts w:eastAsia="Arial Unicode MS"/>
          <w:color w:val="000000"/>
          <w:sz w:val="24"/>
          <w:szCs w:val="24"/>
          <w:u w:color="000000"/>
          <w:bdr w:val="nil"/>
          <w:lang w:val="en-US"/>
        </w:rPr>
        <w:t xml:space="preserve">ECtHR. </w:t>
      </w:r>
    </w:p>
    <w:p w14:paraId="6D36BECA" w14:textId="792CF48F" w:rsidR="00362CBD" w:rsidRPr="00362CBD" w:rsidRDefault="0053683C"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53683C">
        <w:rPr>
          <w:rFonts w:eastAsia="Arial Unicode MS"/>
          <w:color w:val="000000"/>
          <w:sz w:val="24"/>
          <w:szCs w:val="24"/>
          <w:u w:color="000000"/>
          <w:bdr w:val="nil"/>
        </w:rPr>
        <w:t>Tre Traktörer AB v. Sweden (1989). Application no. 10873/84. European Court of Human Rights</w:t>
      </w:r>
      <w:r w:rsidR="003365B0" w:rsidRPr="003365B0">
        <w:rPr>
          <w:rFonts w:eastAsia="Arial Unicode MS"/>
          <w:color w:val="000000"/>
          <w:sz w:val="24"/>
          <w:szCs w:val="24"/>
          <w:u w:color="000000"/>
          <w:bdr w:val="nil"/>
        </w:rPr>
        <w:br/>
        <w:t xml:space="preserve">Tyrer v United Kingdom (1978) 2 EHRR 1 </w:t>
      </w:r>
      <w:r w:rsidR="003365B0" w:rsidRPr="003365B0">
        <w:rPr>
          <w:rFonts w:eastAsia="Arial Unicode MS"/>
          <w:color w:val="000000"/>
          <w:sz w:val="24"/>
          <w:szCs w:val="24"/>
          <w:u w:color="000000"/>
          <w:bdr w:val="nil"/>
        </w:rPr>
        <w:br/>
        <w:t xml:space="preserve">Tüm Haber Sen and Çinar v Turkey (2008) 46 EHRR 19 </w:t>
      </w:r>
    </w:p>
    <w:p w14:paraId="71DCC4FC" w14:textId="77777777" w:rsidR="00A33D02" w:rsidRDefault="003365B0"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3365B0">
        <w:rPr>
          <w:rFonts w:eastAsia="Arial Unicode MS"/>
          <w:color w:val="000000"/>
          <w:sz w:val="24"/>
          <w:szCs w:val="24"/>
          <w:u w:color="000000"/>
          <w:bdr w:val="nil"/>
        </w:rPr>
        <w:t xml:space="preserve">UNISON v United Kingdom App No 53574/99 (10 January 2002) </w:t>
      </w:r>
      <w:r w:rsidRPr="003365B0">
        <w:rPr>
          <w:rFonts w:eastAsia="Arial Unicode MS"/>
          <w:color w:val="000000"/>
          <w:sz w:val="24"/>
          <w:szCs w:val="24"/>
          <w:u w:color="000000"/>
          <w:bdr w:val="nil"/>
        </w:rPr>
        <w:br/>
        <w:t>UNITE the Union v United Kingdom App No 65397/13 (3 May 2016)</w:t>
      </w:r>
    </w:p>
    <w:p w14:paraId="16AA9810" w14:textId="4452D4C6" w:rsidR="000E7295" w:rsidRDefault="00A33D02"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A33D02">
        <w:rPr>
          <w:rFonts w:eastAsia="Arial Unicode MS"/>
          <w:color w:val="000000"/>
          <w:sz w:val="24"/>
          <w:szCs w:val="24"/>
          <w:u w:color="000000"/>
          <w:bdr w:val="nil"/>
        </w:rPr>
        <w:t>United States v Caremark International Inc. 698 A.2d 959 (Delaware, 1996)</w:t>
      </w:r>
      <w:r w:rsidR="003365B0" w:rsidRPr="003365B0">
        <w:rPr>
          <w:rFonts w:eastAsia="Arial Unicode MS"/>
          <w:color w:val="000000"/>
          <w:sz w:val="24"/>
          <w:szCs w:val="24"/>
          <w:u w:color="000000"/>
          <w:bdr w:val="nil"/>
        </w:rPr>
        <w:br/>
        <w:t>Veniamin Tymoshenko v Ukraine App No 48408/12 (2 January 2015</w:t>
      </w:r>
      <w:r w:rsidR="00B50DBD">
        <w:rPr>
          <w:rFonts w:eastAsia="Arial Unicode MS"/>
          <w:color w:val="000000"/>
          <w:sz w:val="24"/>
          <w:szCs w:val="24"/>
          <w:u w:color="000000"/>
          <w:bdr w:val="nil"/>
          <w:lang w:val="mk-MK"/>
        </w:rPr>
        <w:t>)</w:t>
      </w:r>
    </w:p>
    <w:p w14:paraId="5AE08850" w14:textId="2E6DBEB8" w:rsidR="0005220D" w:rsidRPr="0005220D" w:rsidRDefault="0005220D"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05220D">
        <w:rPr>
          <w:rFonts w:eastAsia="Arial Unicode MS"/>
          <w:color w:val="000000"/>
          <w:sz w:val="24"/>
          <w:szCs w:val="24"/>
          <w:u w:color="000000"/>
          <w:bdr w:val="nil"/>
          <w:lang w:val="en-US"/>
        </w:rPr>
        <w:t>Westdeutsche Landesbank Girozentrale v Islington LBC [1996] AC 669</w:t>
      </w:r>
    </w:p>
    <w:p w14:paraId="776874B3" w14:textId="55D69A89" w:rsidR="00FE61E1" w:rsidRDefault="000E7295"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0E7295">
        <w:rPr>
          <w:rFonts w:eastAsia="Arial Unicode MS"/>
          <w:color w:val="000000"/>
          <w:sz w:val="24"/>
          <w:szCs w:val="24"/>
          <w:u w:color="000000"/>
          <w:bdr w:val="nil"/>
        </w:rPr>
        <w:t>Vörður Ólafsson v Iceland (2019)</w:t>
      </w:r>
      <w:r w:rsidR="00541DAE">
        <w:rPr>
          <w:rFonts w:eastAsia="Arial Unicode MS"/>
          <w:color w:val="000000"/>
          <w:sz w:val="24"/>
          <w:szCs w:val="24"/>
          <w:u w:color="000000"/>
          <w:bdr w:val="nil"/>
          <w:lang w:val="en-US"/>
        </w:rPr>
        <w:t xml:space="preserve">. </w:t>
      </w:r>
      <w:r w:rsidR="00541DAE" w:rsidRPr="00541DAE">
        <w:rPr>
          <w:rFonts w:eastAsia="Arial Unicode MS"/>
          <w:color w:val="000000"/>
          <w:sz w:val="24"/>
          <w:szCs w:val="24"/>
          <w:u w:color="000000"/>
          <w:bdr w:val="nil"/>
          <w:lang w:val="en-US"/>
        </w:rPr>
        <w:t>Application no. 20161/06</w:t>
      </w:r>
      <w:r w:rsidR="000A1DFA">
        <w:rPr>
          <w:rFonts w:eastAsia="Arial Unicode MS"/>
          <w:color w:val="000000"/>
          <w:sz w:val="24"/>
          <w:szCs w:val="24"/>
          <w:u w:color="000000"/>
          <w:bdr w:val="nil"/>
          <w:lang w:val="en-US"/>
        </w:rPr>
        <w:t xml:space="preserve">. </w:t>
      </w:r>
      <w:r w:rsidR="000A1DFA" w:rsidRPr="0053683C">
        <w:rPr>
          <w:rFonts w:eastAsia="Arial Unicode MS"/>
          <w:color w:val="000000"/>
          <w:sz w:val="24"/>
          <w:szCs w:val="24"/>
          <w:u w:color="000000"/>
          <w:bdr w:val="nil"/>
        </w:rPr>
        <w:t>European Court of Human Rights</w:t>
      </w:r>
      <w:r w:rsidR="000A1DFA">
        <w:rPr>
          <w:rFonts w:eastAsia="Arial Unicode MS"/>
          <w:color w:val="000000"/>
          <w:sz w:val="24"/>
          <w:szCs w:val="24"/>
          <w:u w:color="000000"/>
          <w:bdr w:val="nil"/>
          <w:lang w:val="en-US"/>
        </w:rPr>
        <w:t>.</w:t>
      </w:r>
      <w:r w:rsidR="003365B0" w:rsidRPr="003365B0">
        <w:rPr>
          <w:rFonts w:eastAsia="Arial Unicode MS"/>
          <w:color w:val="000000"/>
          <w:sz w:val="24"/>
          <w:szCs w:val="24"/>
          <w:u w:color="000000"/>
          <w:bdr w:val="nil"/>
        </w:rPr>
        <w:br/>
        <w:t>Wilson and Palmer v United Kingdom (2002) 35 EHRR 20</w:t>
      </w:r>
      <w:r w:rsidR="003365B0" w:rsidRPr="003365B0">
        <w:rPr>
          <w:rFonts w:eastAsia="Arial Unicode MS"/>
          <w:color w:val="000000"/>
          <w:sz w:val="24"/>
          <w:szCs w:val="24"/>
          <w:u w:color="000000"/>
          <w:bdr w:val="nil"/>
        </w:rPr>
        <w:br/>
        <w:t xml:space="preserve">Young, James and Webster v United Kingdom (1982) 4 EHRR 38 </w:t>
      </w:r>
    </w:p>
    <w:p w14:paraId="73C3C089" w14:textId="77777777" w:rsidR="00FA03D9" w:rsidRDefault="00FA03D9" w:rsidP="002A0D5C">
      <w:pPr>
        <w:pBdr>
          <w:top w:val="nil"/>
          <w:left w:val="nil"/>
          <w:bottom w:val="nil"/>
          <w:right w:val="nil"/>
          <w:between w:val="nil"/>
          <w:bar w:val="nil"/>
        </w:pBdr>
        <w:ind w:right="-970"/>
        <w:rPr>
          <w:rFonts w:eastAsia="Arial Unicode MS"/>
          <w:color w:val="000000"/>
          <w:sz w:val="24"/>
          <w:szCs w:val="24"/>
          <w:u w:color="000000"/>
          <w:bdr w:val="nil"/>
          <w:lang w:val="en-US"/>
        </w:rPr>
      </w:pPr>
      <w:r w:rsidRPr="00FA03D9">
        <w:rPr>
          <w:rFonts w:eastAsia="Arial Unicode MS"/>
          <w:color w:val="000000"/>
          <w:sz w:val="24"/>
          <w:szCs w:val="24"/>
          <w:u w:color="000000"/>
          <w:bdr w:val="nil"/>
          <w:lang w:val="en-US"/>
        </w:rPr>
        <w:t xml:space="preserve">Zarb Adami v. Malta, App. No. 17209/02 (Eur. Ct. H.R. 2006) </w:t>
      </w:r>
    </w:p>
    <w:p w14:paraId="1DC9A99D" w14:textId="51A7F8A6" w:rsidR="00824254" w:rsidRPr="0005220D" w:rsidRDefault="00FA03D9" w:rsidP="0005220D">
      <w:pPr>
        <w:pBdr>
          <w:top w:val="nil"/>
          <w:left w:val="nil"/>
          <w:bottom w:val="nil"/>
          <w:right w:val="nil"/>
          <w:between w:val="nil"/>
          <w:bar w:val="nil"/>
        </w:pBdr>
        <w:ind w:right="-970"/>
        <w:rPr>
          <w:rFonts w:eastAsia="Arial Unicode MS"/>
          <w:color w:val="000000"/>
          <w:sz w:val="24"/>
          <w:szCs w:val="24"/>
          <w:u w:color="000000"/>
          <w:bdr w:val="nil"/>
          <w:lang w:val="en-US"/>
        </w:rPr>
      </w:pPr>
      <w:r w:rsidRPr="00FA03D9">
        <w:rPr>
          <w:rFonts w:eastAsia="Arial Unicode MS"/>
          <w:color w:val="000000"/>
          <w:sz w:val="24"/>
          <w:szCs w:val="24"/>
          <w:u w:color="000000"/>
          <w:bdr w:val="nil"/>
          <w:lang w:val="en-US"/>
        </w:rPr>
        <w:t>Zolotas v. Greece, App. No. 23549/09 (Eur. Ct. H.R. 2013)</w:t>
      </w:r>
    </w:p>
    <w:p w14:paraId="164A37C9" w14:textId="77777777" w:rsidR="00AC61DF" w:rsidRDefault="004C5351" w:rsidP="008633AF">
      <w:pPr>
        <w:pStyle w:val="Heading1"/>
        <w:jc w:val="center"/>
        <w:rPr>
          <w:lang w:val="mk-MK"/>
        </w:rPr>
      </w:pPr>
      <w:bookmarkStart w:id="2" w:name="_Toc230523855"/>
      <w:r>
        <w:rPr>
          <w:lang w:val="mk-MK"/>
        </w:rPr>
        <w:lastRenderedPageBreak/>
        <w:t>Релевантно законодавст</w:t>
      </w:r>
      <w:r w:rsidR="003369B4">
        <w:rPr>
          <w:lang w:val="mk-MK"/>
        </w:rPr>
        <w:t>в</w:t>
      </w:r>
      <w:r w:rsidR="00A23CE0">
        <w:rPr>
          <w:lang w:val="mk-MK"/>
        </w:rPr>
        <w:t>о</w:t>
      </w:r>
      <w:bookmarkEnd w:id="2"/>
    </w:p>
    <w:p w14:paraId="2C4C2D71" w14:textId="77777777" w:rsidR="009D77F2" w:rsidRPr="007A2C81" w:rsidRDefault="009D77F2" w:rsidP="007F521C">
      <w:pPr>
        <w:pStyle w:val="BodyText"/>
        <w:jc w:val="both"/>
        <w:rPr>
          <w:lang w:val="mk-MK"/>
        </w:rPr>
      </w:pPr>
    </w:p>
    <w:p w14:paraId="6D0B7D65" w14:textId="2A09C958" w:rsidR="00B70433" w:rsidRDefault="007A49BA" w:rsidP="007F521C">
      <w:pPr>
        <w:pStyle w:val="BodyText"/>
        <w:jc w:val="both"/>
        <w:rPr>
          <w:lang w:val="en-US"/>
        </w:rPr>
      </w:pPr>
      <w:r w:rsidRPr="007A49BA">
        <w:rPr>
          <w:lang w:val="en-US"/>
        </w:rPr>
        <w:t>Charter of Fundamental Rights of the European Union. (2000). Official Journal of the European Communities, C 364/01.</w:t>
      </w:r>
    </w:p>
    <w:p w14:paraId="40FE8CD8" w14:textId="3E30B138" w:rsidR="00800212" w:rsidRPr="0053683C" w:rsidRDefault="00800212" w:rsidP="007F521C">
      <w:pPr>
        <w:pStyle w:val="BodyText"/>
        <w:jc w:val="both"/>
        <w:rPr>
          <w:lang w:val="en-US"/>
        </w:rPr>
      </w:pPr>
      <w:r w:rsidRPr="00693824">
        <w:rPr>
          <w:lang w:val="en-US"/>
        </w:rPr>
        <w:t>Council of Europe</w:t>
      </w:r>
      <w:r>
        <w:rPr>
          <w:lang w:val="en-US"/>
        </w:rPr>
        <w:t>, European Convention on Human Rights,</w:t>
      </w:r>
      <w:r w:rsidRPr="00693824">
        <w:rPr>
          <w:lang w:val="en-US"/>
        </w:rPr>
        <w:t xml:space="preserve"> 4 November 1950</w:t>
      </w:r>
      <w:r w:rsidR="009E48EB">
        <w:rPr>
          <w:lang w:val="en-US"/>
        </w:rPr>
        <w:t>.</w:t>
      </w:r>
    </w:p>
    <w:p w14:paraId="33608EF4" w14:textId="09EAD35F" w:rsidR="00800212" w:rsidRDefault="00800212" w:rsidP="007F521C">
      <w:pPr>
        <w:pStyle w:val="BodyText"/>
        <w:jc w:val="both"/>
        <w:rPr>
          <w:lang w:val="en-US"/>
        </w:rPr>
      </w:pPr>
      <w:r w:rsidRPr="00800212">
        <w:rPr>
          <w:lang w:val="en-US"/>
        </w:rPr>
        <w:t>Council of Europe, European Social Charter, ETS 35, 18 October 1961</w:t>
      </w:r>
      <w:r w:rsidR="009E48EB">
        <w:rPr>
          <w:lang w:val="en-US"/>
        </w:rPr>
        <w:t>.</w:t>
      </w:r>
    </w:p>
    <w:p w14:paraId="49AF4AEE" w14:textId="10BB9E1C" w:rsidR="009D279F" w:rsidRPr="009E48EB" w:rsidRDefault="009D279F" w:rsidP="007F521C">
      <w:pPr>
        <w:pStyle w:val="BodyText"/>
        <w:jc w:val="both"/>
        <w:rPr>
          <w:lang w:val="en-US"/>
        </w:rPr>
      </w:pPr>
      <w:r w:rsidRPr="009D279F">
        <w:rPr>
          <w:lang w:val="mk-MK"/>
        </w:rPr>
        <w:t>Directive (EU) 2022/2381 of the European Parliament and of the Council of 23 Nov</w:t>
      </w:r>
      <w:r>
        <w:rPr>
          <w:lang w:val="mk-MK"/>
        </w:rPr>
        <w:t>.</w:t>
      </w:r>
      <w:r w:rsidRPr="009D279F">
        <w:rPr>
          <w:lang w:val="mk-MK"/>
        </w:rPr>
        <w:t xml:space="preserve"> 2022</w:t>
      </w:r>
      <w:r w:rsidR="009E48EB">
        <w:rPr>
          <w:lang w:val="en-US"/>
        </w:rPr>
        <w:t>.</w:t>
      </w:r>
    </w:p>
    <w:p w14:paraId="0C7325DF" w14:textId="77777777" w:rsidR="00B2295A" w:rsidRPr="00B2295A" w:rsidRDefault="00B2295A" w:rsidP="00B2295A">
      <w:pPr>
        <w:pStyle w:val="BodyText"/>
        <w:jc w:val="both"/>
        <w:rPr>
          <w:lang w:val="en-US"/>
        </w:rPr>
      </w:pPr>
      <w:r w:rsidRPr="00B2295A">
        <w:rPr>
          <w:lang w:val="en-US"/>
        </w:rPr>
        <w:t>Directive 98/59/EC of the Council of 20 July 1998 on the approximation of the laws of the Member States relating to collective redundancies.</w:t>
      </w:r>
    </w:p>
    <w:p w14:paraId="38809508" w14:textId="77777777" w:rsidR="00B2295A" w:rsidRPr="00B2295A" w:rsidRDefault="00B2295A" w:rsidP="00B2295A">
      <w:pPr>
        <w:pStyle w:val="BodyText"/>
        <w:jc w:val="both"/>
        <w:rPr>
          <w:lang w:val="en-US"/>
        </w:rPr>
      </w:pPr>
      <w:r w:rsidRPr="00B2295A">
        <w:rPr>
          <w:lang w:val="en-US"/>
        </w:rPr>
        <w:t>Directive 2001/23/EC of the Council of 12 March 2001 on the approximation of the laws of the Member States relating to the safeguarding of employees’ rights in the event of transfers of undertakings, businesses or parts of undertakings.</w:t>
      </w:r>
    </w:p>
    <w:p w14:paraId="37E23683" w14:textId="77777777" w:rsidR="00B2295A" w:rsidRDefault="00B2295A" w:rsidP="00B2295A">
      <w:pPr>
        <w:pStyle w:val="BodyText"/>
        <w:jc w:val="both"/>
        <w:rPr>
          <w:lang w:val="en-US"/>
        </w:rPr>
      </w:pPr>
      <w:r w:rsidRPr="00B2295A">
        <w:rPr>
          <w:lang w:val="en-US"/>
        </w:rPr>
        <w:t>Directive 2002/14/EC of the European Parliament and of the Council of 11 March 2002 establishing a general framework for informing and consulting employees in the European Community.</w:t>
      </w:r>
    </w:p>
    <w:p w14:paraId="550E2FE7" w14:textId="2CD4A567" w:rsidR="009601A1" w:rsidRDefault="009601A1" w:rsidP="00B2295A">
      <w:pPr>
        <w:pStyle w:val="BodyText"/>
        <w:jc w:val="both"/>
        <w:rPr>
          <w:lang w:val="en-US"/>
        </w:rPr>
      </w:pPr>
      <w:r w:rsidRPr="009601A1">
        <w:rPr>
          <w:lang w:val="en-US"/>
        </w:rPr>
        <w:t>Directive 2004/25/EC of the European Parliament and of the Council of 21 April 2004 on takeover bids. Official Journal of the European Union, L 142/12.</w:t>
      </w:r>
    </w:p>
    <w:p w14:paraId="7378EF64" w14:textId="40A012AF" w:rsidR="00DD0207" w:rsidRPr="00B2295A" w:rsidRDefault="00DD0207" w:rsidP="00B2295A">
      <w:pPr>
        <w:pStyle w:val="BodyText"/>
        <w:jc w:val="both"/>
        <w:rPr>
          <w:lang w:val="en-US"/>
        </w:rPr>
      </w:pPr>
      <w:r w:rsidRPr="00DD0207">
        <w:rPr>
          <w:lang w:val="en-US"/>
        </w:rPr>
        <w:t>Directive 2005/56/EC of the European Parliament and of the Council of 26 October 2005 on cross-border mergers of limited liability companies. Official Journal of the European Union, L 310/1. (repealed).</w:t>
      </w:r>
    </w:p>
    <w:p w14:paraId="7C521AED" w14:textId="77777777" w:rsidR="00B2295A" w:rsidRPr="00B2295A" w:rsidRDefault="00B2295A" w:rsidP="00B2295A">
      <w:pPr>
        <w:pStyle w:val="BodyText"/>
        <w:jc w:val="both"/>
        <w:rPr>
          <w:lang w:val="en-US"/>
        </w:rPr>
      </w:pPr>
      <w:r w:rsidRPr="00B2295A">
        <w:rPr>
          <w:lang w:val="en-US"/>
        </w:rPr>
        <w:t>Directive 2009/38/EC of the European Parliament and of the Council of 6 May 2009 on the establishment of a European Works Council or a procedure in Community-scale undertakings and Community-scale groups of undertakings for the purposes of informing and consulting employees (Recast).</w:t>
      </w:r>
    </w:p>
    <w:p w14:paraId="74DFE00B" w14:textId="77777777" w:rsidR="00B2295A" w:rsidRPr="00B2295A" w:rsidRDefault="00B2295A" w:rsidP="00B2295A">
      <w:pPr>
        <w:pStyle w:val="BodyText"/>
        <w:jc w:val="both"/>
        <w:rPr>
          <w:lang w:val="en-US"/>
        </w:rPr>
      </w:pPr>
      <w:r w:rsidRPr="00B2295A">
        <w:rPr>
          <w:lang w:val="en-US"/>
        </w:rPr>
        <w:t>Directive 2013/34/EU of the European Parliament and of the Council of 26 June 2013 on the annual financial statements, consolidated financial statements and related reports of certain types of undertakings, amending Directive 2006/43/EC and repealing Council Directives 78/660/EEC and 83/349/EEC.</w:t>
      </w:r>
    </w:p>
    <w:p w14:paraId="4BA30034" w14:textId="77777777" w:rsidR="00B2295A" w:rsidRDefault="00B2295A" w:rsidP="00B2295A">
      <w:pPr>
        <w:pStyle w:val="BodyText"/>
        <w:jc w:val="both"/>
        <w:rPr>
          <w:lang w:val="en-US"/>
        </w:rPr>
      </w:pPr>
      <w:r w:rsidRPr="00B2295A">
        <w:rPr>
          <w:lang w:val="en-US"/>
        </w:rPr>
        <w:t>Directive (EU) 2017/828 of the European Parliament and of the Council of 17 May 2017 amending Directive 2007/36/EC as regards the encouragement of long-term shareholder engagement (Shareholder Rights Directive II).</w:t>
      </w:r>
    </w:p>
    <w:p w14:paraId="588243AF" w14:textId="75CCFDCE" w:rsidR="001558DF" w:rsidRDefault="001558DF" w:rsidP="00B2295A">
      <w:pPr>
        <w:pStyle w:val="BodyText"/>
        <w:jc w:val="both"/>
        <w:rPr>
          <w:lang w:val="en-US"/>
        </w:rPr>
      </w:pPr>
      <w:r w:rsidRPr="001558DF">
        <w:rPr>
          <w:lang w:val="en-US"/>
        </w:rPr>
        <w:t>Directive (EU) 2017/1132 of the European Parliament and of the Council of 14 June 2017 relating to certain aspects of company law. Official Journal of the European Union, L 169/46.</w:t>
      </w:r>
    </w:p>
    <w:p w14:paraId="58F51D34" w14:textId="77777777" w:rsidR="001558DF" w:rsidRDefault="001558DF" w:rsidP="00B2295A">
      <w:pPr>
        <w:pStyle w:val="BodyText"/>
        <w:jc w:val="both"/>
        <w:rPr>
          <w:lang w:val="en-US"/>
        </w:rPr>
      </w:pPr>
      <w:r w:rsidRPr="001558DF">
        <w:rPr>
          <w:lang w:val="en-US"/>
        </w:rPr>
        <w:t xml:space="preserve">Directive (EU) 2019/1023 of the European Parliament and of the Council of 20 June 2019 on preventive restructuring frameworks, discharge of debt and disqualifications, and measures to increase the efficiency of procedures concerning restructuring, insolvency and discharge of debt. Official Journal of the European Union, L 172/18. </w:t>
      </w:r>
    </w:p>
    <w:p w14:paraId="15B9EF09" w14:textId="037FCD56" w:rsidR="001558DF" w:rsidRPr="00B2295A" w:rsidRDefault="001558DF" w:rsidP="00B2295A">
      <w:pPr>
        <w:pStyle w:val="BodyText"/>
        <w:jc w:val="both"/>
        <w:rPr>
          <w:lang w:val="en-US"/>
        </w:rPr>
      </w:pPr>
      <w:r w:rsidRPr="001558DF">
        <w:rPr>
          <w:lang w:val="en-US"/>
        </w:rPr>
        <w:t>Directive (EU) 2019/2121 of the European Parliament and of the Council of 27 November 2019 amending Directive (EU) 2017/1132 as regards cross-border conversions, mergers and divisions. Official Journal of the European Union, L 321/1.</w:t>
      </w:r>
    </w:p>
    <w:p w14:paraId="0E47642E" w14:textId="003584AE" w:rsidR="009C5D10" w:rsidRDefault="00B2295A" w:rsidP="007F521C">
      <w:pPr>
        <w:pStyle w:val="BodyText"/>
        <w:jc w:val="both"/>
        <w:rPr>
          <w:lang w:val="en-US"/>
        </w:rPr>
      </w:pPr>
      <w:r w:rsidRPr="00B2295A">
        <w:rPr>
          <w:lang w:val="en-US"/>
        </w:rPr>
        <w:t>Directive (EU) 2022/2381 of the European Parliament and of the Council of 23 November 2022 on improving the gender balance among directors of listed companies and related measures.</w:t>
      </w:r>
    </w:p>
    <w:p w14:paraId="4736CEBD" w14:textId="0ACEB44E" w:rsidR="00D43337" w:rsidRDefault="00D43337" w:rsidP="007F521C">
      <w:pPr>
        <w:pStyle w:val="BodyText"/>
        <w:jc w:val="both"/>
        <w:rPr>
          <w:lang w:val="en-US"/>
        </w:rPr>
      </w:pPr>
      <w:r w:rsidRPr="00D43337">
        <w:rPr>
          <w:lang w:val="en-US"/>
        </w:rPr>
        <w:t>Directive (EU) 2022/2464 of the European Parliament and of the Council of 14 December 2022 as regards corporate sustainability reporting. Official Journal of the European Union, L 322/15.</w:t>
      </w:r>
    </w:p>
    <w:p w14:paraId="779E0910" w14:textId="73DB35B0" w:rsidR="00D43337" w:rsidRPr="009E48EB" w:rsidRDefault="00B86867" w:rsidP="007F521C">
      <w:pPr>
        <w:pStyle w:val="BodyText"/>
        <w:jc w:val="both"/>
        <w:rPr>
          <w:lang w:val="en-US"/>
        </w:rPr>
      </w:pPr>
      <w:r w:rsidRPr="00B86867">
        <w:rPr>
          <w:lang w:val="en-US"/>
        </w:rPr>
        <w:t>Directive (EU) 2024/1760 of the European Parliament and of the Council on corporate sustainability due diligence. Official Journal of the European Union.</w:t>
      </w:r>
    </w:p>
    <w:p w14:paraId="6DE4414B" w14:textId="58D43D35" w:rsidR="00190954" w:rsidRPr="009E48EB" w:rsidRDefault="00190954" w:rsidP="007F521C">
      <w:pPr>
        <w:pStyle w:val="BodyText"/>
        <w:jc w:val="both"/>
        <w:rPr>
          <w:lang w:val="en-US"/>
        </w:rPr>
      </w:pPr>
      <w:r w:rsidRPr="00190954">
        <w:rPr>
          <w:lang w:val="mk-MK"/>
        </w:rPr>
        <w:t>EU Treaties</w:t>
      </w:r>
      <w:r w:rsidR="009E48EB">
        <w:rPr>
          <w:lang w:val="en-US"/>
        </w:rPr>
        <w:t>.</w:t>
      </w:r>
    </w:p>
    <w:p w14:paraId="4BFC64BD" w14:textId="613D0F84" w:rsidR="00190954" w:rsidRPr="009E48EB" w:rsidRDefault="00190954" w:rsidP="007F521C">
      <w:pPr>
        <w:pStyle w:val="BodyText"/>
        <w:jc w:val="both"/>
        <w:rPr>
          <w:lang w:val="en-US"/>
        </w:rPr>
      </w:pPr>
      <w:r w:rsidRPr="00190954">
        <w:rPr>
          <w:lang w:val="mk-MK"/>
        </w:rPr>
        <w:t>EU Directive 2002/14/EC</w:t>
      </w:r>
      <w:r w:rsidR="009E48EB">
        <w:rPr>
          <w:lang w:val="en-US"/>
        </w:rPr>
        <w:t>.</w:t>
      </w:r>
    </w:p>
    <w:p w14:paraId="21F9753C" w14:textId="7E891F0E" w:rsidR="00693824" w:rsidRDefault="00693824" w:rsidP="007F521C">
      <w:pPr>
        <w:pStyle w:val="BodyText"/>
        <w:jc w:val="both"/>
        <w:rPr>
          <w:lang w:val="en-US"/>
        </w:rPr>
      </w:pPr>
      <w:r w:rsidRPr="00693824">
        <w:rPr>
          <w:lang w:val="en-US"/>
        </w:rPr>
        <w:lastRenderedPageBreak/>
        <w:t>European Convention on Human Rights, as amended by Protocols Nos. 11, 14 and 15</w:t>
      </w:r>
      <w:r w:rsidR="009E48EB">
        <w:rPr>
          <w:lang w:val="en-US"/>
        </w:rPr>
        <w:t>.</w:t>
      </w:r>
    </w:p>
    <w:p w14:paraId="25965997" w14:textId="2B8F159A" w:rsidR="00B86867" w:rsidRPr="00693824" w:rsidRDefault="00B86867" w:rsidP="007F521C">
      <w:pPr>
        <w:pStyle w:val="BodyText"/>
        <w:jc w:val="both"/>
        <w:rPr>
          <w:lang w:val="en-US"/>
        </w:rPr>
      </w:pPr>
      <w:r w:rsidRPr="00B86867">
        <w:rPr>
          <w:lang w:val="en-US"/>
        </w:rPr>
        <w:t xml:space="preserve">European Convention on the Legal Status of </w:t>
      </w:r>
      <w:r w:rsidR="008D5C42">
        <w:rPr>
          <w:lang w:val="en-US"/>
        </w:rPr>
        <w:t xml:space="preserve">Migrant </w:t>
      </w:r>
      <w:r w:rsidRPr="00B86867">
        <w:rPr>
          <w:lang w:val="en-US"/>
        </w:rPr>
        <w:t>Workers, ETS No. 93 (1977).</w:t>
      </w:r>
    </w:p>
    <w:p w14:paraId="6728DCC1" w14:textId="6D794FB3" w:rsidR="005E3C66" w:rsidRPr="0053683C" w:rsidRDefault="005E3C66" w:rsidP="007F521C">
      <w:pPr>
        <w:pStyle w:val="BodyText"/>
        <w:jc w:val="both"/>
        <w:rPr>
          <w:lang w:val="en-US"/>
        </w:rPr>
      </w:pPr>
      <w:r w:rsidRPr="005E3C66">
        <w:rPr>
          <w:lang w:val="en-US"/>
        </w:rPr>
        <w:t>European Social Charter Turin, 18.X.1961</w:t>
      </w:r>
      <w:r w:rsidR="009E48EB">
        <w:rPr>
          <w:lang w:val="en-US"/>
        </w:rPr>
        <w:t>.</w:t>
      </w:r>
    </w:p>
    <w:p w14:paraId="68A4072E" w14:textId="61F36A5B" w:rsidR="00796816" w:rsidRDefault="00796816" w:rsidP="007F521C">
      <w:pPr>
        <w:pStyle w:val="BodyText"/>
        <w:jc w:val="both"/>
        <w:rPr>
          <w:lang w:val="en-US"/>
        </w:rPr>
      </w:pPr>
      <w:r w:rsidRPr="005E3C66">
        <w:t>Freedom of Association and Protection of the Right to Organise Convention (No. 87), July 9, 1948, 68 U.N.T.S. 17</w:t>
      </w:r>
      <w:r w:rsidR="009E48EB">
        <w:rPr>
          <w:lang w:val="en-US"/>
        </w:rPr>
        <w:t>.</w:t>
      </w:r>
    </w:p>
    <w:p w14:paraId="4BF115B1" w14:textId="0A811D65" w:rsidR="008D5C42" w:rsidRPr="009E48EB" w:rsidRDefault="008D5C42" w:rsidP="007F521C">
      <w:pPr>
        <w:pStyle w:val="BodyText"/>
        <w:jc w:val="both"/>
        <w:rPr>
          <w:lang w:val="en-US"/>
        </w:rPr>
      </w:pPr>
      <w:r w:rsidRPr="008D5C42">
        <w:rPr>
          <w:lang w:val="en-US"/>
        </w:rPr>
        <w:t>International Covenant on Economic, Social and Cultural Rights, Dec. 16, 1966, 993 U.N.T.S.</w:t>
      </w:r>
    </w:p>
    <w:p w14:paraId="44BBE395" w14:textId="5244074A" w:rsidR="0030750E" w:rsidRPr="0053683C" w:rsidRDefault="0030750E" w:rsidP="007F521C">
      <w:pPr>
        <w:pStyle w:val="BodyText"/>
        <w:jc w:val="both"/>
        <w:rPr>
          <w:lang w:val="en-US"/>
        </w:rPr>
      </w:pPr>
      <w:r w:rsidRPr="0030750E">
        <w:rPr>
          <w:lang w:val="en-US"/>
        </w:rPr>
        <w:t>International Labour Organization (ILO), Constitution of the International Labour Organisation (ILO), 1 April 1919</w:t>
      </w:r>
      <w:r w:rsidR="009E48EB">
        <w:rPr>
          <w:lang w:val="en-US"/>
        </w:rPr>
        <w:t>.</w:t>
      </w:r>
    </w:p>
    <w:p w14:paraId="316A694C" w14:textId="16D880BF" w:rsidR="00032496" w:rsidRDefault="00032496" w:rsidP="007F521C">
      <w:pPr>
        <w:pStyle w:val="BodyText"/>
        <w:jc w:val="both"/>
        <w:rPr>
          <w:lang w:val="en-US"/>
        </w:rPr>
      </w:pPr>
      <w:r w:rsidRPr="00032496">
        <w:rPr>
          <w:lang w:val="en-US"/>
        </w:rPr>
        <w:t xml:space="preserve">International Labour Organization. (1949). Right to </w:t>
      </w:r>
      <w:r w:rsidR="007F521C" w:rsidRPr="00032496">
        <w:rPr>
          <w:lang w:val="en-US"/>
        </w:rPr>
        <w:t>organize</w:t>
      </w:r>
      <w:r w:rsidRPr="00032496">
        <w:rPr>
          <w:lang w:val="en-US"/>
        </w:rPr>
        <w:t xml:space="preserve"> and collective bargaining convention, 1949 (Convention No. 98)</w:t>
      </w:r>
      <w:r w:rsidR="009E48EB">
        <w:rPr>
          <w:lang w:val="en-US"/>
        </w:rPr>
        <w:t>.</w:t>
      </w:r>
    </w:p>
    <w:p w14:paraId="4A2D0CC2" w14:textId="4D833D5A" w:rsidR="00D06EB1" w:rsidRDefault="00D06EB1" w:rsidP="007F521C">
      <w:pPr>
        <w:pStyle w:val="BodyText"/>
        <w:jc w:val="both"/>
        <w:rPr>
          <w:lang w:val="en-US"/>
        </w:rPr>
      </w:pPr>
      <w:r w:rsidRPr="00D06EB1">
        <w:rPr>
          <w:lang w:val="mk-MK"/>
        </w:rPr>
        <w:t>International Labour Organization. (1964). Employment Policy Convention (No. 122).</w:t>
      </w:r>
    </w:p>
    <w:p w14:paraId="4C7F39CA" w14:textId="4399979B" w:rsidR="00E51AD7" w:rsidRPr="00D06EB1" w:rsidRDefault="00D06EB1" w:rsidP="007F521C">
      <w:pPr>
        <w:pStyle w:val="BodyText"/>
        <w:jc w:val="both"/>
        <w:rPr>
          <w:lang w:val="en-US"/>
        </w:rPr>
      </w:pPr>
      <w:r w:rsidRPr="00D06EB1">
        <w:rPr>
          <w:lang w:val="en-US"/>
        </w:rPr>
        <w:t>International Labour Organization. (1982). Termination of Employment Convention (No. 158).</w:t>
      </w:r>
    </w:p>
    <w:p w14:paraId="15DA7076" w14:textId="0ACFD138" w:rsidR="006152FD" w:rsidRDefault="006152FD" w:rsidP="007F521C">
      <w:pPr>
        <w:pStyle w:val="BodyText"/>
        <w:jc w:val="both"/>
        <w:rPr>
          <w:lang w:val="en-US"/>
        </w:rPr>
      </w:pPr>
      <w:r w:rsidRPr="006152FD">
        <w:rPr>
          <w:lang w:val="mk-MK"/>
        </w:rPr>
        <w:t>International Labour Office. 2010. ILO Declaration on Fundamental Principles and Rights at Work and Its Follow-Up. 2nd ed. Geneva</w:t>
      </w:r>
      <w:r w:rsidR="009E48EB">
        <w:rPr>
          <w:lang w:val="en-US"/>
        </w:rPr>
        <w:t>.</w:t>
      </w:r>
    </w:p>
    <w:p w14:paraId="75493EAD" w14:textId="16E35645" w:rsidR="00E51AD7" w:rsidRDefault="00E51AD7" w:rsidP="007F521C">
      <w:pPr>
        <w:pStyle w:val="BodyText"/>
        <w:jc w:val="both"/>
        <w:rPr>
          <w:lang w:val="en-US"/>
        </w:rPr>
      </w:pPr>
      <w:r w:rsidRPr="00E51AD7">
        <w:rPr>
          <w:lang w:val="en-US"/>
        </w:rPr>
        <w:t>International Labour Organization. (2017). Tripartite Declaration of Principles concerning Multinational Enterprises and Social Policy (5th ed.).</w:t>
      </w:r>
    </w:p>
    <w:p w14:paraId="5B205E51" w14:textId="4E57BBB5" w:rsidR="00E51AD7" w:rsidRDefault="00E51AD7" w:rsidP="007F521C">
      <w:pPr>
        <w:pStyle w:val="BodyText"/>
        <w:jc w:val="both"/>
        <w:rPr>
          <w:lang w:val="en-US"/>
        </w:rPr>
      </w:pPr>
      <w:r w:rsidRPr="00E51AD7">
        <w:rPr>
          <w:lang w:val="en-US"/>
        </w:rPr>
        <w:t>Japan Financial Services Agency. (2021). Japan Corporate Governance Code.</w:t>
      </w:r>
    </w:p>
    <w:p w14:paraId="2DCA3D8C" w14:textId="17536572" w:rsidR="00496892" w:rsidRDefault="00496892" w:rsidP="007F521C">
      <w:pPr>
        <w:pStyle w:val="BodyText"/>
        <w:jc w:val="both"/>
        <w:rPr>
          <w:lang w:val="en-US"/>
        </w:rPr>
      </w:pPr>
      <w:r w:rsidRPr="00496892">
        <w:rPr>
          <w:lang w:val="en-US"/>
        </w:rPr>
        <w:t>Organisation for Economic Co-operation and Development. (2011). OECD Guidelines for Multinational Enterprises. OECD Publishing.</w:t>
      </w:r>
    </w:p>
    <w:p w14:paraId="2150E83F" w14:textId="5B0C5670" w:rsidR="00496892" w:rsidRDefault="00496892" w:rsidP="007F521C">
      <w:pPr>
        <w:pStyle w:val="BodyText"/>
        <w:jc w:val="both"/>
        <w:rPr>
          <w:lang w:val="en-US"/>
        </w:rPr>
      </w:pPr>
      <w:r w:rsidRPr="00496892">
        <w:rPr>
          <w:lang w:val="en-US"/>
        </w:rPr>
        <w:t>Organisation for Economic Co-operation and Development. (2015). OECD Guidelines on Corporate Governance of State-Owned Enterprises. OECD Publishing.</w:t>
      </w:r>
    </w:p>
    <w:p w14:paraId="103B780C" w14:textId="47FE1719" w:rsidR="0004054D" w:rsidRPr="009E48EB" w:rsidRDefault="0004054D" w:rsidP="007F521C">
      <w:pPr>
        <w:pStyle w:val="BodyText"/>
        <w:jc w:val="both"/>
        <w:rPr>
          <w:lang w:val="en-US"/>
        </w:rPr>
      </w:pPr>
      <w:r w:rsidRPr="0004054D">
        <w:rPr>
          <w:lang w:val="en-US"/>
        </w:rPr>
        <w:t>Organisation for Economic Co-operation and Development. (2018). OECD Due Diligence Guidance for Responsible Business Conduct. OECD Publishing.</w:t>
      </w:r>
    </w:p>
    <w:p w14:paraId="46F79DDC" w14:textId="69ABD8AD" w:rsidR="00D60F28" w:rsidRDefault="00371C26" w:rsidP="007F521C">
      <w:pPr>
        <w:pStyle w:val="BodyText"/>
        <w:jc w:val="both"/>
        <w:rPr>
          <w:lang w:val="en-US"/>
        </w:rPr>
      </w:pPr>
      <w:r w:rsidRPr="005F4AD3">
        <w:rPr>
          <w:lang w:val="en-US"/>
        </w:rPr>
        <w:t>OECD (2023), G20/OECD Principles of Corporate Governance, OECD Publishing, Paris</w:t>
      </w:r>
      <w:r w:rsidR="009D279F">
        <w:rPr>
          <w:lang w:val="mk-MK"/>
        </w:rPr>
        <w:t>.</w:t>
      </w:r>
    </w:p>
    <w:p w14:paraId="2F2B206C" w14:textId="61D66B19" w:rsidR="0004054D" w:rsidRPr="0004054D" w:rsidRDefault="0004054D" w:rsidP="007F521C">
      <w:pPr>
        <w:pStyle w:val="BodyText"/>
        <w:jc w:val="both"/>
        <w:rPr>
          <w:lang w:val="en-US"/>
        </w:rPr>
      </w:pPr>
      <w:r w:rsidRPr="0004054D">
        <w:rPr>
          <w:lang w:val="en-US"/>
        </w:rPr>
        <w:t>Organisation for Economic Co-operation and Development. (2024). OECD Guidelines on Corporate Governance of State-Owned Enterprises (Revised edition). OECD Publishing.</w:t>
      </w:r>
    </w:p>
    <w:p w14:paraId="1B6537F2" w14:textId="77777777" w:rsidR="009E48EB" w:rsidRPr="009E48EB" w:rsidRDefault="009E48EB" w:rsidP="009E48EB">
      <w:pPr>
        <w:pStyle w:val="BodyText"/>
        <w:jc w:val="both"/>
        <w:rPr>
          <w:lang w:val="en-US"/>
        </w:rPr>
      </w:pPr>
      <w:r w:rsidRPr="009E48EB">
        <w:rPr>
          <w:lang w:val="en-US"/>
        </w:rPr>
        <w:t>Regulation (EC) No 1435/2003 of the Council of 22 July 2003 on the Statute for a European Cooperative Society (SCE).</w:t>
      </w:r>
    </w:p>
    <w:p w14:paraId="2DE12F2E" w14:textId="54EC57A2" w:rsidR="009E48EB" w:rsidRDefault="009E48EB" w:rsidP="007F521C">
      <w:pPr>
        <w:pStyle w:val="BodyText"/>
        <w:jc w:val="both"/>
        <w:rPr>
          <w:lang w:val="en-US"/>
        </w:rPr>
      </w:pPr>
      <w:r w:rsidRPr="009E48EB">
        <w:rPr>
          <w:lang w:val="en-US"/>
        </w:rPr>
        <w:t>Regulation (EC) No 2157/2001 of the Council of 8 October 2001 on the Statute for a European Company (SE).</w:t>
      </w:r>
    </w:p>
    <w:p w14:paraId="1514D577" w14:textId="60FC33FC" w:rsidR="00754CEB" w:rsidRDefault="00754CEB" w:rsidP="007F521C">
      <w:pPr>
        <w:pStyle w:val="BodyText"/>
        <w:jc w:val="both"/>
        <w:rPr>
          <w:lang w:val="en-US"/>
        </w:rPr>
      </w:pPr>
      <w:r w:rsidRPr="00754CEB">
        <w:rPr>
          <w:lang w:val="en-US"/>
        </w:rPr>
        <w:t>Regulation (EU) No 537/2014 of the European Parliament and of the Council of 16 April 2014 on specific requirements regarding statutory audit of public-interest entities. Official Journal of the European Union, L 158/77.</w:t>
      </w:r>
    </w:p>
    <w:p w14:paraId="55BEC040" w14:textId="6199FCCD" w:rsidR="009D77F2" w:rsidRDefault="009D77F2" w:rsidP="007F521C">
      <w:pPr>
        <w:pStyle w:val="BodyText"/>
        <w:jc w:val="both"/>
        <w:rPr>
          <w:lang w:val="en-US"/>
        </w:rPr>
      </w:pPr>
      <w:r w:rsidRPr="009D77F2">
        <w:rPr>
          <w:lang w:val="en-US"/>
        </w:rPr>
        <w:t>Sarbanes-Oxley Act (2002)</w:t>
      </w:r>
      <w:r w:rsidR="009E48EB">
        <w:rPr>
          <w:lang w:val="en-US"/>
        </w:rPr>
        <w:t>.</w:t>
      </w:r>
    </w:p>
    <w:p w14:paraId="051140F2" w14:textId="48911D75" w:rsidR="00A23286" w:rsidRDefault="00A23286" w:rsidP="007F521C">
      <w:pPr>
        <w:pStyle w:val="BodyText"/>
        <w:jc w:val="both"/>
        <w:rPr>
          <w:lang w:val="en-US"/>
        </w:rPr>
      </w:pPr>
      <w:r w:rsidRPr="00A23286">
        <w:rPr>
          <w:lang w:val="en-US"/>
        </w:rPr>
        <w:t>Statute of the Council of Europe, May 5, 1949, ETS No. 1</w:t>
      </w:r>
      <w:r w:rsidR="009E48EB">
        <w:rPr>
          <w:lang w:val="en-US"/>
        </w:rPr>
        <w:t>.</w:t>
      </w:r>
    </w:p>
    <w:p w14:paraId="3F57113C" w14:textId="0C9B6869" w:rsidR="00ED7EFE" w:rsidRDefault="00ED7EFE" w:rsidP="007F521C">
      <w:pPr>
        <w:pStyle w:val="BodyText"/>
        <w:jc w:val="both"/>
        <w:rPr>
          <w:lang w:val="en-US"/>
        </w:rPr>
      </w:pPr>
      <w:r w:rsidRPr="00ED7EFE">
        <w:rPr>
          <w:lang w:val="en-US"/>
        </w:rPr>
        <w:t>Stock Corporation Act (Aktiengesetz), Federal Republic of Germany.</w:t>
      </w:r>
    </w:p>
    <w:p w14:paraId="138CBDD3" w14:textId="6B842BCC" w:rsidR="0060692F" w:rsidRDefault="0060692F" w:rsidP="007F521C">
      <w:pPr>
        <w:pStyle w:val="BodyText"/>
        <w:jc w:val="both"/>
        <w:rPr>
          <w:lang w:val="en-US"/>
        </w:rPr>
      </w:pPr>
      <w:r w:rsidRPr="0060692F">
        <w:rPr>
          <w:lang w:val="en-US"/>
        </w:rPr>
        <w:t>UK Companies Act 2006</w:t>
      </w:r>
      <w:r w:rsidR="009E48EB">
        <w:rPr>
          <w:lang w:val="en-US"/>
        </w:rPr>
        <w:t>.</w:t>
      </w:r>
    </w:p>
    <w:p w14:paraId="2E6499F8" w14:textId="01A680FD" w:rsidR="001F027D" w:rsidRDefault="001F027D" w:rsidP="007F521C">
      <w:pPr>
        <w:pStyle w:val="BodyText"/>
        <w:jc w:val="both"/>
        <w:rPr>
          <w:lang w:val="en-US"/>
        </w:rPr>
      </w:pPr>
      <w:r w:rsidRPr="001F027D">
        <w:rPr>
          <w:lang w:val="en-US"/>
        </w:rPr>
        <w:t>United Nations. (2000). United Nations Global Compact.</w:t>
      </w:r>
    </w:p>
    <w:p w14:paraId="673EF47B" w14:textId="19460619" w:rsidR="00371C26" w:rsidRDefault="00371C26" w:rsidP="007F521C">
      <w:pPr>
        <w:pStyle w:val="BodyText"/>
        <w:jc w:val="both"/>
        <w:rPr>
          <w:lang w:val="en-US"/>
        </w:rPr>
      </w:pPr>
      <w:r w:rsidRPr="00371C26">
        <w:rPr>
          <w:lang w:val="en-US"/>
        </w:rPr>
        <w:t>United Nations. (2011). Guiding principles on business and human rights. United Nations iLibrary</w:t>
      </w:r>
      <w:r w:rsidR="009E48EB">
        <w:rPr>
          <w:lang w:val="en-US"/>
        </w:rPr>
        <w:t>.</w:t>
      </w:r>
    </w:p>
    <w:p w14:paraId="365AE3E9" w14:textId="0E02E499" w:rsidR="001F027D" w:rsidRDefault="001F027D" w:rsidP="007F521C">
      <w:pPr>
        <w:pStyle w:val="BodyText"/>
        <w:jc w:val="both"/>
        <w:rPr>
          <w:lang w:val="en-US"/>
        </w:rPr>
      </w:pPr>
      <w:r w:rsidRPr="001F027D">
        <w:rPr>
          <w:lang w:val="en-US"/>
        </w:rPr>
        <w:t>United Nations. (2015). Transforming our world: The 2030 Agenda for Sustainable Development.</w:t>
      </w:r>
    </w:p>
    <w:p w14:paraId="2FC9533E" w14:textId="350E7767" w:rsidR="00E12A9C" w:rsidRPr="009E48EB" w:rsidRDefault="00E12A9C" w:rsidP="007F521C">
      <w:pPr>
        <w:pStyle w:val="BodyText"/>
        <w:jc w:val="both"/>
        <w:rPr>
          <w:lang w:val="en-US"/>
        </w:rPr>
      </w:pPr>
      <w:r w:rsidRPr="00E12A9C">
        <w:rPr>
          <w:lang w:val="mk-MK"/>
        </w:rPr>
        <w:t>US Securities and Exchange Commission (SEC) Enhancement and Standardization of Climate-Related Disclosures for Investors</w:t>
      </w:r>
      <w:r w:rsidR="009E48EB">
        <w:rPr>
          <w:lang w:val="en-US"/>
        </w:rPr>
        <w:t>.</w:t>
      </w:r>
    </w:p>
    <w:p w14:paraId="3AB18F27" w14:textId="07078038" w:rsidR="00025061" w:rsidRPr="009E48EB" w:rsidRDefault="002F7B4C" w:rsidP="007F521C">
      <w:pPr>
        <w:pStyle w:val="BodyText"/>
        <w:jc w:val="both"/>
        <w:rPr>
          <w:lang w:val="en-US"/>
        </w:rPr>
      </w:pPr>
      <w:r w:rsidRPr="002F7B4C">
        <w:rPr>
          <w:lang w:val="mk-MK"/>
        </w:rPr>
        <w:t>Конвенцијата бр. 135</w:t>
      </w:r>
      <w:r w:rsidR="00681EA4">
        <w:rPr>
          <w:lang w:val="en-US"/>
        </w:rPr>
        <w:t xml:space="preserve"> </w:t>
      </w:r>
      <w:r w:rsidR="00681EA4">
        <w:rPr>
          <w:lang w:val="mk-MK"/>
        </w:rPr>
        <w:t>на МОТ</w:t>
      </w:r>
      <w:r w:rsidRPr="002F7B4C">
        <w:rPr>
          <w:lang w:val="mk-MK"/>
        </w:rPr>
        <w:t xml:space="preserve"> за заштита и олеснување на активностите на претставниците на работниците (1971)</w:t>
      </w:r>
      <w:r w:rsidR="009E48EB">
        <w:rPr>
          <w:lang w:val="en-US"/>
        </w:rPr>
        <w:t>.</w:t>
      </w:r>
    </w:p>
    <w:p w14:paraId="0FED7119" w14:textId="3F7A983F" w:rsidR="00681EA4" w:rsidRDefault="00E44AC7" w:rsidP="007F521C">
      <w:pPr>
        <w:pStyle w:val="BodyText"/>
        <w:jc w:val="both"/>
        <w:rPr>
          <w:lang w:val="mk-MK"/>
        </w:rPr>
      </w:pPr>
      <w:r w:rsidRPr="00E44AC7">
        <w:rPr>
          <w:lang w:val="mk-MK"/>
        </w:rPr>
        <w:t>Конвенцијата бр. 154 за колективно договарање (1981) и Препораката бр. 163</w:t>
      </w:r>
      <w:r>
        <w:rPr>
          <w:lang w:val="mk-MK"/>
        </w:rPr>
        <w:t>.</w:t>
      </w:r>
    </w:p>
    <w:p w14:paraId="7F9D8EEF" w14:textId="39E41486" w:rsidR="00E44AC7" w:rsidRDefault="00E44AC7" w:rsidP="007F521C">
      <w:pPr>
        <w:pStyle w:val="BodyText"/>
        <w:jc w:val="both"/>
        <w:rPr>
          <w:lang w:val="mk-MK"/>
        </w:rPr>
      </w:pPr>
      <w:r w:rsidRPr="00E44AC7">
        <w:rPr>
          <w:lang w:val="mk-MK"/>
        </w:rPr>
        <w:t>Препораката бр. 94 за консултација во рамки на претпријатието (1952)</w:t>
      </w:r>
      <w:r w:rsidR="009E48EB">
        <w:rPr>
          <w:lang w:val="en-US"/>
        </w:rPr>
        <w:t>.</w:t>
      </w:r>
      <w:r w:rsidR="007A2C81">
        <w:rPr>
          <w:lang w:val="mk-MK"/>
        </w:rPr>
        <w:tab/>
      </w:r>
    </w:p>
    <w:p w14:paraId="1A34E1A8" w14:textId="20B1D556" w:rsidR="007A2C81" w:rsidRDefault="007A2C81" w:rsidP="007F521C">
      <w:pPr>
        <w:pStyle w:val="BodyText"/>
        <w:jc w:val="both"/>
        <w:rPr>
          <w:lang w:val="en-US"/>
        </w:rPr>
      </w:pPr>
      <w:r>
        <w:rPr>
          <w:lang w:val="mk-MK"/>
        </w:rPr>
        <w:t xml:space="preserve">Предлог-закон за трговските друштва (во изработка, 2026). </w:t>
      </w:r>
    </w:p>
    <w:p w14:paraId="0005D280" w14:textId="3E33BF3F" w:rsidR="00796816" w:rsidRPr="00707765" w:rsidRDefault="00796816" w:rsidP="009D77F2">
      <w:pPr>
        <w:pStyle w:val="BodyText"/>
        <w:rPr>
          <w:lang w:val="en-US"/>
        </w:rPr>
        <w:sectPr w:rsidR="00796816" w:rsidRPr="00707765" w:rsidSect="003662FC">
          <w:footerReference w:type="default" r:id="rId11"/>
          <w:footerReference w:type="first" r:id="rId12"/>
          <w:pgSz w:w="11910" w:h="16840"/>
          <w:pgMar w:top="1440" w:right="1440" w:bottom="1440" w:left="1440" w:header="0" w:footer="1305" w:gutter="0"/>
          <w:pgNumType w:fmt="lowerRoman" w:start="1"/>
          <w:cols w:space="720"/>
          <w:docGrid w:linePitch="299"/>
        </w:sectPr>
      </w:pPr>
    </w:p>
    <w:p w14:paraId="41A51CA6" w14:textId="07F7897C" w:rsidR="00ED2B59" w:rsidRPr="00F53881" w:rsidRDefault="00767BD9" w:rsidP="00707765">
      <w:pPr>
        <w:pStyle w:val="Heading1"/>
        <w:ind w:left="0"/>
        <w:jc w:val="center"/>
        <w:rPr>
          <w:lang w:val="mk-MK"/>
        </w:rPr>
      </w:pPr>
      <w:bookmarkStart w:id="3" w:name="_Toc230523856"/>
      <w:r>
        <w:rPr>
          <w:lang w:val="mk-MK"/>
        </w:rPr>
        <w:lastRenderedPageBreak/>
        <w:t xml:space="preserve">Вовед, </w:t>
      </w:r>
      <w:r w:rsidR="004F51AC">
        <w:rPr>
          <w:lang w:val="mk-MK"/>
        </w:rPr>
        <w:t>контекст</w:t>
      </w:r>
      <w:r w:rsidR="006F502D">
        <w:rPr>
          <w:lang w:val="mk-MK"/>
        </w:rPr>
        <w:t xml:space="preserve"> и цели</w:t>
      </w:r>
      <w:bookmarkEnd w:id="3"/>
    </w:p>
    <w:p w14:paraId="625DDF31" w14:textId="3FF84AD6" w:rsidR="00BA4882" w:rsidRDefault="00ED2B59" w:rsidP="00ED2B59">
      <w:pPr>
        <w:adjustRightInd w:val="0"/>
        <w:spacing w:before="240"/>
        <w:ind w:firstLine="720"/>
        <w:jc w:val="both"/>
        <w:rPr>
          <w:bCs/>
          <w:sz w:val="24"/>
          <w:szCs w:val="24"/>
          <w:lang w:val="mk-MK"/>
        </w:rPr>
      </w:pPr>
      <w:r w:rsidRPr="00F53881">
        <w:rPr>
          <w:b/>
          <w:sz w:val="24"/>
          <w:szCs w:val="24"/>
          <w:lang w:val="mk-MK"/>
        </w:rPr>
        <w:t>„</w:t>
      </w:r>
      <w:r w:rsidRPr="00F53881">
        <w:rPr>
          <w:bCs/>
          <w:sz w:val="24"/>
          <w:szCs w:val="24"/>
          <w:lang w:val="mk-MK"/>
        </w:rPr>
        <w:t xml:space="preserve">Стариот свет умира, новиот се напрега да се роди - ова е време на чудовишта“ – целосно изненадувачки и несвојствено за контекстот </w:t>
      </w:r>
      <w:r w:rsidR="00B416E0">
        <w:rPr>
          <w:bCs/>
          <w:sz w:val="24"/>
          <w:szCs w:val="24"/>
          <w:lang w:val="mk-MK"/>
        </w:rPr>
        <w:t>на</w:t>
      </w:r>
      <w:r w:rsidRPr="00F53881">
        <w:rPr>
          <w:bCs/>
          <w:sz w:val="24"/>
          <w:szCs w:val="24"/>
          <w:lang w:val="mk-MK"/>
        </w:rPr>
        <w:t xml:space="preserve"> </w:t>
      </w:r>
      <w:r w:rsidR="00F02106">
        <w:rPr>
          <w:bCs/>
          <w:sz w:val="24"/>
          <w:szCs w:val="24"/>
          <w:lang w:val="mk-MK"/>
        </w:rPr>
        <w:t>доктор</w:t>
      </w:r>
      <w:r w:rsidR="00896627">
        <w:rPr>
          <w:bCs/>
          <w:sz w:val="24"/>
          <w:szCs w:val="24"/>
          <w:lang w:val="mk-MK"/>
        </w:rPr>
        <w:t>ска дисертација</w:t>
      </w:r>
      <w:r w:rsidRPr="00F53881">
        <w:rPr>
          <w:bCs/>
          <w:sz w:val="24"/>
          <w:szCs w:val="24"/>
          <w:lang w:val="mk-MK"/>
        </w:rPr>
        <w:t xml:space="preserve"> на </w:t>
      </w:r>
      <w:r w:rsidR="00496084">
        <w:rPr>
          <w:bCs/>
          <w:sz w:val="24"/>
          <w:szCs w:val="24"/>
          <w:lang w:val="mk-MK"/>
        </w:rPr>
        <w:t xml:space="preserve">навидум поинаква </w:t>
      </w:r>
      <w:r w:rsidRPr="00F53881">
        <w:rPr>
          <w:bCs/>
          <w:sz w:val="24"/>
          <w:szCs w:val="24"/>
          <w:lang w:val="mk-MK"/>
        </w:rPr>
        <w:t>тема, оваа реченица на Антонио Грамши од неговите затворски тетратки пишувани во периодот од 1929 до 1935 година,</w:t>
      </w:r>
      <w:r w:rsidRPr="00F53881">
        <w:rPr>
          <w:rStyle w:val="FootnoteReference"/>
          <w:bCs/>
          <w:sz w:val="24"/>
          <w:szCs w:val="24"/>
          <w:lang w:val="mk-MK"/>
        </w:rPr>
        <w:footnoteReference w:id="1"/>
      </w:r>
      <w:r w:rsidRPr="00F53881">
        <w:rPr>
          <w:bCs/>
          <w:sz w:val="24"/>
          <w:szCs w:val="24"/>
          <w:lang w:val="mk-MK"/>
        </w:rPr>
        <w:t xml:space="preserve"> најсоодветно го опишува 3</w:t>
      </w:r>
      <w:r w:rsidR="00E24370">
        <w:rPr>
          <w:bCs/>
          <w:sz w:val="24"/>
          <w:szCs w:val="24"/>
          <w:lang w:val="mk-MK"/>
        </w:rPr>
        <w:t>5</w:t>
      </w:r>
      <w:r w:rsidRPr="00F53881">
        <w:rPr>
          <w:bCs/>
          <w:sz w:val="24"/>
          <w:szCs w:val="24"/>
          <w:lang w:val="mk-MK"/>
        </w:rPr>
        <w:t xml:space="preserve">-годишниот период на делумна </w:t>
      </w:r>
      <w:r w:rsidRPr="00F53881">
        <w:rPr>
          <w:bCs/>
          <w:sz w:val="24"/>
          <w:szCs w:val="24"/>
          <w:lang w:val="en-US"/>
        </w:rPr>
        <w:t>(</w:t>
      </w:r>
      <w:r w:rsidRPr="00F53881">
        <w:rPr>
          <w:bCs/>
          <w:sz w:val="24"/>
          <w:szCs w:val="24"/>
          <w:lang w:val="mk-MK"/>
        </w:rPr>
        <w:t>де)регулација на легислативата од корпоративниот свет во Македонија.</w:t>
      </w:r>
      <w:r w:rsidRPr="00F53881">
        <w:rPr>
          <w:rStyle w:val="FootnoteReference"/>
          <w:bCs/>
          <w:sz w:val="24"/>
          <w:szCs w:val="24"/>
          <w:lang w:val="mk-MK"/>
        </w:rPr>
        <w:footnoteReference w:id="2"/>
      </w:r>
      <w:r w:rsidRPr="00F53881">
        <w:rPr>
          <w:bCs/>
          <w:sz w:val="24"/>
          <w:szCs w:val="24"/>
          <w:lang w:val="mk-MK"/>
        </w:rPr>
        <w:t xml:space="preserve"> Бурните и трансформативни процеси низ кои минува македонското општество,</w:t>
      </w:r>
      <w:r w:rsidRPr="00F53881">
        <w:rPr>
          <w:rStyle w:val="FootnoteReference"/>
          <w:bCs/>
          <w:sz w:val="24"/>
          <w:szCs w:val="24"/>
          <w:lang w:val="mk-MK"/>
        </w:rPr>
        <w:footnoteReference w:id="3"/>
      </w:r>
      <w:r w:rsidRPr="00F53881">
        <w:rPr>
          <w:bCs/>
          <w:sz w:val="24"/>
          <w:szCs w:val="24"/>
          <w:lang w:val="mk-MK"/>
        </w:rPr>
        <w:t xml:space="preserve"> вклучително и корпоративното опкружување,</w:t>
      </w:r>
      <w:r w:rsidRPr="00F53881">
        <w:rPr>
          <w:rStyle w:val="FootnoteReference"/>
          <w:bCs/>
          <w:sz w:val="24"/>
          <w:szCs w:val="24"/>
          <w:lang w:val="mk-MK"/>
        </w:rPr>
        <w:footnoteReference w:id="4"/>
      </w:r>
      <w:r w:rsidRPr="00F53881">
        <w:rPr>
          <w:bCs/>
          <w:sz w:val="24"/>
          <w:szCs w:val="24"/>
          <w:lang w:val="mk-MK"/>
        </w:rPr>
        <w:t xml:space="preserve"> последните три децении го истакнуваат контрастот помеѓу старата и новата реалност: од еден систем што е на пат да исчезне,</w:t>
      </w:r>
      <w:r w:rsidRPr="00F53881">
        <w:rPr>
          <w:rStyle w:val="FootnoteReference"/>
          <w:bCs/>
          <w:sz w:val="24"/>
          <w:szCs w:val="24"/>
          <w:lang w:val="mk-MK"/>
        </w:rPr>
        <w:footnoteReference w:id="5"/>
      </w:r>
      <w:r w:rsidRPr="00F53881">
        <w:rPr>
          <w:bCs/>
          <w:sz w:val="24"/>
          <w:szCs w:val="24"/>
          <w:lang w:val="mk-MK"/>
        </w:rPr>
        <w:t xml:space="preserve"> до појава на нов, но сè уште недефиниран </w:t>
      </w:r>
      <w:r w:rsidR="00723634">
        <w:rPr>
          <w:bCs/>
          <w:sz w:val="24"/>
          <w:szCs w:val="24"/>
          <w:lang w:val="mk-MK"/>
        </w:rPr>
        <w:t>по</w:t>
      </w:r>
      <w:r w:rsidRPr="00F53881">
        <w:rPr>
          <w:bCs/>
          <w:sz w:val="24"/>
          <w:szCs w:val="24"/>
          <w:lang w:val="mk-MK"/>
        </w:rPr>
        <w:t>ред</w:t>
      </w:r>
      <w:r w:rsidR="00723634">
        <w:rPr>
          <w:bCs/>
          <w:sz w:val="24"/>
          <w:szCs w:val="24"/>
          <w:lang w:val="mk-MK"/>
        </w:rPr>
        <w:t>ок</w:t>
      </w:r>
      <w:r w:rsidRPr="00F53881">
        <w:rPr>
          <w:bCs/>
          <w:sz w:val="24"/>
          <w:szCs w:val="24"/>
          <w:lang w:val="mk-MK"/>
        </w:rPr>
        <w:t>. Овој премин е исполнет со неизвесности и предизвици, што ги прави „чудовиштата“</w:t>
      </w:r>
      <w:r w:rsidR="00490C93">
        <w:rPr>
          <w:bCs/>
          <w:sz w:val="24"/>
          <w:szCs w:val="24"/>
          <w:lang w:val="mk-MK"/>
        </w:rPr>
        <w:t xml:space="preserve">, </w:t>
      </w:r>
      <w:r w:rsidRPr="00F53881">
        <w:rPr>
          <w:bCs/>
          <w:sz w:val="24"/>
          <w:szCs w:val="24"/>
          <w:lang w:val="mk-MK"/>
        </w:rPr>
        <w:t>метафората за хаосот и непредвидливоста</w:t>
      </w:r>
      <w:r w:rsidR="00490C93">
        <w:rPr>
          <w:bCs/>
          <w:sz w:val="24"/>
          <w:szCs w:val="24"/>
          <w:lang w:val="mk-MK"/>
        </w:rPr>
        <w:t>,</w:t>
      </w:r>
      <w:r w:rsidRPr="00F53881">
        <w:rPr>
          <w:bCs/>
          <w:sz w:val="24"/>
          <w:szCs w:val="24"/>
          <w:lang w:val="mk-MK"/>
        </w:rPr>
        <w:t xml:space="preserve"> соодветни симболи за овој период. </w:t>
      </w:r>
    </w:p>
    <w:p w14:paraId="7648D488" w14:textId="21DFBBD9" w:rsidR="00ED2B59" w:rsidRPr="00F53881" w:rsidRDefault="00BB5D3B" w:rsidP="00ED2B59">
      <w:pPr>
        <w:adjustRightInd w:val="0"/>
        <w:spacing w:before="240"/>
        <w:ind w:firstLine="720"/>
        <w:jc w:val="both"/>
        <w:rPr>
          <w:bCs/>
          <w:sz w:val="24"/>
          <w:szCs w:val="24"/>
          <w:lang w:val="mk-MK"/>
        </w:rPr>
      </w:pPr>
      <w:r>
        <w:rPr>
          <w:bCs/>
          <w:sz w:val="24"/>
          <w:szCs w:val="24"/>
          <w:lang w:val="mk-MK"/>
        </w:rPr>
        <w:t>Наведеното</w:t>
      </w:r>
      <w:r w:rsidR="00ED2B59" w:rsidRPr="00F53881">
        <w:rPr>
          <w:bCs/>
          <w:sz w:val="24"/>
          <w:szCs w:val="24"/>
          <w:lang w:val="mk-MK"/>
        </w:rPr>
        <w:t xml:space="preserve"> ја нагласува дилемата со која се соочуваат македонските институции и трговските друштва, кои, во услови на глобална поврзаност и притисок од странски влијанија,</w:t>
      </w:r>
      <w:r w:rsidR="00ED2B59" w:rsidRPr="00F53881">
        <w:rPr>
          <w:rStyle w:val="FootnoteReference"/>
          <w:bCs/>
          <w:sz w:val="24"/>
          <w:szCs w:val="24"/>
          <w:lang w:val="mk-MK"/>
        </w:rPr>
        <w:footnoteReference w:id="6"/>
      </w:r>
      <w:r w:rsidR="00ED2B59" w:rsidRPr="00F53881">
        <w:rPr>
          <w:bCs/>
          <w:sz w:val="24"/>
          <w:szCs w:val="24"/>
          <w:lang w:val="mk-MK"/>
        </w:rPr>
        <w:t xml:space="preserve"> се обидуваат да изнајдат начин за создавање стабилна правна и економска средина.</w:t>
      </w:r>
      <w:r w:rsidR="00ED2B59" w:rsidRPr="00F53881">
        <w:rPr>
          <w:rStyle w:val="FootnoteReference"/>
          <w:bCs/>
          <w:sz w:val="24"/>
          <w:szCs w:val="24"/>
          <w:lang w:val="mk-MK"/>
        </w:rPr>
        <w:footnoteReference w:id="7"/>
      </w:r>
      <w:r w:rsidR="00ED2B59" w:rsidRPr="00F53881">
        <w:rPr>
          <w:bCs/>
          <w:sz w:val="24"/>
          <w:szCs w:val="24"/>
          <w:lang w:val="mk-MK"/>
        </w:rPr>
        <w:t xml:space="preserve"> Во таков контекст, изразот на Грамши служи како силна рефлексија на нејасниот пат на транзиција и потсетување на важноста од конструктивни промени кои ќе донесат стабилност и правна сигурност.</w:t>
      </w:r>
      <w:r w:rsidR="00ED2B59" w:rsidRPr="00F53881">
        <w:rPr>
          <w:rStyle w:val="FootnoteReference"/>
          <w:bCs/>
          <w:sz w:val="24"/>
          <w:szCs w:val="24"/>
          <w:lang w:val="mk-MK"/>
        </w:rPr>
        <w:footnoteReference w:id="8"/>
      </w:r>
    </w:p>
    <w:p w14:paraId="630E6981" w14:textId="77777777" w:rsidR="00ED2B59" w:rsidRPr="00F53881" w:rsidRDefault="00ED2B59" w:rsidP="00ED2B59">
      <w:pPr>
        <w:adjustRightInd w:val="0"/>
        <w:spacing w:before="240"/>
        <w:jc w:val="both"/>
        <w:rPr>
          <w:bCs/>
          <w:sz w:val="24"/>
          <w:szCs w:val="24"/>
          <w:lang w:val="mk-MK"/>
        </w:rPr>
      </w:pPr>
      <w:r w:rsidRPr="00F53881">
        <w:rPr>
          <w:bCs/>
          <w:sz w:val="24"/>
          <w:szCs w:val="24"/>
          <w:lang w:val="mk-MK"/>
        </w:rPr>
        <w:tab/>
        <w:t>Овие случувања во национални рамки, секако се проследени и со соодветни пандани во други држави, но и во светски рамки, па промените и еволуцијата на модерното корпоративно управување претставуваат едни од најзначајните развојни текови во правните и економските системи на светско ниво.</w:t>
      </w:r>
      <w:r w:rsidRPr="00F53881">
        <w:rPr>
          <w:rStyle w:val="FootnoteReference"/>
          <w:bCs/>
          <w:sz w:val="24"/>
          <w:szCs w:val="24"/>
          <w:lang w:val="mk-MK"/>
        </w:rPr>
        <w:footnoteReference w:id="9"/>
      </w:r>
      <w:r w:rsidRPr="00F53881">
        <w:rPr>
          <w:bCs/>
          <w:sz w:val="24"/>
          <w:szCs w:val="24"/>
          <w:lang w:val="mk-MK"/>
        </w:rPr>
        <w:t xml:space="preserve"> Општо е признато дека концептот на „корпорација“ има претрпено значајна трансформација уште од самите негови почетоци.</w:t>
      </w:r>
      <w:r w:rsidRPr="00F53881">
        <w:rPr>
          <w:rStyle w:val="FootnoteReference"/>
          <w:bCs/>
          <w:sz w:val="24"/>
          <w:szCs w:val="24"/>
          <w:lang w:val="mk-MK"/>
        </w:rPr>
        <w:footnoteReference w:id="10"/>
      </w:r>
      <w:r w:rsidRPr="00F53881">
        <w:rPr>
          <w:bCs/>
          <w:sz w:val="24"/>
          <w:szCs w:val="24"/>
          <w:lang w:val="mk-MK"/>
        </w:rPr>
        <w:t xml:space="preserve"> Од раните англиски и холандски трговски компании од 1600-тите,</w:t>
      </w:r>
      <w:r w:rsidRPr="00F53881">
        <w:rPr>
          <w:rStyle w:val="FootnoteReference"/>
          <w:bCs/>
          <w:sz w:val="24"/>
          <w:szCs w:val="24"/>
          <w:lang w:val="mk-MK"/>
        </w:rPr>
        <w:footnoteReference w:id="11"/>
      </w:r>
      <w:r w:rsidRPr="00F53881">
        <w:rPr>
          <w:bCs/>
          <w:sz w:val="24"/>
          <w:szCs w:val="24"/>
          <w:lang w:val="mk-MK"/>
        </w:rPr>
        <w:t xml:space="preserve"> или уште порано од скромните мелници во средновековниот Тулуз, Франција во 1300-тите,</w:t>
      </w:r>
      <w:r w:rsidRPr="00F53881">
        <w:rPr>
          <w:rStyle w:val="FootnoteReference"/>
          <w:bCs/>
          <w:sz w:val="24"/>
          <w:szCs w:val="24"/>
          <w:lang w:val="mk-MK"/>
        </w:rPr>
        <w:footnoteReference w:id="12"/>
      </w:r>
      <w:r w:rsidRPr="00F53881">
        <w:rPr>
          <w:bCs/>
          <w:sz w:val="24"/>
          <w:szCs w:val="24"/>
          <w:lang w:val="mk-MK"/>
        </w:rPr>
        <w:t xml:space="preserve"> правната фикција наречена корпорација, или во нашиот контекст се што потпаѓа под значењето на поимот „трговско друштво“, значително расте во комплексност, големина и влијание.</w:t>
      </w:r>
      <w:r w:rsidRPr="00F53881">
        <w:rPr>
          <w:rStyle w:val="FootnoteReference"/>
          <w:bCs/>
          <w:sz w:val="24"/>
          <w:szCs w:val="24"/>
          <w:lang w:val="mk-MK"/>
        </w:rPr>
        <w:footnoteReference w:id="13"/>
      </w:r>
      <w:r w:rsidRPr="00F53881">
        <w:rPr>
          <w:bCs/>
          <w:sz w:val="24"/>
          <w:szCs w:val="24"/>
          <w:lang w:val="mk-MK"/>
        </w:rPr>
        <w:t xml:space="preserve"> Со текот на времето, корпорациите не само што се развиваат во </w:t>
      </w:r>
      <w:r w:rsidRPr="00F53881">
        <w:rPr>
          <w:bCs/>
          <w:sz w:val="24"/>
          <w:szCs w:val="24"/>
          <w:lang w:val="mk-MK"/>
        </w:rPr>
        <w:lastRenderedPageBreak/>
        <w:t>економска моќ,</w:t>
      </w:r>
      <w:r w:rsidRPr="00F53881">
        <w:rPr>
          <w:rStyle w:val="FootnoteReference"/>
          <w:bCs/>
          <w:sz w:val="24"/>
          <w:szCs w:val="24"/>
          <w:lang w:val="mk-MK"/>
        </w:rPr>
        <w:footnoteReference w:id="14"/>
      </w:r>
      <w:r w:rsidRPr="00F53881">
        <w:rPr>
          <w:bCs/>
          <w:sz w:val="24"/>
          <w:szCs w:val="24"/>
          <w:lang w:val="mk-MK"/>
        </w:rPr>
        <w:t xml:space="preserve"> туку и во социјално значење,</w:t>
      </w:r>
      <w:r w:rsidRPr="00F53881">
        <w:rPr>
          <w:rStyle w:val="FootnoteReference"/>
          <w:bCs/>
          <w:sz w:val="24"/>
          <w:szCs w:val="24"/>
          <w:lang w:val="mk-MK"/>
        </w:rPr>
        <w:footnoteReference w:id="15"/>
      </w:r>
      <w:r w:rsidRPr="00F53881">
        <w:rPr>
          <w:bCs/>
          <w:sz w:val="24"/>
          <w:szCs w:val="24"/>
          <w:lang w:val="mk-MK"/>
        </w:rPr>
        <w:t xml:space="preserve"> станувајќи ентитети кои играат клучна улога во обликувањето на пазарите,</w:t>
      </w:r>
      <w:r w:rsidRPr="00F53881">
        <w:rPr>
          <w:rStyle w:val="FootnoteReference"/>
          <w:bCs/>
          <w:sz w:val="24"/>
          <w:szCs w:val="24"/>
          <w:lang w:val="mk-MK"/>
        </w:rPr>
        <w:footnoteReference w:id="16"/>
      </w:r>
      <w:r w:rsidRPr="00F53881">
        <w:rPr>
          <w:bCs/>
          <w:sz w:val="24"/>
          <w:szCs w:val="24"/>
          <w:lang w:val="mk-MK"/>
        </w:rPr>
        <w:t xml:space="preserve"> работните односи,</w:t>
      </w:r>
      <w:r w:rsidRPr="00F53881">
        <w:rPr>
          <w:rStyle w:val="FootnoteReference"/>
          <w:bCs/>
          <w:sz w:val="24"/>
          <w:szCs w:val="24"/>
          <w:lang w:val="mk-MK"/>
        </w:rPr>
        <w:footnoteReference w:id="17"/>
      </w:r>
      <w:r w:rsidRPr="00F53881">
        <w:rPr>
          <w:bCs/>
          <w:sz w:val="24"/>
          <w:szCs w:val="24"/>
          <w:lang w:val="mk-MK"/>
        </w:rPr>
        <w:t xml:space="preserve"> па дури и националните економии.</w:t>
      </w:r>
      <w:r w:rsidRPr="00F53881">
        <w:rPr>
          <w:rStyle w:val="FootnoteReference"/>
          <w:bCs/>
          <w:sz w:val="24"/>
          <w:szCs w:val="24"/>
          <w:lang w:val="mk-MK"/>
        </w:rPr>
        <w:footnoteReference w:id="18"/>
      </w:r>
      <w:r w:rsidRPr="00F53881">
        <w:rPr>
          <w:bCs/>
          <w:sz w:val="24"/>
          <w:szCs w:val="24"/>
          <w:lang w:val="mk-MK"/>
        </w:rPr>
        <w:t xml:space="preserve"> Сепак, и покрај нивното долготрајно постоење, улогата на вработените во овие правни структури останува динамична и се развива како тема за дебата, која ги надминува традиционалните граници на трговското и деловното право.</w:t>
      </w:r>
      <w:r w:rsidRPr="00F53881">
        <w:rPr>
          <w:rStyle w:val="FootnoteReference"/>
          <w:bCs/>
          <w:sz w:val="24"/>
          <w:szCs w:val="24"/>
          <w:lang w:val="mk-MK"/>
        </w:rPr>
        <w:footnoteReference w:id="19"/>
      </w:r>
      <w:r w:rsidRPr="00F53881">
        <w:rPr>
          <w:bCs/>
          <w:sz w:val="24"/>
          <w:szCs w:val="24"/>
          <w:lang w:val="mk-MK"/>
        </w:rPr>
        <w:t xml:space="preserve"> Тука, особено се актуелни механизмите преку кои вработените се вклучуваат во нивните компании, било преку учество во корпоративното управување или преку финансиски инвестиции во самата компанија.</w:t>
      </w:r>
      <w:r w:rsidRPr="00F53881">
        <w:rPr>
          <w:rStyle w:val="FootnoteReference"/>
          <w:bCs/>
          <w:sz w:val="24"/>
          <w:szCs w:val="24"/>
          <w:lang w:val="mk-MK"/>
        </w:rPr>
        <w:footnoteReference w:id="20"/>
      </w:r>
      <w:r w:rsidRPr="00F53881">
        <w:rPr>
          <w:bCs/>
          <w:sz w:val="24"/>
          <w:szCs w:val="24"/>
          <w:lang w:val="mk-MK"/>
        </w:rPr>
        <w:t xml:space="preserve"> </w:t>
      </w:r>
    </w:p>
    <w:p w14:paraId="7F68C702" w14:textId="77777777" w:rsidR="00BB5D3B" w:rsidRDefault="00ED2B59" w:rsidP="00FF1AE4">
      <w:pPr>
        <w:adjustRightInd w:val="0"/>
        <w:spacing w:before="240"/>
        <w:ind w:firstLine="720"/>
        <w:jc w:val="both"/>
        <w:rPr>
          <w:bCs/>
          <w:sz w:val="24"/>
          <w:szCs w:val="24"/>
          <w:lang w:val="mk-MK"/>
        </w:rPr>
      </w:pPr>
      <w:r w:rsidRPr="00F53881">
        <w:rPr>
          <w:bCs/>
          <w:sz w:val="24"/>
          <w:szCs w:val="24"/>
          <w:lang w:val="mk-MK"/>
        </w:rPr>
        <w:t>Во ср</w:t>
      </w:r>
      <w:r w:rsidR="00C50F6B">
        <w:rPr>
          <w:bCs/>
          <w:sz w:val="24"/>
          <w:szCs w:val="24"/>
          <w:lang w:val="mk-MK"/>
        </w:rPr>
        <w:t>жта</w:t>
      </w:r>
      <w:r w:rsidRPr="00F53881">
        <w:rPr>
          <w:bCs/>
          <w:sz w:val="24"/>
          <w:szCs w:val="24"/>
          <w:lang w:val="mk-MK"/>
        </w:rPr>
        <w:t xml:space="preserve"> на оваа дебата стојат два различни модели на вклученост на вработените: ангажирани во органите на друштвото наспроти стекнување акции односно сопственички удели во компанијата. Овие модели претставуваат два </w:t>
      </w:r>
      <w:r w:rsidR="00105578">
        <w:rPr>
          <w:bCs/>
          <w:sz w:val="24"/>
          <w:szCs w:val="24"/>
          <w:lang w:val="mk-MK"/>
        </w:rPr>
        <w:t>различни</w:t>
      </w:r>
      <w:r w:rsidRPr="00F53881">
        <w:rPr>
          <w:bCs/>
          <w:sz w:val="24"/>
          <w:szCs w:val="24"/>
          <w:lang w:val="mk-MK"/>
        </w:rPr>
        <w:t>, но комплементарни пристапи кон вклученоста на вработените,</w:t>
      </w:r>
      <w:r w:rsidRPr="00F53881">
        <w:rPr>
          <w:rStyle w:val="FootnoteReference"/>
          <w:bCs/>
          <w:sz w:val="24"/>
          <w:szCs w:val="24"/>
          <w:lang w:val="mk-MK"/>
        </w:rPr>
        <w:footnoteReference w:id="21"/>
      </w:r>
      <w:r w:rsidRPr="00F53881">
        <w:rPr>
          <w:bCs/>
          <w:sz w:val="24"/>
          <w:szCs w:val="24"/>
          <w:lang w:val="mk-MK"/>
        </w:rPr>
        <w:t xml:space="preserve"> при што секој од нив има свои уникатни предности и предизвици.</w:t>
      </w:r>
      <w:r w:rsidRPr="00F53881">
        <w:rPr>
          <w:rStyle w:val="FootnoteReference"/>
          <w:bCs/>
          <w:sz w:val="24"/>
          <w:szCs w:val="24"/>
          <w:lang w:val="mk-MK"/>
        </w:rPr>
        <w:footnoteReference w:id="22"/>
      </w:r>
      <w:r w:rsidRPr="00F53881">
        <w:rPr>
          <w:bCs/>
          <w:sz w:val="24"/>
          <w:szCs w:val="24"/>
          <w:lang w:val="mk-MK"/>
        </w:rPr>
        <w:t xml:space="preserve"> Во глобален контекст, земјите експериментирале и се уште истражуваат различни рамки кои се стремат да ги овластат вработените како учесници во донесувањето на одлуки или како финансиски акционери во нивните компании.</w:t>
      </w:r>
      <w:r w:rsidRPr="00F53881">
        <w:rPr>
          <w:rStyle w:val="FootnoteReference"/>
          <w:bCs/>
          <w:sz w:val="24"/>
          <w:szCs w:val="24"/>
          <w:lang w:val="mk-MK"/>
        </w:rPr>
        <w:footnoteReference w:id="23"/>
      </w:r>
      <w:r w:rsidRPr="00F53881">
        <w:rPr>
          <w:bCs/>
          <w:sz w:val="24"/>
          <w:szCs w:val="24"/>
          <w:lang w:val="mk-MK"/>
        </w:rPr>
        <w:t xml:space="preserve"> </w:t>
      </w:r>
    </w:p>
    <w:p w14:paraId="3BBB8794" w14:textId="09F33BA5" w:rsidR="000B039F" w:rsidRPr="003444FD" w:rsidRDefault="00ED2B59" w:rsidP="003444FD">
      <w:pPr>
        <w:adjustRightInd w:val="0"/>
        <w:spacing w:before="240"/>
        <w:ind w:firstLine="720"/>
        <w:jc w:val="both"/>
        <w:rPr>
          <w:bCs/>
          <w:sz w:val="24"/>
          <w:szCs w:val="24"/>
          <w:lang w:val="en-US"/>
        </w:rPr>
      </w:pPr>
      <w:r w:rsidRPr="00F53881">
        <w:rPr>
          <w:bCs/>
          <w:sz w:val="24"/>
          <w:szCs w:val="24"/>
          <w:lang w:val="mk-MK"/>
        </w:rPr>
        <w:t>Сепак, речиси секоја земја со развиена економија може да се смести некаде на спектарот помеѓу двата модели и натежнува кон едната или другата страна.</w:t>
      </w:r>
      <w:r w:rsidRPr="00F53881">
        <w:rPr>
          <w:rStyle w:val="FootnoteReference"/>
          <w:bCs/>
          <w:sz w:val="24"/>
          <w:szCs w:val="24"/>
          <w:lang w:val="mk-MK"/>
        </w:rPr>
        <w:footnoteReference w:id="24"/>
      </w:r>
      <w:r w:rsidRPr="00F53881">
        <w:rPr>
          <w:bCs/>
          <w:sz w:val="24"/>
          <w:szCs w:val="24"/>
          <w:lang w:val="mk-MK"/>
        </w:rPr>
        <w:t xml:space="preserve"> Оттука, да се реобмисли корпоративното управување во Македонија во овој смисол значи всушност да се одговори на прашањето на кој дел од спектарот може, посакува и е најверојатно да се позиционира нашата држава. Поточно, ова значи да се анализираат правните односи поврзани со сопственоста врз капиталот, со донесувањето на одлуки за тоа како ќе се управува со тој капитал, начинот на кој ќе се делегираат овластувањата за донесување одлуки, како ќе се извршуваат одлуките и како ќе се обезбедува контрола врз нивното спроведување,</w:t>
      </w:r>
      <w:r w:rsidRPr="00F53881">
        <w:rPr>
          <w:rStyle w:val="FootnoteReference"/>
          <w:bCs/>
          <w:sz w:val="24"/>
          <w:szCs w:val="24"/>
          <w:lang w:val="mk-MK"/>
        </w:rPr>
        <w:footnoteReference w:id="25"/>
      </w:r>
      <w:r w:rsidRPr="00F53881">
        <w:rPr>
          <w:bCs/>
          <w:sz w:val="24"/>
          <w:szCs w:val="24"/>
          <w:lang w:val="mk-MK"/>
        </w:rPr>
        <w:t xml:space="preserve"> со цел да се постигне потранспарентно и поправедно корпоративно уредување кое води до силна, стабилна и одржлива економија за трговските друштва и вработените во тие друштва. </w:t>
      </w:r>
    </w:p>
    <w:p w14:paraId="1400D6E6" w14:textId="094B0EBD" w:rsidR="00FF1AE4" w:rsidRPr="009B3854" w:rsidRDefault="007842F7" w:rsidP="009330C0">
      <w:pPr>
        <w:pStyle w:val="Heading1"/>
        <w:numPr>
          <w:ilvl w:val="0"/>
          <w:numId w:val="4"/>
        </w:numPr>
        <w:rPr>
          <w:lang w:val="en-US"/>
        </w:rPr>
      </w:pPr>
      <w:bookmarkStart w:id="4" w:name="_Toc230523857"/>
      <w:r>
        <w:rPr>
          <w:lang w:val="mk-MK"/>
        </w:rPr>
        <w:lastRenderedPageBreak/>
        <w:t>А</w:t>
      </w:r>
      <w:r w:rsidR="001A12AF">
        <w:rPr>
          <w:lang w:val="mk-MK"/>
        </w:rPr>
        <w:t xml:space="preserve">кадемски </w:t>
      </w:r>
      <w:r w:rsidR="0035425F">
        <w:rPr>
          <w:lang w:val="mk-MK"/>
        </w:rPr>
        <w:t>пристап</w:t>
      </w:r>
      <w:r>
        <w:rPr>
          <w:lang w:val="mk-MK"/>
        </w:rPr>
        <w:t>, структура</w:t>
      </w:r>
      <w:r w:rsidR="004F69D3">
        <w:rPr>
          <w:lang w:val="mk-MK"/>
        </w:rPr>
        <w:t>, хипотези и теза</w:t>
      </w:r>
      <w:bookmarkEnd w:id="4"/>
    </w:p>
    <w:p w14:paraId="01936AD5" w14:textId="77777777" w:rsidR="002E678B" w:rsidRPr="00A53957" w:rsidRDefault="002E678B" w:rsidP="00A53957">
      <w:pPr>
        <w:pStyle w:val="BodyText"/>
      </w:pPr>
    </w:p>
    <w:p w14:paraId="375C13AB" w14:textId="7B1951BA" w:rsidR="00BB2636" w:rsidRPr="00BB2636" w:rsidRDefault="008473BE" w:rsidP="00F75021">
      <w:pPr>
        <w:pStyle w:val="BodyText"/>
        <w:ind w:firstLine="720"/>
        <w:jc w:val="both"/>
        <w:rPr>
          <w:lang w:val="mk-MK"/>
        </w:rPr>
      </w:pPr>
      <w:r w:rsidRPr="008473BE">
        <w:rPr>
          <w:lang w:val="mk-MK"/>
        </w:rPr>
        <w:t>Правото на учество во корпоративното управување</w:t>
      </w:r>
      <w:r>
        <w:rPr>
          <w:lang w:val="mk-MK"/>
        </w:rPr>
        <w:t>,</w:t>
      </w:r>
      <w:r w:rsidRPr="008473BE">
        <w:rPr>
          <w:lang w:val="mk-MK"/>
        </w:rPr>
        <w:t xml:space="preserve"> било преку сопственост на акции или како претставник на вработените</w:t>
      </w:r>
      <w:r>
        <w:rPr>
          <w:lang w:val="mk-MK"/>
        </w:rPr>
        <w:t>,</w:t>
      </w:r>
      <w:r w:rsidRPr="008473BE">
        <w:rPr>
          <w:lang w:val="mk-MK"/>
        </w:rPr>
        <w:t xml:space="preserve"> останува во голема мера нерегулирано во меѓународното право.</w:t>
      </w:r>
      <w:r>
        <w:rPr>
          <w:rStyle w:val="FootnoteReference"/>
          <w:lang w:val="mk-MK"/>
        </w:rPr>
        <w:footnoteReference w:id="26"/>
      </w:r>
      <w:r w:rsidRPr="008473BE">
        <w:rPr>
          <w:lang w:val="mk-MK"/>
        </w:rPr>
        <w:t xml:space="preserve"> За разлика од други трудови права</w:t>
      </w:r>
      <w:r w:rsidR="00DB100A">
        <w:rPr>
          <w:lang w:val="mk-MK"/>
        </w:rPr>
        <w:t xml:space="preserve"> со деловен аспект</w:t>
      </w:r>
      <w:r w:rsidRPr="008473BE">
        <w:rPr>
          <w:lang w:val="mk-MK"/>
        </w:rPr>
        <w:t xml:space="preserve"> кои се сè повеќе интегрирани во меѓународните рамки за заштита на човековите права, овој </w:t>
      </w:r>
      <w:r w:rsidR="00DB100A">
        <w:rPr>
          <w:lang w:val="mk-MK"/>
        </w:rPr>
        <w:t>сегмент</w:t>
      </w:r>
      <w:r w:rsidRPr="008473BE">
        <w:rPr>
          <w:lang w:val="mk-MK"/>
        </w:rPr>
        <w:t xml:space="preserve"> на индустриската демократија е оставен на дискреција на поединечните држави.</w:t>
      </w:r>
      <w:r w:rsidR="00F75021">
        <w:rPr>
          <w:lang w:val="mk-MK"/>
        </w:rPr>
        <w:t xml:space="preserve"> Ваквиот</w:t>
      </w:r>
      <w:r w:rsidR="00BB2636" w:rsidRPr="00BB2636">
        <w:rPr>
          <w:lang w:val="mk-MK"/>
        </w:rPr>
        <w:t xml:space="preserve"> вакуум претставува контраст во однос на зголемената кохеренција на правните режими кои се однесуваат на работничките права во поширока смисла</w:t>
      </w:r>
      <w:r w:rsidR="00D461B0">
        <w:rPr>
          <w:lang w:val="mk-MK"/>
        </w:rPr>
        <w:t xml:space="preserve"> и станува уште позначаен во ситуации кога одредени држави не го регулираат ниту на националн</w:t>
      </w:r>
      <w:r w:rsidR="00366039">
        <w:rPr>
          <w:lang w:val="mk-MK"/>
        </w:rPr>
        <w:t>о</w:t>
      </w:r>
      <w:r w:rsidR="00D461B0">
        <w:rPr>
          <w:lang w:val="mk-MK"/>
        </w:rPr>
        <w:t xml:space="preserve"> ниво, како</w:t>
      </w:r>
      <w:r w:rsidR="00C2565A">
        <w:rPr>
          <w:lang w:val="mk-MK"/>
        </w:rPr>
        <w:t>в што е</w:t>
      </w:r>
      <w:r w:rsidR="00D461B0">
        <w:rPr>
          <w:lang w:val="mk-MK"/>
        </w:rPr>
        <w:t xml:space="preserve"> пример</w:t>
      </w:r>
      <w:r w:rsidR="00C2565A">
        <w:rPr>
          <w:lang w:val="mk-MK"/>
        </w:rPr>
        <w:t>от со</w:t>
      </w:r>
      <w:r w:rsidR="00D461B0">
        <w:rPr>
          <w:lang w:val="mk-MK"/>
        </w:rPr>
        <w:t xml:space="preserve"> Македонија</w:t>
      </w:r>
      <w:r w:rsidR="00BB2636" w:rsidRPr="00BB2636">
        <w:rPr>
          <w:lang w:val="mk-MK"/>
        </w:rPr>
        <w:t xml:space="preserve">. </w:t>
      </w:r>
    </w:p>
    <w:p w14:paraId="209E0B4D" w14:textId="297C914F" w:rsidR="009B3854" w:rsidRPr="001F42D1" w:rsidRDefault="000F01ED" w:rsidP="005E5FEA">
      <w:pPr>
        <w:pStyle w:val="BodyText"/>
        <w:spacing w:before="240"/>
        <w:ind w:firstLine="720"/>
        <w:jc w:val="both"/>
        <w:rPr>
          <w:lang w:val="mk-MK"/>
        </w:rPr>
      </w:pPr>
      <w:r>
        <w:rPr>
          <w:lang w:val="mk-MK"/>
        </w:rPr>
        <w:t>Токму затоа, о</w:t>
      </w:r>
      <w:r w:rsidRPr="000F01ED">
        <w:rPr>
          <w:lang w:val="mk-MK"/>
        </w:rPr>
        <w:t xml:space="preserve">ваа докторска дисертација е позиционирана во интердисциплинарниот простор </w:t>
      </w:r>
      <w:r>
        <w:rPr>
          <w:lang w:val="mk-MK"/>
        </w:rPr>
        <w:t>по</w:t>
      </w:r>
      <w:r w:rsidRPr="000F01ED">
        <w:rPr>
          <w:lang w:val="mk-MK"/>
        </w:rPr>
        <w:t xml:space="preserve">меѓу </w:t>
      </w:r>
      <w:r>
        <w:rPr>
          <w:lang w:val="mk-MK"/>
        </w:rPr>
        <w:t xml:space="preserve">деловното, </w:t>
      </w:r>
      <w:r w:rsidRPr="000F01ED">
        <w:rPr>
          <w:lang w:val="mk-MK"/>
        </w:rPr>
        <w:t xml:space="preserve">меѓународното право за човекови права, трудовото право и социо-правната теорија. Преку доктринална анализа, компаративна судска пракса и критичка правна теорија, дисертацијата го истражува нормативниот молк околу </w:t>
      </w:r>
      <w:r w:rsidR="003A698F">
        <w:rPr>
          <w:lang w:val="mk-MK"/>
        </w:rPr>
        <w:t>можноста</w:t>
      </w:r>
      <w:r w:rsidRPr="000F01ED">
        <w:rPr>
          <w:lang w:val="mk-MK"/>
        </w:rPr>
        <w:t xml:space="preserve"> </w:t>
      </w:r>
      <w:r w:rsidR="005E5FEA">
        <w:rPr>
          <w:lang w:val="mk-MK"/>
        </w:rPr>
        <w:t>да се биде дел од корпоративното управување</w:t>
      </w:r>
      <w:r w:rsidRPr="000F01ED">
        <w:rPr>
          <w:lang w:val="mk-MK"/>
        </w:rPr>
        <w:t>. Притоа, се поставува прашањето дали отсуството на такво право претставува слепа точка или е резултат на свесна политичка и економска одлука.</w:t>
      </w:r>
      <w:r w:rsidR="005E5FEA">
        <w:rPr>
          <w:lang w:val="mk-MK"/>
        </w:rPr>
        <w:t xml:space="preserve"> Оттука, </w:t>
      </w:r>
      <w:r w:rsidR="00D913C2">
        <w:rPr>
          <w:lang w:val="mk-MK"/>
        </w:rPr>
        <w:t>с</w:t>
      </w:r>
      <w:r w:rsidR="00450386">
        <w:rPr>
          <w:lang w:val="mk-MK"/>
        </w:rPr>
        <w:t>труктурата и пристапот</w:t>
      </w:r>
      <w:r w:rsidR="009B3854" w:rsidRPr="001F42D1">
        <w:rPr>
          <w:lang w:val="mk-MK"/>
        </w:rPr>
        <w:t xml:space="preserve"> во ова истражување се поставени врз три основни хипотези кои понатаму се разгрануваат и се потпомогнати од посебни </w:t>
      </w:r>
      <w:r w:rsidR="00791071">
        <w:rPr>
          <w:lang w:val="mk-MK"/>
        </w:rPr>
        <w:t>претпоставки и анализи</w:t>
      </w:r>
      <w:r w:rsidR="009B3854" w:rsidRPr="001F42D1">
        <w:rPr>
          <w:lang w:val="mk-MK"/>
        </w:rPr>
        <w:t>.</w:t>
      </w:r>
      <w:r w:rsidR="00602E57">
        <w:rPr>
          <w:rStyle w:val="FootnoteReference"/>
          <w:lang w:val="mk-MK"/>
        </w:rPr>
        <w:footnoteReference w:id="27"/>
      </w:r>
      <w:r w:rsidR="009B3854" w:rsidRPr="001F42D1">
        <w:rPr>
          <w:lang w:val="mk-MK"/>
        </w:rPr>
        <w:t xml:space="preserve"> Посебните хипотези се позиционирани во насока на зацврстување на </w:t>
      </w:r>
      <w:r w:rsidR="006F3501">
        <w:rPr>
          <w:lang w:val="mk-MK"/>
        </w:rPr>
        <w:t>градењето на случај</w:t>
      </w:r>
      <w:r w:rsidR="009B3854" w:rsidRPr="001F42D1">
        <w:rPr>
          <w:lang w:val="mk-MK"/>
        </w:rPr>
        <w:t xml:space="preserve"> поставени со основн</w:t>
      </w:r>
      <w:r w:rsidR="00602E57">
        <w:rPr>
          <w:lang w:val="mk-MK"/>
        </w:rPr>
        <w:t>ото истражувачко прашање</w:t>
      </w:r>
      <w:r w:rsidR="009B3854" w:rsidRPr="001F42D1">
        <w:rPr>
          <w:lang w:val="mk-MK"/>
        </w:rPr>
        <w:t>. Во рамките на денешното општество кое се карактеризира со развиено корпоративно дејствување, особено предвид се земаат и интерните акти и поставеноста на корпорациите во однос на правото на трговските друштва.</w:t>
      </w:r>
      <w:r w:rsidR="009B3854" w:rsidRPr="001F42D1">
        <w:rPr>
          <w:rStyle w:val="FootnoteReference"/>
          <w:lang w:val="mk-MK"/>
        </w:rPr>
        <w:footnoteReference w:id="28"/>
      </w:r>
      <w:r w:rsidR="009B3854" w:rsidRPr="001F42D1">
        <w:rPr>
          <w:lang w:val="mk-MK"/>
        </w:rPr>
        <w:t xml:space="preserve"> Во таа линија, пред да се постави структурата, </w:t>
      </w:r>
      <w:r w:rsidR="00E60524">
        <w:rPr>
          <w:lang w:val="mk-MK"/>
        </w:rPr>
        <w:t xml:space="preserve">ќе се </w:t>
      </w:r>
      <w:r w:rsidR="000B6542">
        <w:rPr>
          <w:lang w:val="mk-MK"/>
        </w:rPr>
        <w:t>разграничи теоријата околу</w:t>
      </w:r>
      <w:r w:rsidR="009B3854" w:rsidRPr="001F42D1">
        <w:rPr>
          <w:lang w:val="mk-MK"/>
        </w:rPr>
        <w:t xml:space="preserve"> тековните состави на одборите. </w:t>
      </w:r>
    </w:p>
    <w:p w14:paraId="6A245360" w14:textId="1E37AC7A" w:rsidR="009B3854" w:rsidRPr="00645969" w:rsidRDefault="009B3854" w:rsidP="00827DEC">
      <w:pPr>
        <w:pStyle w:val="BodyText"/>
        <w:spacing w:before="240"/>
        <w:ind w:firstLine="720"/>
        <w:jc w:val="both"/>
        <w:rPr>
          <w:lang w:val="en-US"/>
        </w:rPr>
      </w:pPr>
      <w:r w:rsidRPr="001F42D1">
        <w:rPr>
          <w:lang w:val="mk-MK"/>
        </w:rPr>
        <w:t xml:space="preserve">Дисертацијата ќе го започне истражувањето преку прашањето дали и како постојните состави на одборите функционираат во насока на исполнување на интересите на друштвото. Ова објаснување би послужило како основа за хипотеза дека во овој момент членовите на органите </w:t>
      </w:r>
      <w:r w:rsidR="002D4617">
        <w:rPr>
          <w:lang w:val="mk-MK"/>
        </w:rPr>
        <w:t xml:space="preserve">имаат </w:t>
      </w:r>
      <w:r w:rsidRPr="001F42D1">
        <w:rPr>
          <w:lang w:val="mk-MK"/>
        </w:rPr>
        <w:t>доволен интерес или компетенции за заштита, вклученост и мотивација на вработените. Така, би се разгледале и можностите во однос на тоа дали инклузијата на претставници на вработените е потребна за надградба и подобрување на функционалноста на одборите и компаниите. Затоа, основната цел на оваа дисертација е да го истражи влијанието на различните модели на ангажирање на вработенит</w:t>
      </w:r>
      <w:r w:rsidR="00DB177F">
        <w:rPr>
          <w:lang w:val="en-US"/>
        </w:rPr>
        <w:t>e</w:t>
      </w:r>
      <w:r w:rsidR="00DB3206">
        <w:rPr>
          <w:lang w:val="mk-MK"/>
        </w:rPr>
        <w:t>,</w:t>
      </w:r>
      <w:r w:rsidR="00DB177F">
        <w:rPr>
          <w:lang w:val="en-US"/>
        </w:rPr>
        <w:t xml:space="preserve"> </w:t>
      </w:r>
      <w:r w:rsidRPr="001F42D1">
        <w:rPr>
          <w:lang w:val="mk-MK"/>
        </w:rPr>
        <w:t>конкретно, застапеноста на вработените во органите на компанијата наспроти стекнувањето удел на вработените</w:t>
      </w:r>
      <w:r w:rsidR="00DB3206">
        <w:rPr>
          <w:lang w:val="mk-MK"/>
        </w:rPr>
        <w:t>,</w:t>
      </w:r>
      <w:r w:rsidRPr="001F42D1">
        <w:rPr>
          <w:lang w:val="mk-MK"/>
        </w:rPr>
        <w:t xml:space="preserve"> врз уреденоста на македонското законодавство, лојалноста, вклученоста и задоволството на вработените во македонската корпоративна рамка.</w:t>
      </w:r>
      <w:r w:rsidR="001E451B">
        <w:rPr>
          <w:rStyle w:val="FootnoteReference"/>
          <w:lang w:val="mk-MK"/>
        </w:rPr>
        <w:footnoteReference w:id="29"/>
      </w:r>
      <w:r w:rsidRPr="001F42D1">
        <w:rPr>
          <w:lang w:val="mk-MK"/>
        </w:rPr>
        <w:t xml:space="preserve"> </w:t>
      </w:r>
      <w:r w:rsidR="00645969">
        <w:rPr>
          <w:lang w:val="en-US"/>
        </w:rPr>
        <w:t xml:space="preserve"> </w:t>
      </w:r>
    </w:p>
    <w:p w14:paraId="0E9F71E1" w14:textId="7062671A" w:rsidR="009B3854" w:rsidRPr="001F42D1" w:rsidRDefault="00DA2AAB" w:rsidP="009B3854">
      <w:pPr>
        <w:pStyle w:val="BodyText"/>
        <w:spacing w:before="240"/>
        <w:ind w:firstLine="360"/>
        <w:jc w:val="both"/>
        <w:rPr>
          <w:lang w:val="en-US"/>
        </w:rPr>
      </w:pPr>
      <w:r>
        <w:rPr>
          <w:lang w:val="mk-MK"/>
        </w:rPr>
        <w:t>Затоа</w:t>
      </w:r>
      <w:r w:rsidR="009B3854" w:rsidRPr="001F42D1">
        <w:rPr>
          <w:lang w:val="mk-MK"/>
        </w:rPr>
        <w:t xml:space="preserve">, </w:t>
      </w:r>
      <w:r w:rsidR="009B3854" w:rsidRPr="001F42D1">
        <w:rPr>
          <w:b/>
          <w:bCs/>
          <w:lang w:val="mk-MK"/>
        </w:rPr>
        <w:t xml:space="preserve">основна хипотеза на оваа дисертација е дека застапеноста на вработените </w:t>
      </w:r>
      <w:r w:rsidR="009B3854" w:rsidRPr="001F42D1">
        <w:rPr>
          <w:b/>
          <w:bCs/>
          <w:lang w:val="mk-MK"/>
        </w:rPr>
        <w:lastRenderedPageBreak/>
        <w:t>во телата на компанијата и/или доделувањето акции поттикнува поголема лојалност, вклученост, сигурност и задоволство на вработените во споредба со традиционалните структури на управување од врвот надолу</w:t>
      </w:r>
      <w:r w:rsidR="009B3854" w:rsidRPr="001F42D1">
        <w:rPr>
          <w:lang w:val="mk-MK"/>
        </w:rPr>
        <w:t>. Иако примарниот фокус</w:t>
      </w:r>
      <w:r w:rsidR="00DE55D7">
        <w:rPr>
          <w:lang w:val="en-US"/>
        </w:rPr>
        <w:t xml:space="preserve"> </w:t>
      </w:r>
      <w:r w:rsidR="00DE55D7">
        <w:rPr>
          <w:lang w:val="mk-MK"/>
        </w:rPr>
        <w:t>и теза</w:t>
      </w:r>
      <w:r w:rsidR="009B3854" w:rsidRPr="001F42D1">
        <w:rPr>
          <w:lang w:val="mk-MK"/>
        </w:rPr>
        <w:t xml:space="preserve"> на</w:t>
      </w:r>
      <w:r w:rsidR="009B3854" w:rsidRPr="001F42D1">
        <w:rPr>
          <w:lang w:val="en-US"/>
        </w:rPr>
        <w:t xml:space="preserve"> </w:t>
      </w:r>
      <w:r w:rsidR="009B3854" w:rsidRPr="001F42D1">
        <w:rPr>
          <w:lang w:val="mk-MK"/>
        </w:rPr>
        <w:t xml:space="preserve">дисертацијата е на македонскиот случај и примената на наодите во Македонија, самата хипотеза е од општ карактер. Како таква, хипотезата </w:t>
      </w:r>
      <w:r w:rsidR="006B0359">
        <w:rPr>
          <w:lang w:val="mk-MK"/>
        </w:rPr>
        <w:t>не е целосно</w:t>
      </w:r>
      <w:r w:rsidR="009B3854" w:rsidRPr="001F42D1">
        <w:rPr>
          <w:lang w:val="mk-MK"/>
        </w:rPr>
        <w:t xml:space="preserve"> докажана во светски рамки, </w:t>
      </w:r>
      <w:r w:rsidR="006B0359">
        <w:rPr>
          <w:lang w:val="mk-MK"/>
        </w:rPr>
        <w:t>па</w:t>
      </w:r>
      <w:r w:rsidR="009B3854" w:rsidRPr="001F42D1">
        <w:rPr>
          <w:lang w:val="mk-MK"/>
        </w:rPr>
        <w:t xml:space="preserve"> конкретното аплицирање и академско „тестирање“ на сите најдобри практики врз македонската легислатива </w:t>
      </w:r>
      <w:r w:rsidR="006B0359">
        <w:rPr>
          <w:lang w:val="mk-MK"/>
        </w:rPr>
        <w:t>можат да</w:t>
      </w:r>
      <w:r w:rsidR="009B3854" w:rsidRPr="001F42D1">
        <w:rPr>
          <w:lang w:val="mk-MK"/>
        </w:rPr>
        <w:t xml:space="preserve"> дадат конкретни сознанија и примени кон глобалниот контекст. Суштински, работничкото учество ќе се разгледува и споредува со работничкото акционерство, но клучната хипотеза е дека било кој од овие два формати е подобар од сегашната целосна законска неуреденост во оваа област што се однесува на вработените во компаниите во Македонија.</w:t>
      </w:r>
    </w:p>
    <w:p w14:paraId="473A1B47" w14:textId="77777777" w:rsidR="00B861E5" w:rsidRDefault="009B3854" w:rsidP="001A12AF">
      <w:pPr>
        <w:pStyle w:val="BodyText"/>
        <w:spacing w:before="240"/>
        <w:ind w:firstLine="720"/>
        <w:jc w:val="both"/>
        <w:rPr>
          <w:lang w:val="mk-MK"/>
        </w:rPr>
      </w:pPr>
      <w:r w:rsidRPr="001F42D1">
        <w:rPr>
          <w:b/>
          <w:bCs/>
          <w:lang w:val="mk-MK"/>
        </w:rPr>
        <w:t xml:space="preserve">Втората хипотеза е дека стекнувањето акции ја зголемува мотивацијата на вработените и ги усогласува нивните финансиски интереси со долгорочниот успех на компанијата. </w:t>
      </w:r>
      <w:r w:rsidR="000C3BB8">
        <w:rPr>
          <w:lang w:val="mk-MK"/>
        </w:rPr>
        <w:t xml:space="preserve">Плановите за </w:t>
      </w:r>
      <w:r w:rsidR="000C3BB8" w:rsidRPr="000C3BB8">
        <w:rPr>
          <w:lang w:val="mk-MK"/>
        </w:rPr>
        <w:t>сопственост на акции од страна на вработените</w:t>
      </w:r>
      <w:r w:rsidRPr="001F42D1">
        <w:rPr>
          <w:lang w:val="mk-MK"/>
        </w:rPr>
        <w:t xml:space="preserve"> (ESOPs) и другите шеми за стекнување акции се широко имплементирани во земји како Соединетите Американски Држави и Обединетото Кралство. Емпириските студии покажуваат дека кога вработените имаат финансиски удели во компанијата, тие стануваат помотивирани да придонесат за нејзиниот успех, бидејќи нивното лично богатство е директно поврзано со перформансите на компанијата.</w:t>
      </w:r>
      <w:r w:rsidR="00C87F0F">
        <w:rPr>
          <w:rStyle w:val="FootnoteReference"/>
          <w:lang w:val="mk-MK"/>
        </w:rPr>
        <w:footnoteReference w:id="30"/>
      </w:r>
      <w:r w:rsidRPr="001F42D1">
        <w:rPr>
          <w:lang w:val="mk-MK"/>
        </w:rPr>
        <w:t xml:space="preserve"> Оваа </w:t>
      </w:r>
      <w:r w:rsidR="00E27C4F">
        <w:rPr>
          <w:lang w:val="mk-MK"/>
        </w:rPr>
        <w:t xml:space="preserve">научна </w:t>
      </w:r>
      <w:r w:rsidR="0069006A">
        <w:rPr>
          <w:lang w:val="mk-MK"/>
        </w:rPr>
        <w:t>претпоставка</w:t>
      </w:r>
      <w:r w:rsidRPr="001F42D1">
        <w:rPr>
          <w:lang w:val="mk-MK"/>
        </w:rPr>
        <w:t xml:space="preserve"> тестира дали финансиските стимулации преку сопственоста на акции мож</w:t>
      </w:r>
      <w:r w:rsidR="00E27C4F">
        <w:rPr>
          <w:lang w:val="mk-MK"/>
        </w:rPr>
        <w:t>ат</w:t>
      </w:r>
      <w:r w:rsidRPr="001F42D1">
        <w:rPr>
          <w:lang w:val="mk-MK"/>
        </w:rPr>
        <w:t xml:space="preserve"> да имаат сличен ефект во Македонија, каде што моделите за стекнување акции се релативно недоволно развиени. </w:t>
      </w:r>
    </w:p>
    <w:p w14:paraId="15E07CB6" w14:textId="56459A37" w:rsidR="009B3854" w:rsidRPr="001F42D1" w:rsidRDefault="009B3854" w:rsidP="001A12AF">
      <w:pPr>
        <w:pStyle w:val="BodyText"/>
        <w:spacing w:before="240"/>
        <w:ind w:firstLine="720"/>
        <w:jc w:val="both"/>
        <w:rPr>
          <w:lang w:val="mk-MK"/>
        </w:rPr>
      </w:pPr>
      <w:r w:rsidRPr="001F42D1">
        <w:rPr>
          <w:lang w:val="mk-MK"/>
        </w:rPr>
        <w:t xml:space="preserve">Истражувањето ќе ја испита корелацијата помеѓу сопственоста на </w:t>
      </w:r>
      <w:r w:rsidR="00C06037">
        <w:rPr>
          <w:lang w:val="mk-MK"/>
        </w:rPr>
        <w:t xml:space="preserve">удели на </w:t>
      </w:r>
      <w:r w:rsidRPr="001F42D1">
        <w:rPr>
          <w:lang w:val="mk-MK"/>
        </w:rPr>
        <w:t>вработените и долгорочната лојалност, задоволство и задржување, кои се клучни показатели за ангажманот</w:t>
      </w:r>
      <w:r w:rsidRPr="001F42D1">
        <w:rPr>
          <w:lang w:val="en-US"/>
        </w:rPr>
        <w:t xml:space="preserve">, </w:t>
      </w:r>
      <w:r w:rsidRPr="001F42D1">
        <w:rPr>
          <w:lang w:val="mk-MK"/>
        </w:rPr>
        <w:t>вклучително и референци кон синдикатите.</w:t>
      </w:r>
      <w:r w:rsidR="00C06037">
        <w:rPr>
          <w:rStyle w:val="FootnoteReference"/>
          <w:lang w:val="mk-MK"/>
        </w:rPr>
        <w:footnoteReference w:id="31"/>
      </w:r>
      <w:r w:rsidRPr="001F42D1">
        <w:rPr>
          <w:lang w:val="mk-MK"/>
        </w:rPr>
        <w:t xml:space="preserve"> </w:t>
      </w:r>
      <w:r w:rsidR="00C06037">
        <w:rPr>
          <w:lang w:val="mk-MK"/>
        </w:rPr>
        <w:t xml:space="preserve">Тука ќе </w:t>
      </w:r>
      <w:r w:rsidRPr="001F42D1">
        <w:rPr>
          <w:lang w:val="mk-MK"/>
        </w:rPr>
        <w:t>се вклучи</w:t>
      </w:r>
      <w:r w:rsidR="00C06037">
        <w:rPr>
          <w:lang w:val="mk-MK"/>
        </w:rPr>
        <w:t xml:space="preserve"> и</w:t>
      </w:r>
      <w:r w:rsidRPr="001F42D1">
        <w:rPr>
          <w:lang w:val="mk-MK"/>
        </w:rPr>
        <w:t xml:space="preserve"> подтема што ќе ги разгледа синдикатите како модел </w:t>
      </w:r>
      <w:r w:rsidR="00A3652B">
        <w:rPr>
          <w:lang w:val="mk-MK"/>
        </w:rPr>
        <w:t>з</w:t>
      </w:r>
      <w:r w:rsidRPr="001F42D1">
        <w:rPr>
          <w:lang w:val="mk-MK"/>
        </w:rPr>
        <w:t>а заштита на интересите на вработените</w:t>
      </w:r>
      <w:r w:rsidR="00A3652B">
        <w:rPr>
          <w:lang w:val="mk-MK"/>
        </w:rPr>
        <w:t xml:space="preserve"> и нивната актуелност</w:t>
      </w:r>
      <w:r w:rsidRPr="001F42D1">
        <w:rPr>
          <w:lang w:val="mk-MK"/>
        </w:rPr>
        <w:t xml:space="preserve"> во делот каде се зборува за различни модели на вклученост и застапеност на вработените. Ова би овозможило поширока рамка на разгледување на опциите и начините за нивно учество, при што би се утврдило кои аспекти на синдикатната застапеност можат да се интегрираат во одборите и корпоративното управување. </w:t>
      </w:r>
    </w:p>
    <w:p w14:paraId="601D1FE4" w14:textId="22772ED0" w:rsidR="009B3854" w:rsidRPr="001F42D1" w:rsidRDefault="009B3854" w:rsidP="00CE576B">
      <w:pPr>
        <w:pStyle w:val="BodyText"/>
        <w:spacing w:before="240"/>
        <w:ind w:firstLine="720"/>
        <w:jc w:val="both"/>
        <w:rPr>
          <w:lang w:val="mk-MK"/>
        </w:rPr>
      </w:pPr>
      <w:r w:rsidRPr="001F42D1">
        <w:rPr>
          <w:lang w:val="mk-MK"/>
        </w:rPr>
        <w:t xml:space="preserve">Во таа линија, </w:t>
      </w:r>
      <w:r w:rsidR="000A4682" w:rsidRPr="000A4682">
        <w:rPr>
          <w:lang w:val="mk-MK"/>
        </w:rPr>
        <w:t>истражувањето</w:t>
      </w:r>
      <w:r w:rsidRPr="000A4682">
        <w:rPr>
          <w:lang w:val="mk-MK"/>
        </w:rPr>
        <w:t xml:space="preserve"> задира во оправданоста на предметот на истражување и </w:t>
      </w:r>
      <w:r w:rsidR="007E23B5">
        <w:rPr>
          <w:lang w:val="mk-MK"/>
        </w:rPr>
        <w:t>анализира како</w:t>
      </w:r>
      <w:r w:rsidRPr="000A4682">
        <w:rPr>
          <w:lang w:val="mk-MK"/>
        </w:rPr>
        <w:t xml:space="preserve"> македонското корпоративно право мора да се развива за да инкорпорира механизми за поголема вклученост на вработените за да стане конкурентно на глобалниот пазар</w:t>
      </w:r>
      <w:r w:rsidRPr="001F42D1">
        <w:rPr>
          <w:lang w:val="mk-MK"/>
        </w:rPr>
        <w:t xml:space="preserve">. Во сè поглобализираната економија, каде што компаниите </w:t>
      </w:r>
      <w:r w:rsidR="00F92646">
        <w:rPr>
          <w:lang w:val="mk-MK"/>
        </w:rPr>
        <w:t>се принудени постојано</w:t>
      </w:r>
      <w:r w:rsidRPr="001F42D1">
        <w:rPr>
          <w:lang w:val="mk-MK"/>
        </w:rPr>
        <w:t xml:space="preserve"> да </w:t>
      </w:r>
      <w:r w:rsidR="00F92646">
        <w:rPr>
          <w:lang w:val="mk-MK"/>
        </w:rPr>
        <w:t>пристапуваат кон иновации</w:t>
      </w:r>
      <w:r w:rsidRPr="001F42D1">
        <w:rPr>
          <w:lang w:val="mk-MK"/>
        </w:rPr>
        <w:t xml:space="preserve"> и да се приспособ</w:t>
      </w:r>
      <w:r w:rsidR="00F92646">
        <w:rPr>
          <w:lang w:val="mk-MK"/>
        </w:rPr>
        <w:t>уваат</w:t>
      </w:r>
      <w:r w:rsidRPr="001F42D1">
        <w:rPr>
          <w:lang w:val="mk-MK"/>
        </w:rPr>
        <w:t xml:space="preserve"> на променливата динамика на пазарот, ангажманот на вработените станува клучен фактор за корпоративниот успех. Учеството на вработените во оваа линија не е само во нивна корист, туку има и пошироки цели, помеѓу кои и да ги направи трговските друштва динамични, конкурентни и транспарентни. Истражувањето има за цел да даде конкретни препораки за правни реформи кои би го усогласиле македонското </w:t>
      </w:r>
      <w:r w:rsidRPr="001F42D1">
        <w:rPr>
          <w:lang w:val="mk-MK"/>
        </w:rPr>
        <w:lastRenderedPageBreak/>
        <w:t>деловно право со европските и меѓународните стандарди, олеснувајќи поголема вклученост на вработените и поттикнувајќи поконкурентен корпоративен пејзаж.</w:t>
      </w:r>
    </w:p>
    <w:p w14:paraId="41187777" w14:textId="289BCD2D" w:rsidR="00EF142A" w:rsidRDefault="009B3854" w:rsidP="00924EE1">
      <w:pPr>
        <w:pStyle w:val="BodyText"/>
        <w:spacing w:before="240"/>
        <w:ind w:firstLine="720"/>
        <w:jc w:val="both"/>
        <w:rPr>
          <w:lang w:val="en-US"/>
        </w:rPr>
      </w:pPr>
      <w:r w:rsidRPr="001F42D1">
        <w:rPr>
          <w:lang w:val="mk-MK"/>
        </w:rPr>
        <w:t xml:space="preserve">Понатаму, </w:t>
      </w:r>
      <w:r w:rsidRPr="001F42D1">
        <w:rPr>
          <w:b/>
          <w:bCs/>
          <w:lang w:val="mk-MK"/>
        </w:rPr>
        <w:t xml:space="preserve">третата хипотеза </w:t>
      </w:r>
      <w:r w:rsidR="00B26CEB">
        <w:rPr>
          <w:b/>
          <w:bCs/>
          <w:lang w:val="mk-MK"/>
        </w:rPr>
        <w:t>се потпира на уверувањето дека</w:t>
      </w:r>
      <w:r w:rsidRPr="001F42D1">
        <w:rPr>
          <w:b/>
          <w:bCs/>
          <w:lang w:val="mk-MK"/>
        </w:rPr>
        <w:t xml:space="preserve"> хибридните модели на претставување на вработените и стекнување акции нудат најсеопфатен пристап за подобрување на ангажираноста на вработените и организациските перформанси. </w:t>
      </w:r>
      <w:r w:rsidRPr="001F42D1">
        <w:rPr>
          <w:lang w:val="mk-MK"/>
        </w:rPr>
        <w:t>Зголемениот интерес за хибридните модели</w:t>
      </w:r>
      <w:r w:rsidR="00EF142A">
        <w:rPr>
          <w:lang w:val="en-US"/>
        </w:rPr>
        <w:t>,</w:t>
      </w:r>
      <w:r w:rsidRPr="001F42D1">
        <w:rPr>
          <w:lang w:val="mk-MK"/>
        </w:rPr>
        <w:t xml:space="preserve"> каде што вработените се финансиски инвестирани преку сопствеништво на акции и активно вклучени во управувањето</w:t>
      </w:r>
      <w:r w:rsidR="00EF142A">
        <w:rPr>
          <w:lang w:val="en-US"/>
        </w:rPr>
        <w:t>,</w:t>
      </w:r>
      <w:r w:rsidRPr="001F42D1">
        <w:rPr>
          <w:lang w:val="mk-MK"/>
        </w:rPr>
        <w:t xml:space="preserve"> сугерира дека комбинирањето на овие пристапи може да понуди најбалансирана и најефективна стратегија за ангажирање. </w:t>
      </w:r>
    </w:p>
    <w:p w14:paraId="585D5C7F" w14:textId="5001D996" w:rsidR="009B3854" w:rsidRPr="001F42D1" w:rsidRDefault="009B3854" w:rsidP="00924EE1">
      <w:pPr>
        <w:pStyle w:val="BodyText"/>
        <w:spacing w:before="240"/>
        <w:ind w:firstLine="720"/>
        <w:jc w:val="both"/>
        <w:rPr>
          <w:lang w:val="mk-MK"/>
        </w:rPr>
      </w:pPr>
      <w:r w:rsidRPr="001F42D1">
        <w:rPr>
          <w:lang w:val="mk-MK"/>
        </w:rPr>
        <w:t xml:space="preserve">Оваа хипотеза </w:t>
      </w:r>
      <w:r w:rsidR="00924EE1">
        <w:rPr>
          <w:lang w:val="mk-MK"/>
        </w:rPr>
        <w:t>анализира</w:t>
      </w:r>
      <w:r w:rsidRPr="001F42D1">
        <w:rPr>
          <w:lang w:val="mk-MK"/>
        </w:rPr>
        <w:t xml:space="preserve"> дали хибридните модели, како оние што се наоѓаат во корпорацијата Мондрагон (Шпанија) или Партнерството Џон Луис (Велика Британија), можат да се прилагодат на македонскиот контекст. Истражувањето има за цел да утврди дали овој комбиниран пристап ќе ја подобри и лојалноста на вработените (преку вклучување во управувањето) и мотивацијата (преку финансиски стимулации), што на крајот ќе </w:t>
      </w:r>
      <w:r w:rsidR="006061B8">
        <w:rPr>
          <w:lang w:val="mk-MK"/>
        </w:rPr>
        <w:t>резултира со подобрување</w:t>
      </w:r>
      <w:r w:rsidRPr="001F42D1">
        <w:rPr>
          <w:lang w:val="mk-MK"/>
        </w:rPr>
        <w:t xml:space="preserve"> </w:t>
      </w:r>
      <w:r w:rsidR="006061B8">
        <w:rPr>
          <w:lang w:val="mk-MK"/>
        </w:rPr>
        <w:t>н</w:t>
      </w:r>
      <w:r w:rsidRPr="001F42D1">
        <w:rPr>
          <w:lang w:val="mk-MK"/>
        </w:rPr>
        <w:t>а севкупните перформанси на компанијата.</w:t>
      </w:r>
      <w:r w:rsidR="001C288D">
        <w:rPr>
          <w:rStyle w:val="FootnoteReference"/>
          <w:lang w:val="mk-MK"/>
        </w:rPr>
        <w:footnoteReference w:id="32"/>
      </w:r>
      <w:r w:rsidRPr="001F42D1">
        <w:rPr>
          <w:lang w:val="mk-MK"/>
        </w:rPr>
        <w:t xml:space="preserve"> Овој дел ќе опфати и детално објаснување за тоа како вклученоста на вработените би влијаела на големината на одборот и неговата функционалност. Почетните претпоставки се дека ќе биде потребно зголемување на бројот на членови во одборите или дека дел од постојниот број на членови ќе треба да се резервира за претставници на вработените, што ќе резултира со зголемени трошоци за компанијата, но водејќи се од трите хпотези, дисертацијата цели да докаже дека на макро ниво овие трошоци се целосно исплатливи.</w:t>
      </w:r>
      <w:r w:rsidRPr="001F42D1">
        <w:rPr>
          <w:rStyle w:val="FootnoteReference"/>
          <w:lang w:val="mk-MK"/>
        </w:rPr>
        <w:footnoteReference w:id="33"/>
      </w:r>
      <w:r w:rsidR="00A127F6">
        <w:rPr>
          <w:lang w:val="mk-MK"/>
        </w:rPr>
        <w:t xml:space="preserve"> Наведените</w:t>
      </w:r>
      <w:r w:rsidRPr="001F42D1">
        <w:rPr>
          <w:lang w:val="mk-MK"/>
        </w:rPr>
        <w:t xml:space="preserve"> елементи би овозможиле целосно разбирање </w:t>
      </w:r>
      <w:r w:rsidR="00D17195">
        <w:rPr>
          <w:lang w:val="mk-MK"/>
        </w:rPr>
        <w:t>н</w:t>
      </w:r>
      <w:r w:rsidRPr="001F42D1">
        <w:rPr>
          <w:lang w:val="mk-MK"/>
        </w:rPr>
        <w:t xml:space="preserve">а практичните импликации од моделите на вклученост на вработените. Сумирано, секој од овие делови </w:t>
      </w:r>
      <w:r w:rsidR="00D17195">
        <w:rPr>
          <w:lang w:val="mk-MK"/>
        </w:rPr>
        <w:t>ќе</w:t>
      </w:r>
      <w:r w:rsidRPr="001F42D1">
        <w:rPr>
          <w:lang w:val="mk-MK"/>
        </w:rPr>
        <w:t xml:space="preserve"> биде развиен како посебна подтема или подточка, зависно од важноста што </w:t>
      </w:r>
      <w:r w:rsidR="00D17195">
        <w:rPr>
          <w:lang w:val="mk-MK"/>
        </w:rPr>
        <w:t>ја заслужува</w:t>
      </w:r>
      <w:r w:rsidRPr="001F42D1">
        <w:rPr>
          <w:lang w:val="mk-MK"/>
        </w:rPr>
        <w:t xml:space="preserve"> во рамките на целосното истражување.</w:t>
      </w:r>
    </w:p>
    <w:p w14:paraId="7E115A5D" w14:textId="77777777" w:rsidR="00B96000" w:rsidRDefault="009B3854" w:rsidP="00D17195">
      <w:pPr>
        <w:pStyle w:val="BodyText"/>
        <w:spacing w:before="240"/>
        <w:ind w:firstLine="720"/>
        <w:jc w:val="both"/>
        <w:rPr>
          <w:lang w:val="mk-MK"/>
        </w:rPr>
      </w:pPr>
      <w:r w:rsidRPr="001F42D1">
        <w:rPr>
          <w:lang w:val="mk-MK"/>
        </w:rPr>
        <w:t xml:space="preserve">Оттука, </w:t>
      </w:r>
      <w:r w:rsidR="00402510">
        <w:rPr>
          <w:lang w:val="mk-MK"/>
        </w:rPr>
        <w:t>наодите</w:t>
      </w:r>
      <w:r w:rsidRPr="00402510">
        <w:rPr>
          <w:lang w:val="mk-MK"/>
        </w:rPr>
        <w:t xml:space="preserve"> потенцира</w:t>
      </w:r>
      <w:r w:rsidR="00402510">
        <w:rPr>
          <w:lang w:val="mk-MK"/>
        </w:rPr>
        <w:t>ат</w:t>
      </w:r>
      <w:r w:rsidRPr="00402510">
        <w:rPr>
          <w:lang w:val="mk-MK"/>
        </w:rPr>
        <w:t xml:space="preserve"> дека интеграцијата на моделите за ангажирање на вработените во македонското право не само што ќе го подобри корпоративното управување туку ќе придонесе и за повисоки нивоа на задоволство од работата, организациска лојалност и економска стабилност.</w:t>
      </w:r>
      <w:r w:rsidRPr="001F42D1">
        <w:rPr>
          <w:b/>
          <w:bCs/>
          <w:lang w:val="mk-MK"/>
        </w:rPr>
        <w:t xml:space="preserve"> </w:t>
      </w:r>
      <w:r w:rsidRPr="001F42D1">
        <w:rPr>
          <w:lang w:val="mk-MK"/>
        </w:rPr>
        <w:t xml:space="preserve">Тргнувајќи од искуствата на земјите со воспоставени рамки за ангажирање на вработените, </w:t>
      </w:r>
      <w:r w:rsidR="00395486">
        <w:rPr>
          <w:lang w:val="mk-MK"/>
        </w:rPr>
        <w:t>истражувањето започнува со претпоставка дека</w:t>
      </w:r>
      <w:r w:rsidRPr="001F42D1">
        <w:rPr>
          <w:lang w:val="mk-MK"/>
        </w:rPr>
        <w:t xml:space="preserve"> интегрирањето на овие модели во македонското право би донело значителни социо-економски придобивки. </w:t>
      </w:r>
    </w:p>
    <w:p w14:paraId="10B258D8" w14:textId="260BA3ED" w:rsidR="009B3854" w:rsidRPr="001F42D1" w:rsidRDefault="009B3854" w:rsidP="00D17195">
      <w:pPr>
        <w:pStyle w:val="BodyText"/>
        <w:spacing w:before="240"/>
        <w:ind w:firstLine="720"/>
        <w:jc w:val="both"/>
        <w:rPr>
          <w:lang w:val="mk-MK"/>
        </w:rPr>
      </w:pPr>
      <w:r w:rsidRPr="001F42D1">
        <w:rPr>
          <w:lang w:val="mk-MK"/>
        </w:rPr>
        <w:t>Со зголемување на учеството на вработените и финансиската вклученост, компаниите веројатно ќе забележат намалување на обртот на персонал, поголемо задоволство од работата и постабилна работна сила. Овие фактори придонесуваат за економската стабилност, бидејќи ангажираните вработени имаат помала веројатност да заминат, а компаниите со стабилна, задоволна работна сила се поотпорни во време на економска несигурност. Ова</w:t>
      </w:r>
      <w:r w:rsidR="00B52DFB">
        <w:rPr>
          <w:lang w:val="mk-MK"/>
        </w:rPr>
        <w:t xml:space="preserve"> претставува јасен</w:t>
      </w:r>
      <w:r w:rsidRPr="001F42D1">
        <w:rPr>
          <w:lang w:val="mk-MK"/>
        </w:rPr>
        <w:t xml:space="preserve"> патоказ за тоа како овие придобивки можат да се реализираат преку насочени законодавни реформи во период кога речиси секој сектор во државата се соочува со огромен недостаток на работници.</w:t>
      </w:r>
    </w:p>
    <w:p w14:paraId="25070EBE" w14:textId="2731EC78" w:rsidR="009B3854" w:rsidRDefault="009B3854" w:rsidP="00402510">
      <w:pPr>
        <w:pStyle w:val="BodyText"/>
        <w:spacing w:before="240"/>
        <w:ind w:firstLine="720"/>
        <w:jc w:val="both"/>
        <w:rPr>
          <w:lang w:val="mk-MK"/>
        </w:rPr>
      </w:pPr>
      <w:r w:rsidRPr="001F42D1">
        <w:rPr>
          <w:lang w:val="mk-MK"/>
        </w:rPr>
        <w:lastRenderedPageBreak/>
        <w:t>Работните хипотези и те</w:t>
      </w:r>
      <w:r w:rsidR="00A20C85">
        <w:rPr>
          <w:lang w:val="mk-MK"/>
        </w:rPr>
        <w:t>зата</w:t>
      </w:r>
      <w:r w:rsidRPr="001F42D1">
        <w:rPr>
          <w:lang w:val="mk-MK"/>
        </w:rPr>
        <w:t xml:space="preserve"> наведени погоре се вкоренети во воспоставеното истражување низ призмата на меѓународни контексти, но сепак приспособени да се справат со уникатните предизвици и можности во македонската корпоративна рамка. Со истражување на овие модели, студијата ќе придонесе за подлабоко разбирање </w:t>
      </w:r>
      <w:r w:rsidR="00A00BFF">
        <w:rPr>
          <w:lang w:val="mk-MK"/>
        </w:rPr>
        <w:t>н</w:t>
      </w:r>
      <w:r w:rsidRPr="001F42D1">
        <w:rPr>
          <w:lang w:val="mk-MK"/>
        </w:rPr>
        <w:t>а тоа како ангажманот на вработените може да се оптимизира во еволуирачкото деловно опкружување во Македонија, на крајот предлагајќи решенија кои би можеле да доведат до правни реформи и практични подобрувања во корпоративното управување и задоволството на вработените.</w:t>
      </w:r>
      <w:r w:rsidRPr="001F42D1">
        <w:rPr>
          <w:lang w:val="en-US"/>
        </w:rPr>
        <w:t xml:space="preserve"> </w:t>
      </w:r>
      <w:r w:rsidRPr="001F42D1">
        <w:rPr>
          <w:lang w:val="mk-MK"/>
        </w:rPr>
        <w:t>Во текот на целото пишување и анализирање на главното прашање кое треба да се разработи и одговори, оваа дисертација секаде каде е тоа потребно, ги анализира и поставеноста, местото, условите и улогата на корпорациите, правните системи и односот помеѓу овие два системи со вработените.</w:t>
      </w:r>
    </w:p>
    <w:p w14:paraId="6C54FD7A" w14:textId="77777777" w:rsidR="00A274B0" w:rsidRPr="00A274B0" w:rsidRDefault="00A274B0" w:rsidP="005B153D">
      <w:pPr>
        <w:pStyle w:val="BodyText"/>
        <w:jc w:val="both"/>
        <w:rPr>
          <w:rFonts w:eastAsia="Arial Unicode MS"/>
          <w:color w:val="000000"/>
          <w:bdr w:val="nil"/>
          <w:lang w:val="en-US"/>
        </w:rPr>
      </w:pPr>
    </w:p>
    <w:p w14:paraId="0F5D16A5" w14:textId="77777777" w:rsidR="00AF0B67" w:rsidRDefault="00AF0B67" w:rsidP="009330C0">
      <w:pPr>
        <w:pStyle w:val="Heading1"/>
        <w:numPr>
          <w:ilvl w:val="0"/>
          <w:numId w:val="4"/>
        </w:numPr>
        <w:rPr>
          <w:lang w:val="en-US"/>
        </w:rPr>
      </w:pPr>
      <w:bookmarkStart w:id="5" w:name="_Toc230523858"/>
      <w:r w:rsidRPr="00AF0B67">
        <w:rPr>
          <w:lang w:val="mk-MK"/>
        </w:rPr>
        <w:t>Терминологија</w:t>
      </w:r>
      <w:bookmarkEnd w:id="5"/>
      <w:r w:rsidRPr="00AF0B67">
        <w:rPr>
          <w:lang w:val="mk-MK"/>
        </w:rPr>
        <w:t xml:space="preserve"> </w:t>
      </w:r>
    </w:p>
    <w:p w14:paraId="00C253CB" w14:textId="77777777" w:rsidR="00A274B0" w:rsidRDefault="00A274B0" w:rsidP="00A274B0">
      <w:pPr>
        <w:pStyle w:val="BodyText"/>
        <w:rPr>
          <w:lang w:val="en-US"/>
        </w:rPr>
      </w:pPr>
    </w:p>
    <w:p w14:paraId="0C1AD0F5" w14:textId="32BC7336" w:rsidR="003615C7" w:rsidRDefault="00A22523" w:rsidP="00A22523">
      <w:pPr>
        <w:pStyle w:val="BodyText"/>
        <w:ind w:firstLine="720"/>
        <w:jc w:val="both"/>
        <w:rPr>
          <w:lang w:val="mk-MK"/>
        </w:rPr>
      </w:pPr>
      <w:r>
        <w:rPr>
          <w:lang w:val="mk-MK"/>
        </w:rPr>
        <w:t>Во овој дел, п</w:t>
      </w:r>
      <w:r w:rsidRPr="00A22523">
        <w:rPr>
          <w:lang w:val="mk-MK"/>
        </w:rPr>
        <w:t>отребно е да се изврши појаснување на клучната терминологија. Кога во оваа дисертација се говори за модели, се мисли на законски решенија кои ја уредуваат вклученоста на вработените во работењето и управувањето на трговските друштва. Под поимот трговски друштва, во македонскиот контекст, се опфаќаат сите правни лица основани согласно Законот за трговски друштва, без оглед на нивната основачка форма. Сепак, главниот фокус на ова истражување ќе биде насочен кон акционерските друштва, бидејќи тие претставуваат најпогодна форма за анализа на можностите за вклучување на вработените.</w:t>
      </w:r>
      <w:r w:rsidR="00674F2D">
        <w:rPr>
          <w:rStyle w:val="FootnoteReference"/>
          <w:lang w:val="mk-MK"/>
        </w:rPr>
        <w:footnoteReference w:id="34"/>
      </w:r>
      <w:r w:rsidRPr="00A22523">
        <w:rPr>
          <w:lang w:val="mk-MK"/>
        </w:rPr>
        <w:t xml:space="preserve"> </w:t>
      </w:r>
    </w:p>
    <w:p w14:paraId="174315ED" w14:textId="1B9DB44E" w:rsidR="00A274B0" w:rsidRDefault="00A22523" w:rsidP="003615C7">
      <w:pPr>
        <w:pStyle w:val="BodyText"/>
        <w:spacing w:before="240"/>
        <w:ind w:firstLine="720"/>
        <w:jc w:val="both"/>
        <w:rPr>
          <w:lang w:val="mk-MK"/>
        </w:rPr>
      </w:pPr>
      <w:r w:rsidRPr="00A22523">
        <w:rPr>
          <w:lang w:val="mk-MK"/>
        </w:rPr>
        <w:t>Вклученоста на вработените се однесува на постоење на законски можности и/или обврски за трговските друштва да вработат лица од редот на своите вработени во органите на управување, или да им доделат удели, односно акции. Како форма на учество во органите на друштвото, тоа би значело дека определени вработени се назначуваат или избираат да вршат функции во управните или надзорните органи на друштвото. Од друга страна, распределбата на акции претставува доделување акции на вработените, како дел од нивната плата или како дополнителен стимул, со што тие стануваат делумни сопственици на друштвото.</w:t>
      </w:r>
    </w:p>
    <w:p w14:paraId="24E038D2" w14:textId="4370D2AA" w:rsidR="00126E21" w:rsidRPr="00126E21" w:rsidRDefault="00687352" w:rsidP="007813BB">
      <w:pPr>
        <w:pStyle w:val="BodyText"/>
        <w:spacing w:before="240"/>
        <w:ind w:firstLine="720"/>
        <w:jc w:val="both"/>
        <w:rPr>
          <w:lang w:val="en-US"/>
        </w:rPr>
      </w:pPr>
      <w:r>
        <w:rPr>
          <w:lang w:val="mk-MK"/>
        </w:rPr>
        <w:t>Исто така</w:t>
      </w:r>
      <w:r w:rsidRPr="00687352">
        <w:rPr>
          <w:lang w:val="mk-MK"/>
        </w:rPr>
        <w:t xml:space="preserve">, </w:t>
      </w:r>
      <w:r w:rsidR="00CE4878">
        <w:rPr>
          <w:lang w:val="mk-MK"/>
        </w:rPr>
        <w:t>кога се зборува за главната тема на овој докторат, таа</w:t>
      </w:r>
      <w:r w:rsidRPr="00687352">
        <w:rPr>
          <w:lang w:val="mk-MK"/>
        </w:rPr>
        <w:t xml:space="preserve"> подразбира</w:t>
      </w:r>
      <w:r w:rsidR="00CE4878">
        <w:rPr>
          <w:lang w:val="mk-MK"/>
        </w:rPr>
        <w:t xml:space="preserve"> и вклучува</w:t>
      </w:r>
      <w:r w:rsidRPr="00687352">
        <w:rPr>
          <w:lang w:val="mk-MK"/>
        </w:rPr>
        <w:t xml:space="preserve"> поширок спектар на работнички права, почнувајќи со правото на организирање, како што е формулирано во инструментите на Меѓународната организација на трудот</w:t>
      </w:r>
      <w:r w:rsidR="00CE4878">
        <w:rPr>
          <w:lang w:val="mk-MK"/>
        </w:rPr>
        <w:t xml:space="preserve"> (МОТ</w:t>
      </w:r>
      <w:r w:rsidR="00BD6F79">
        <w:rPr>
          <w:lang w:val="mk-MK"/>
        </w:rPr>
        <w:t>)</w:t>
      </w:r>
      <w:r w:rsidRPr="00687352">
        <w:rPr>
          <w:lang w:val="mk-MK"/>
        </w:rPr>
        <w:t xml:space="preserve"> и во Член 5 од Европската социјална повелба (ЕСЦ).</w:t>
      </w:r>
      <w:r w:rsidR="00023BEC">
        <w:rPr>
          <w:rStyle w:val="FootnoteReference"/>
          <w:lang w:val="mk-MK"/>
        </w:rPr>
        <w:footnoteReference w:id="35"/>
      </w:r>
      <w:r w:rsidRPr="00687352">
        <w:rPr>
          <w:lang w:val="mk-MK"/>
        </w:rPr>
        <w:t xml:space="preserve"> </w:t>
      </w:r>
      <w:r w:rsidR="005D2433">
        <w:rPr>
          <w:lang w:val="mk-MK"/>
        </w:rPr>
        <w:t>Тука на пример,</w:t>
      </w:r>
      <w:r w:rsidRPr="00687352">
        <w:rPr>
          <w:lang w:val="mk-MK"/>
        </w:rPr>
        <w:t xml:space="preserve"> терминот „слобода на здружување“ како поим ги опфаќа следните права: правото да не се биде член на здружение, правото на формирање и приклучување кон синдикат, правото на здруженијата да управуваат со своите внатрешни работи, правото на колективно договарање и правото на колективна акција, вклучително и штрајк. </w:t>
      </w:r>
      <w:r w:rsidR="00B24316">
        <w:rPr>
          <w:lang w:val="mk-MK"/>
        </w:rPr>
        <w:t>О</w:t>
      </w:r>
      <w:r w:rsidRPr="00687352">
        <w:rPr>
          <w:lang w:val="mk-MK"/>
        </w:rPr>
        <w:t xml:space="preserve">вие права </w:t>
      </w:r>
      <w:r w:rsidR="00B24316">
        <w:rPr>
          <w:lang w:val="mk-MK"/>
        </w:rPr>
        <w:t>имаат карактер на</w:t>
      </w:r>
      <w:r w:rsidRPr="00687352">
        <w:rPr>
          <w:lang w:val="mk-MK"/>
        </w:rPr>
        <w:t xml:space="preserve"> поврзани права или проширен сет на колективни работнички права,</w:t>
      </w:r>
      <w:r w:rsidR="005B2440">
        <w:rPr>
          <w:lang w:val="en-US"/>
        </w:rPr>
        <w:t xml:space="preserve"> </w:t>
      </w:r>
      <w:r w:rsidR="005B2440">
        <w:rPr>
          <w:lang w:val="mk-MK"/>
        </w:rPr>
        <w:t>кои се важни за</w:t>
      </w:r>
      <w:r w:rsidRPr="00687352">
        <w:rPr>
          <w:lang w:val="mk-MK"/>
        </w:rPr>
        <w:t xml:space="preserve"> колективното договарање и колективната акција.</w:t>
      </w:r>
      <w:r w:rsidR="005B2440">
        <w:rPr>
          <w:lang w:val="mk-MK"/>
        </w:rPr>
        <w:t xml:space="preserve"> Важноста за нивна анализа произлегува од потребата</w:t>
      </w:r>
      <w:r w:rsidRPr="00687352">
        <w:rPr>
          <w:lang w:val="mk-MK"/>
        </w:rPr>
        <w:t xml:space="preserve"> </w:t>
      </w:r>
      <w:r w:rsidR="00FD074A">
        <w:rPr>
          <w:lang w:val="mk-MK"/>
        </w:rPr>
        <w:t>да се истражат капацитетите на постоечкиот систем</w:t>
      </w:r>
      <w:r w:rsidR="00026AE7">
        <w:rPr>
          <w:lang w:val="mk-MK"/>
        </w:rPr>
        <w:t xml:space="preserve"> за да можат да се тестираат неговите ограничувања и да</w:t>
      </w:r>
      <w:r w:rsidR="002C13CE">
        <w:rPr>
          <w:lang w:val="mk-MK"/>
        </w:rPr>
        <w:t xml:space="preserve"> се</w:t>
      </w:r>
      <w:r w:rsidR="00026AE7">
        <w:rPr>
          <w:lang w:val="mk-MK"/>
        </w:rPr>
        <w:t xml:space="preserve"> провери </w:t>
      </w:r>
      <w:r w:rsidR="009E73DE">
        <w:rPr>
          <w:lang w:val="mk-MK"/>
        </w:rPr>
        <w:t>потреба</w:t>
      </w:r>
      <w:r w:rsidR="00BA362F">
        <w:rPr>
          <w:lang w:val="mk-MK"/>
        </w:rPr>
        <w:t>та</w:t>
      </w:r>
      <w:r w:rsidR="009E73DE">
        <w:rPr>
          <w:lang w:val="mk-MK"/>
        </w:rPr>
        <w:t xml:space="preserve"> за дополнување на македонското законодавство со предложените модели.</w:t>
      </w:r>
      <w:r w:rsidR="007813BB">
        <w:rPr>
          <w:rStyle w:val="FootnoteReference"/>
          <w:lang w:val="mk-MK"/>
        </w:rPr>
        <w:footnoteReference w:id="36"/>
      </w:r>
      <w:r w:rsidR="009E73DE">
        <w:rPr>
          <w:lang w:val="mk-MK"/>
        </w:rPr>
        <w:t xml:space="preserve"> </w:t>
      </w:r>
    </w:p>
    <w:p w14:paraId="036C8B94" w14:textId="256B69CC" w:rsidR="005F24EB" w:rsidRPr="00155117" w:rsidRDefault="00AF0B67" w:rsidP="009330C0">
      <w:pPr>
        <w:pStyle w:val="Heading1"/>
        <w:numPr>
          <w:ilvl w:val="0"/>
          <w:numId w:val="4"/>
        </w:numPr>
        <w:rPr>
          <w:lang w:val="en-US"/>
        </w:rPr>
      </w:pPr>
      <w:bookmarkStart w:id="6" w:name="_Toc230523859"/>
      <w:r w:rsidRPr="00AF0B67">
        <w:rPr>
          <w:lang w:val="mk-MK"/>
        </w:rPr>
        <w:lastRenderedPageBreak/>
        <w:t>Дефиниции</w:t>
      </w:r>
      <w:r w:rsidR="002B7A2E">
        <w:rPr>
          <w:lang w:val="mk-MK"/>
        </w:rPr>
        <w:t xml:space="preserve"> и ограничувања</w:t>
      </w:r>
      <w:bookmarkEnd w:id="6"/>
    </w:p>
    <w:p w14:paraId="6CA01AE4" w14:textId="77777777" w:rsidR="00155117" w:rsidRPr="00155117" w:rsidRDefault="00155117" w:rsidP="00B80F11">
      <w:pPr>
        <w:pStyle w:val="BodyText"/>
        <w:rPr>
          <w:lang w:val="en-US"/>
        </w:rPr>
      </w:pPr>
    </w:p>
    <w:p w14:paraId="29EAF196" w14:textId="77777777" w:rsidR="003F10E5" w:rsidRDefault="003469D5" w:rsidP="008550D0">
      <w:pPr>
        <w:pStyle w:val="BodyText"/>
        <w:ind w:firstLine="720"/>
        <w:jc w:val="both"/>
        <w:rPr>
          <w:lang w:val="mk-MK"/>
        </w:rPr>
      </w:pPr>
      <w:r w:rsidRPr="003469D5">
        <w:rPr>
          <w:lang w:val="mk-MK"/>
        </w:rPr>
        <w:t xml:space="preserve">Оваа дисертација е структурирана околу три основни </w:t>
      </w:r>
      <w:r w:rsidR="00F677A3">
        <w:rPr>
          <w:lang w:val="mk-MK"/>
        </w:rPr>
        <w:t>правци</w:t>
      </w:r>
      <w:r w:rsidRPr="003469D5">
        <w:rPr>
          <w:lang w:val="mk-MK"/>
        </w:rPr>
        <w:t xml:space="preserve"> кои ја оформуваат анализата и ги водат нејзините теориски и практични придонеси. </w:t>
      </w:r>
    </w:p>
    <w:p w14:paraId="0BA6E1EF" w14:textId="3B103CC7" w:rsidR="008550D0" w:rsidRDefault="003469D5" w:rsidP="003F10E5">
      <w:pPr>
        <w:pStyle w:val="BodyText"/>
        <w:spacing w:before="240"/>
        <w:ind w:firstLine="720"/>
        <w:jc w:val="both"/>
        <w:rPr>
          <w:lang w:val="mk-MK"/>
        </w:rPr>
      </w:pPr>
      <w:r w:rsidRPr="003469D5">
        <w:rPr>
          <w:lang w:val="mk-MK"/>
        </w:rPr>
        <w:t>Прво, фокусот е насочен кон испитување на степенот до кој компаративниот и предложениот пристап за развој на систем на учество во управувањето во Македонија претставуваат одржлив одговор на дв</w:t>
      </w:r>
      <w:r w:rsidR="004B3D1A">
        <w:rPr>
          <w:lang w:val="en-US"/>
        </w:rPr>
        <w:t>a</w:t>
      </w:r>
      <w:r w:rsidRPr="003469D5">
        <w:rPr>
          <w:lang w:val="mk-MK"/>
        </w:rPr>
        <w:t xml:space="preserve"> институционални предизвици: недостатокот на работна сила и високата емиграција на работници. Истражувањето оценува колку овие модели придонесуваат за зголемено задоволство кај работниците и воедно нудат решение за овие системски институционални прашања.</w:t>
      </w:r>
      <w:r w:rsidR="008550D0">
        <w:rPr>
          <w:lang w:val="mk-MK"/>
        </w:rPr>
        <w:t xml:space="preserve"> </w:t>
      </w:r>
      <w:r w:rsidRPr="003469D5">
        <w:rPr>
          <w:lang w:val="mk-MK"/>
        </w:rPr>
        <w:t>Анализата, исто така, ги истакнува вградените ограничувања на овој пристап во однос на поставените цели.</w:t>
      </w:r>
      <w:r w:rsidR="004536EF">
        <w:rPr>
          <w:rStyle w:val="FootnoteReference"/>
          <w:lang w:val="mk-MK"/>
        </w:rPr>
        <w:footnoteReference w:id="37"/>
      </w:r>
      <w:r w:rsidRPr="003469D5">
        <w:rPr>
          <w:lang w:val="mk-MK"/>
        </w:rPr>
        <w:t xml:space="preserve"> </w:t>
      </w:r>
    </w:p>
    <w:p w14:paraId="07D5068C" w14:textId="07F194D9" w:rsidR="001071E5" w:rsidRDefault="003469D5" w:rsidP="008550D0">
      <w:pPr>
        <w:pStyle w:val="BodyText"/>
        <w:spacing w:before="240"/>
        <w:ind w:firstLine="720"/>
        <w:jc w:val="both"/>
        <w:rPr>
          <w:lang w:val="mk-MK"/>
        </w:rPr>
      </w:pPr>
      <w:r w:rsidRPr="003469D5">
        <w:rPr>
          <w:lang w:val="mk-MK"/>
        </w:rPr>
        <w:t>Сепак, гледано од поширока теор</w:t>
      </w:r>
      <w:r w:rsidR="0046449C">
        <w:rPr>
          <w:lang w:val="mk-MK"/>
        </w:rPr>
        <w:t>етска</w:t>
      </w:r>
      <w:r w:rsidRPr="003469D5">
        <w:rPr>
          <w:lang w:val="mk-MK"/>
        </w:rPr>
        <w:t xml:space="preserve"> и нормативна перспектива, овие пристапи претставуваат потенцијал за зајакнување на колективната димензија на трудовите гаранции и на заштитата на колективните работнички права и корпоративното управување во Европа</w:t>
      </w:r>
      <w:r w:rsidR="00ED0815">
        <w:rPr>
          <w:lang w:val="mk-MK"/>
        </w:rPr>
        <w:t xml:space="preserve"> на задоволство на работниците, но и на трговските друштва</w:t>
      </w:r>
      <w:r w:rsidRPr="003469D5">
        <w:rPr>
          <w:lang w:val="mk-MK"/>
        </w:rPr>
        <w:t xml:space="preserve">. Овој секундарен аспект го нарекувам позитивен потенцијал или димензија на </w:t>
      </w:r>
      <w:r w:rsidR="00CA4B29">
        <w:rPr>
          <w:lang w:val="mk-MK"/>
        </w:rPr>
        <w:t>можности</w:t>
      </w:r>
      <w:r w:rsidR="00CA4B29">
        <w:rPr>
          <w:lang w:val="en-US"/>
        </w:rPr>
        <w:t xml:space="preserve">, </w:t>
      </w:r>
      <w:r w:rsidR="00CA4B29">
        <w:rPr>
          <w:lang w:val="mk-MK"/>
        </w:rPr>
        <w:t xml:space="preserve">што се базира на </w:t>
      </w:r>
      <w:r w:rsidR="00BF7999">
        <w:rPr>
          <w:lang w:val="mk-MK"/>
        </w:rPr>
        <w:t>теориите на трансформативен правен потенцијален или институционален дизајн</w:t>
      </w:r>
      <w:r w:rsidRPr="003469D5">
        <w:rPr>
          <w:lang w:val="mk-MK"/>
        </w:rPr>
        <w:t>. Таа димензија е тесно поврзана со, и делумно ограничена од, истите пречки како и димензија</w:t>
      </w:r>
      <w:r w:rsidR="001071E5">
        <w:rPr>
          <w:lang w:val="mk-MK"/>
        </w:rPr>
        <w:t>та на решенијата</w:t>
      </w:r>
      <w:r w:rsidR="008E0D6D">
        <w:rPr>
          <w:lang w:val="mk-MK"/>
        </w:rPr>
        <w:t>,</w:t>
      </w:r>
      <w:r w:rsidRPr="003469D5">
        <w:rPr>
          <w:lang w:val="mk-MK"/>
        </w:rPr>
        <w:t xml:space="preserve"> како што се институционалниот капацитет на Македонија за имплементација на моделите или неизвесниот опсег на нивната примена, било како </w:t>
      </w:r>
      <w:r w:rsidR="008B209B">
        <w:rPr>
          <w:lang w:val="mk-MK"/>
        </w:rPr>
        <w:t xml:space="preserve">засебен, </w:t>
      </w:r>
      <w:r w:rsidRPr="003469D5">
        <w:rPr>
          <w:lang w:val="mk-MK"/>
        </w:rPr>
        <w:t xml:space="preserve">хибриден модел или нешто трето. </w:t>
      </w:r>
    </w:p>
    <w:p w14:paraId="4AB18B34" w14:textId="3985ABF8" w:rsidR="00914426" w:rsidRDefault="003469D5" w:rsidP="008550D0">
      <w:pPr>
        <w:pStyle w:val="BodyText"/>
        <w:spacing w:before="240"/>
        <w:ind w:firstLine="720"/>
        <w:jc w:val="both"/>
        <w:rPr>
          <w:lang w:val="mk-MK"/>
        </w:rPr>
      </w:pPr>
      <w:r w:rsidRPr="003469D5">
        <w:rPr>
          <w:lang w:val="mk-MK"/>
        </w:rPr>
        <w:t xml:space="preserve">Поради ограничувањата на просторот, дисертацијата не се обидува да ги опфати сите </w:t>
      </w:r>
      <w:r w:rsidR="007B41E1">
        <w:rPr>
          <w:lang w:val="mk-MK"/>
        </w:rPr>
        <w:t>елементи</w:t>
      </w:r>
      <w:r w:rsidRPr="003469D5">
        <w:rPr>
          <w:lang w:val="mk-MK"/>
        </w:rPr>
        <w:t xml:space="preserve"> на овој позитивен потенцијал. Наместо тоа, се фокусира на избрани аспекти од неговата релевантност во македонскиот контекст. Ова ограничување е намерно</w:t>
      </w:r>
      <w:r w:rsidR="007B41E1">
        <w:rPr>
          <w:lang w:val="mk-MK"/>
        </w:rPr>
        <w:t xml:space="preserve"> затоа што</w:t>
      </w:r>
      <w:r w:rsidRPr="003469D5">
        <w:rPr>
          <w:lang w:val="mk-MK"/>
        </w:rPr>
        <w:t xml:space="preserve"> поширока анализа на институционалниот капацитет и имплементацијата на политиките би имала далекусежни правни, политички, економски и социјални импликации, особено во контекст на пристапниот процес на Македонија кон Европската Унија. Затоа, </w:t>
      </w:r>
      <w:r w:rsidR="00914426">
        <w:rPr>
          <w:lang w:val="mk-MK"/>
        </w:rPr>
        <w:t>третото</w:t>
      </w:r>
      <w:r w:rsidRPr="003469D5">
        <w:rPr>
          <w:lang w:val="mk-MK"/>
        </w:rPr>
        <w:t xml:space="preserve"> поглавје се фокусира на одредени аспекти на овој позитивен потенцијал, признавајќи дека дел од клучните ограничувања остануваат надвор од доменот на ова истражување</w:t>
      </w:r>
      <w:r w:rsidR="00914426">
        <w:rPr>
          <w:lang w:val="mk-MK"/>
        </w:rPr>
        <w:t xml:space="preserve"> заради нивната непредвиливост</w:t>
      </w:r>
      <w:r w:rsidR="00121421">
        <w:rPr>
          <w:lang w:val="mk-MK"/>
        </w:rPr>
        <w:t xml:space="preserve"> и/или нерелевантност,</w:t>
      </w:r>
      <w:r w:rsidR="00914426">
        <w:rPr>
          <w:lang w:val="mk-MK"/>
        </w:rPr>
        <w:t xml:space="preserve"> како што е во однос на</w:t>
      </w:r>
      <w:r w:rsidR="00EF334A">
        <w:rPr>
          <w:lang w:val="mk-MK"/>
        </w:rPr>
        <w:t xml:space="preserve"> аспектите поврзани со</w:t>
      </w:r>
      <w:r w:rsidR="00914426">
        <w:rPr>
          <w:lang w:val="mk-MK"/>
        </w:rPr>
        <w:t xml:space="preserve"> политичките случувања</w:t>
      </w:r>
      <w:r w:rsidRPr="003469D5">
        <w:rPr>
          <w:lang w:val="mk-MK"/>
        </w:rPr>
        <w:t>.</w:t>
      </w:r>
      <w:r w:rsidR="00E90F97">
        <w:rPr>
          <w:rStyle w:val="FootnoteReference"/>
          <w:lang w:val="mk-MK"/>
        </w:rPr>
        <w:footnoteReference w:id="38"/>
      </w:r>
      <w:r w:rsidRPr="003469D5">
        <w:rPr>
          <w:lang w:val="mk-MK"/>
        </w:rPr>
        <w:t xml:space="preserve"> </w:t>
      </w:r>
    </w:p>
    <w:p w14:paraId="7ED8890A" w14:textId="77777777" w:rsidR="00553828" w:rsidRDefault="003469D5" w:rsidP="008550D0">
      <w:pPr>
        <w:pStyle w:val="BodyText"/>
        <w:spacing w:before="240"/>
        <w:ind w:firstLine="720"/>
        <w:jc w:val="both"/>
        <w:rPr>
          <w:lang w:val="mk-MK"/>
        </w:rPr>
      </w:pPr>
      <w:r w:rsidRPr="003469D5">
        <w:rPr>
          <w:lang w:val="mk-MK"/>
        </w:rPr>
        <w:t>Второ,</w:t>
      </w:r>
      <w:r w:rsidR="005B2CE0">
        <w:rPr>
          <w:lang w:val="mk-MK"/>
        </w:rPr>
        <w:t xml:space="preserve"> дисертацијата следи</w:t>
      </w:r>
      <w:r w:rsidRPr="003469D5">
        <w:rPr>
          <w:lang w:val="mk-MK"/>
        </w:rPr>
        <w:t xml:space="preserve"> општ аналитички рамковен модел за интерпретација и примена на овие пристапи, со идентификување на различни аргументи за и против воспоставување на вакви норми, на кои судовите и креаторите на политики би можеле да се повикуваат. Не сите аргументи ќе бидат подеднакво релевантни во секој контекст, но рамката има за цел да разјасни како </w:t>
      </w:r>
      <w:r w:rsidR="001756FD">
        <w:rPr>
          <w:lang w:val="mk-MK"/>
        </w:rPr>
        <w:t xml:space="preserve">трговските друштва </w:t>
      </w:r>
      <w:r w:rsidRPr="003469D5">
        <w:rPr>
          <w:lang w:val="mk-MK"/>
        </w:rPr>
        <w:t xml:space="preserve">и институциите можат да го толкуваат значењето на вклученоста на работниците, обезбедените гаранции и проценката на усогласеност со тие гаранции. Дисертацијата не се стреми кон сеопфатно мапирање на правните разлики </w:t>
      </w:r>
      <w:r w:rsidR="001063D7">
        <w:rPr>
          <w:lang w:val="mk-MK"/>
        </w:rPr>
        <w:t>по</w:t>
      </w:r>
      <w:r w:rsidRPr="003469D5">
        <w:rPr>
          <w:lang w:val="mk-MK"/>
        </w:rPr>
        <w:t xml:space="preserve">меѓу различните системи или кон целосна компарација на функционирањето на моделите во различни правни поредоци и специјализирани инструменти. Наместо тоа, се презентираат илустративни примери, вклучително и судска пракса од Европскиот суд за човекови права (ЕСЧП) и Судот на Европската унија </w:t>
      </w:r>
      <w:r w:rsidRPr="003469D5">
        <w:rPr>
          <w:lang w:val="mk-MK"/>
        </w:rPr>
        <w:lastRenderedPageBreak/>
        <w:t>(СЕУ),</w:t>
      </w:r>
      <w:r w:rsidR="001063D7">
        <w:rPr>
          <w:lang w:val="mk-MK"/>
        </w:rPr>
        <w:t xml:space="preserve"> национални пресуди</w:t>
      </w:r>
      <w:r w:rsidRPr="003469D5">
        <w:rPr>
          <w:lang w:val="mk-MK"/>
        </w:rPr>
        <w:t xml:space="preserve"> како и одредени арбитражни одлуки. Некои од примерите не се директно централни за основниот аргумент на дисертацијата, но се вклучени со цел да се истакнат специфични интерпретативни практики кои можат да придонесат во пошироките институционални дебати. </w:t>
      </w:r>
    </w:p>
    <w:p w14:paraId="11822905" w14:textId="32C3CC98" w:rsidR="00481700" w:rsidRDefault="003469D5" w:rsidP="00702062">
      <w:pPr>
        <w:pStyle w:val="BodyText"/>
        <w:spacing w:before="240"/>
        <w:ind w:firstLine="720"/>
        <w:jc w:val="both"/>
        <w:rPr>
          <w:lang w:val="mk-MK"/>
        </w:rPr>
      </w:pPr>
      <w:r w:rsidRPr="003469D5">
        <w:rPr>
          <w:lang w:val="mk-MK"/>
        </w:rPr>
        <w:t>Трето, анализата е насочена кон тоа како овие модели мож</w:t>
      </w:r>
      <w:r w:rsidR="00E11BB8">
        <w:rPr>
          <w:lang w:val="mk-MK"/>
        </w:rPr>
        <w:t>ат</w:t>
      </w:r>
      <w:r w:rsidRPr="003469D5">
        <w:rPr>
          <w:lang w:val="mk-MK"/>
        </w:rPr>
        <w:t xml:space="preserve"> да се применат во толкувањето на релевантната вклученост на работниците во националното законодавство. Поради просторни ограничувања, не се навлегува во детална дискусија за улогата на различни интерпретативни материјали во националната судска практика. Дополнително, интеракцијата меѓу овие модели, националното и меѓународното право, како и правото на ЕУ и практиката на ЕСЧП и СЕУ, останува недоволно анализирана во постоечката академска литература. Иако оваа дисертација го признава потенцијалот за продуктивна интеракција </w:t>
      </w:r>
      <w:r w:rsidR="00D56126">
        <w:rPr>
          <w:lang w:val="mk-MK"/>
        </w:rPr>
        <w:t>по</w:t>
      </w:r>
      <w:r w:rsidRPr="003469D5">
        <w:rPr>
          <w:lang w:val="mk-MK"/>
        </w:rPr>
        <w:t>меѓу овие системи, тоа прашање ќе се третира само накратко во заклучното поглавје, додека длабинска</w:t>
      </w:r>
      <w:r w:rsidR="00D56126">
        <w:rPr>
          <w:lang w:val="mk-MK"/>
        </w:rPr>
        <w:t>та</w:t>
      </w:r>
      <w:r w:rsidRPr="003469D5">
        <w:rPr>
          <w:lang w:val="mk-MK"/>
        </w:rPr>
        <w:t xml:space="preserve"> анализа останува предмет на </w:t>
      </w:r>
      <w:r w:rsidR="00D56126">
        <w:rPr>
          <w:lang w:val="mk-MK"/>
        </w:rPr>
        <w:t xml:space="preserve">некое </w:t>
      </w:r>
      <w:r w:rsidRPr="003469D5">
        <w:rPr>
          <w:lang w:val="mk-MK"/>
        </w:rPr>
        <w:t>идно истражување.</w:t>
      </w:r>
      <w:r w:rsidR="00D56126">
        <w:rPr>
          <w:rStyle w:val="FootnoteReference"/>
          <w:lang w:val="mk-MK"/>
        </w:rPr>
        <w:footnoteReference w:id="39"/>
      </w:r>
    </w:p>
    <w:p w14:paraId="5621961C" w14:textId="77777777" w:rsidR="00B80F11" w:rsidRPr="00702062" w:rsidRDefault="00B80F11" w:rsidP="00B80F11">
      <w:pPr>
        <w:pStyle w:val="BodyText"/>
        <w:ind w:firstLine="720"/>
        <w:jc w:val="both"/>
        <w:rPr>
          <w:lang w:val="mk-MK"/>
        </w:rPr>
      </w:pPr>
    </w:p>
    <w:p w14:paraId="65F480F2" w14:textId="6B6D4BAA" w:rsidR="00AF0B67" w:rsidRDefault="00AF0B67" w:rsidP="009330C0">
      <w:pPr>
        <w:pStyle w:val="Heading1"/>
        <w:numPr>
          <w:ilvl w:val="0"/>
          <w:numId w:val="4"/>
        </w:numPr>
        <w:rPr>
          <w:lang w:val="en-US"/>
        </w:rPr>
      </w:pPr>
      <w:bookmarkStart w:id="7" w:name="_Toc230523860"/>
      <w:r w:rsidRPr="00AF0B67">
        <w:rPr>
          <w:lang w:val="mk-MK"/>
        </w:rPr>
        <w:t>Истражувачк</w:t>
      </w:r>
      <w:r w:rsidR="00044198">
        <w:rPr>
          <w:lang w:val="mk-MK"/>
        </w:rPr>
        <w:t>о прашање</w:t>
      </w:r>
      <w:bookmarkEnd w:id="7"/>
    </w:p>
    <w:p w14:paraId="7DEA622B" w14:textId="77777777" w:rsidR="000F3415" w:rsidRDefault="000F3415" w:rsidP="000F3415">
      <w:pPr>
        <w:pStyle w:val="BodyText"/>
        <w:rPr>
          <w:lang w:val="en-US"/>
        </w:rPr>
      </w:pPr>
    </w:p>
    <w:p w14:paraId="63465DE9" w14:textId="3C429B9C" w:rsidR="00044198" w:rsidRPr="001F42D1" w:rsidRDefault="00044198" w:rsidP="00A60297">
      <w:pPr>
        <w:pStyle w:val="BodyText"/>
        <w:ind w:firstLine="720"/>
        <w:jc w:val="both"/>
        <w:rPr>
          <w:lang w:val="mk-MK"/>
        </w:rPr>
      </w:pPr>
      <w:r w:rsidRPr="001F42D1">
        <w:rPr>
          <w:lang w:val="mk-MK"/>
        </w:rPr>
        <w:t>Првиот модел</w:t>
      </w:r>
      <w:r w:rsidR="00127D8F">
        <w:rPr>
          <w:lang w:val="en-US"/>
        </w:rPr>
        <w:t xml:space="preserve"> </w:t>
      </w:r>
      <w:r w:rsidR="00127D8F">
        <w:rPr>
          <w:lang w:val="mk-MK"/>
        </w:rPr>
        <w:t>кој е предмет на анализа</w:t>
      </w:r>
      <w:r w:rsidRPr="001F42D1">
        <w:rPr>
          <w:lang w:val="mk-MK"/>
        </w:rPr>
        <w:t xml:space="preserve">, </w:t>
      </w:r>
      <w:r w:rsidR="00C95EE5">
        <w:rPr>
          <w:lang w:val="mk-MK"/>
        </w:rPr>
        <w:t xml:space="preserve">односно </w:t>
      </w:r>
      <w:r w:rsidRPr="001F42D1">
        <w:rPr>
          <w:lang w:val="mk-MK"/>
        </w:rPr>
        <w:t>застапеност</w:t>
      </w:r>
      <w:r w:rsidR="00C95EE5">
        <w:rPr>
          <w:lang w:val="mk-MK"/>
        </w:rPr>
        <w:t>а</w:t>
      </w:r>
      <w:r w:rsidRPr="001F42D1">
        <w:rPr>
          <w:lang w:val="mk-MK"/>
        </w:rPr>
        <w:t xml:space="preserve"> на вработените во</w:t>
      </w:r>
      <w:r w:rsidR="008D71BB">
        <w:rPr>
          <w:lang w:val="mk-MK"/>
        </w:rPr>
        <w:t xml:space="preserve"> органите на друштвата</w:t>
      </w:r>
      <w:r w:rsidRPr="001F42D1">
        <w:rPr>
          <w:lang w:val="mk-MK"/>
        </w:rPr>
        <w:t>, се испитува низ призмата на партиципативното управување, каде што вработените се директно вклучени во процесите на донесување одлуки на извршно ниво. Овој модел ги нагласува демократските структури на работното место, каде гласовите на вработените се земаат предвид при формулирањето на политиките, стратешкото планирање и одлуките за корпоративно управување.</w:t>
      </w:r>
      <w:r w:rsidR="002460C2">
        <w:rPr>
          <w:rStyle w:val="FootnoteReference"/>
          <w:lang w:val="mk-MK"/>
        </w:rPr>
        <w:footnoteReference w:id="40"/>
      </w:r>
      <w:r w:rsidRPr="001F42D1">
        <w:rPr>
          <w:lang w:val="mk-MK"/>
        </w:rPr>
        <w:t xml:space="preserve"> О</w:t>
      </w:r>
      <w:r w:rsidR="008B62D3">
        <w:rPr>
          <w:lang w:val="mk-MK"/>
        </w:rPr>
        <w:t>ваа дисертација</w:t>
      </w:r>
      <w:r w:rsidRPr="001F42D1">
        <w:rPr>
          <w:lang w:val="mk-MK"/>
        </w:rPr>
        <w:t xml:space="preserve"> ќе истражи како и дали ова вклучување поттикнува чувство на припадност, </w:t>
      </w:r>
      <w:r w:rsidR="003F0228">
        <w:rPr>
          <w:lang w:val="mk-MK"/>
        </w:rPr>
        <w:t xml:space="preserve">задоволство, мотивација, </w:t>
      </w:r>
      <w:r w:rsidRPr="001F42D1">
        <w:rPr>
          <w:lang w:val="mk-MK"/>
        </w:rPr>
        <w:t>одговорност и психолошка сопственост кај вработените од аспект на уделите, а исто така ќе ги земе предвид потенцијалните предизвици, како што се конфликтот на интереси, оперативната ефикасност и сложеноста на балансирање на перспективите на вработените со процесите на донесување одлуки во извршната власт. Студиите на случај, како што се германскиот систем за ко-одлучување и Европските работнички совети, ќе се користат за да се илустрира примената на овој модел во реалниот свет и неговите ефекти врз ангажираноста на вработените и резултатите на компанијата.</w:t>
      </w:r>
      <w:r w:rsidRPr="001F42D1">
        <w:rPr>
          <w:rStyle w:val="FootnoteReference"/>
          <w:lang w:val="mk-MK"/>
        </w:rPr>
        <w:footnoteReference w:id="41"/>
      </w:r>
      <w:r w:rsidRPr="001F42D1">
        <w:rPr>
          <w:lang w:val="mk-MK"/>
        </w:rPr>
        <w:t xml:space="preserve"> </w:t>
      </w:r>
    </w:p>
    <w:p w14:paraId="48809B58" w14:textId="5D17C1AD" w:rsidR="00263A82" w:rsidRDefault="00044198" w:rsidP="00263A82">
      <w:pPr>
        <w:pStyle w:val="BodyText"/>
        <w:spacing w:before="240"/>
        <w:ind w:firstLine="720"/>
        <w:jc w:val="both"/>
        <w:rPr>
          <w:lang w:val="mk-MK"/>
        </w:rPr>
      </w:pPr>
      <w:r w:rsidRPr="001F42D1">
        <w:rPr>
          <w:lang w:val="mk-MK"/>
        </w:rPr>
        <w:t>Вториот модел, стекнување удел на вработените, се фокусира на финансискиот аспект на вклученоста на вработените, каде што на вработените им се дава директен удел во компанијата преку сопственост на акции или слични аранжмани засновани на капитал.</w:t>
      </w:r>
      <w:r w:rsidR="00E53E35">
        <w:rPr>
          <w:rStyle w:val="FootnoteReference"/>
          <w:lang w:val="mk-MK"/>
        </w:rPr>
        <w:footnoteReference w:id="42"/>
      </w:r>
      <w:r w:rsidRPr="001F42D1">
        <w:rPr>
          <w:lang w:val="mk-MK"/>
        </w:rPr>
        <w:t xml:space="preserve"> Ова истражување ќе се фокусира на влијанието на финансиската сопственост врз однесувањето, мотивацијата и перформансите на вработените низ призмата на деловното право. Плановите за сопственост на вработените (ESOPs) и слични шеми,</w:t>
      </w:r>
      <w:r w:rsidR="005B153D">
        <w:rPr>
          <w:rStyle w:val="FootnoteReference"/>
          <w:lang w:val="mk-MK"/>
        </w:rPr>
        <w:footnoteReference w:id="43"/>
      </w:r>
      <w:r w:rsidRPr="001F42D1">
        <w:rPr>
          <w:lang w:val="mk-MK"/>
        </w:rPr>
        <w:t xml:space="preserve"> </w:t>
      </w:r>
      <w:r w:rsidRPr="001F42D1">
        <w:rPr>
          <w:lang w:val="mk-MK"/>
        </w:rPr>
        <w:lastRenderedPageBreak/>
        <w:t>широко усвоени во Соединетите Американски Држави и на други</w:t>
      </w:r>
      <w:r w:rsidR="002D0C3B">
        <w:rPr>
          <w:lang w:val="mk-MK"/>
        </w:rPr>
        <w:t xml:space="preserve"> сродни</w:t>
      </w:r>
      <w:r w:rsidRPr="001F42D1">
        <w:rPr>
          <w:lang w:val="mk-MK"/>
        </w:rPr>
        <w:t xml:space="preserve"> пазари, ја усогласуваат финансиската благосостојба на вработените со успехот на компанијата, создавајќи интерес за профитабилноста и долгорочната одржливост на организацијата. Истражувањето ќе ја анализира психолошката и финансиската динамика на овој модел, земајќи ги предвид придобивките</w:t>
      </w:r>
      <w:r w:rsidR="00D063AB">
        <w:rPr>
          <w:lang w:val="mk-MK"/>
        </w:rPr>
        <w:t>,</w:t>
      </w:r>
      <w:r w:rsidRPr="001F42D1">
        <w:rPr>
          <w:lang w:val="mk-MK"/>
        </w:rPr>
        <w:t xml:space="preserve"> како што се зголемена лојалност, помала промена на персоналот и подобрена продуктивност</w:t>
      </w:r>
      <w:r w:rsidR="00263A82">
        <w:rPr>
          <w:lang w:val="mk-MK"/>
        </w:rPr>
        <w:t>, но</w:t>
      </w:r>
      <w:r w:rsidRPr="001F42D1">
        <w:rPr>
          <w:lang w:val="mk-MK"/>
        </w:rPr>
        <w:t xml:space="preserve"> и ризиците, вклучително и финансиската изложеност на перформансите на компанијата и нестабилноста на компензацијата базирана на акции. Примерите како што се WinCo Foods и John Lewis Partnership ќе дадат конкретни илустрации за тоа како сопственичките структури на вработените можат да го поттикнат ангажманот и успехот на компанијата. </w:t>
      </w:r>
    </w:p>
    <w:p w14:paraId="6D0DCDE2" w14:textId="36BDF1EA" w:rsidR="00002052" w:rsidRDefault="008A4239" w:rsidP="00002052">
      <w:pPr>
        <w:pStyle w:val="BodyText"/>
        <w:spacing w:before="240"/>
        <w:ind w:firstLine="720"/>
        <w:jc w:val="both"/>
        <w:rPr>
          <w:lang w:val="mk-MK"/>
        </w:rPr>
      </w:pPr>
      <w:r>
        <w:rPr>
          <w:lang w:val="mk-MK"/>
        </w:rPr>
        <w:t>Неизбежно, в</w:t>
      </w:r>
      <w:r w:rsidR="00263A82">
        <w:rPr>
          <w:lang w:val="mk-MK"/>
        </w:rPr>
        <w:t xml:space="preserve">о позадина </w:t>
      </w:r>
      <w:r>
        <w:rPr>
          <w:lang w:val="mk-MK"/>
        </w:rPr>
        <w:t>на</w:t>
      </w:r>
      <w:r w:rsidR="00263A82">
        <w:rPr>
          <w:lang w:val="mk-MK"/>
        </w:rPr>
        <w:t xml:space="preserve"> целото истражување на моделите стои </w:t>
      </w:r>
      <w:r w:rsidR="00044198" w:rsidRPr="001F42D1">
        <w:rPr>
          <w:lang w:val="mk-MK"/>
        </w:rPr>
        <w:t>фактот што во долгиот период на постоењето на оваа правна фикција-фирмата, забележуваме постојан раст на сложеноста и проширувањето на правото на трговските друштва.</w:t>
      </w:r>
      <w:r w:rsidR="00044198" w:rsidRPr="001F42D1">
        <w:rPr>
          <w:rStyle w:val="FootnoteReference"/>
          <w:lang w:val="mk-MK"/>
        </w:rPr>
        <w:footnoteReference w:id="44"/>
      </w:r>
      <w:r w:rsidR="00044198" w:rsidRPr="001F42D1">
        <w:rPr>
          <w:lang w:val="mk-MK"/>
        </w:rPr>
        <w:t xml:space="preserve"> Промените, поттикнати од еволуирачкиот правен пејзаж и од потребата да се усогласат националните закони со нови регулативи, често ги допираат самите граници на правниот промет и го наметнуваат прашањето за неопходноста </w:t>
      </w:r>
      <w:r w:rsidR="002A730B">
        <w:rPr>
          <w:lang w:val="mk-MK"/>
        </w:rPr>
        <w:t>од</w:t>
      </w:r>
      <w:r w:rsidR="00044198" w:rsidRPr="001F42D1">
        <w:rPr>
          <w:lang w:val="mk-MK"/>
        </w:rPr>
        <w:t xml:space="preserve"> воспоставување различни форми на организирање и вклучување на работниците. Во овој поглед, тема од особен интерес во светски рамки, но релативна незастапена во Македонија, се </w:t>
      </w:r>
      <w:r w:rsidR="00002052">
        <w:rPr>
          <w:lang w:val="mk-MK"/>
        </w:rPr>
        <w:t xml:space="preserve">веќе спомнатите </w:t>
      </w:r>
      <w:r w:rsidR="00044198" w:rsidRPr="001F42D1">
        <w:rPr>
          <w:lang w:val="mk-MK"/>
        </w:rPr>
        <w:t>моделите на обезбедување вклученост на работниците и тоа специфично како вработени во органите на друштвото наспроти стекнувањето на акции и станувањето акционери.</w:t>
      </w:r>
    </w:p>
    <w:p w14:paraId="39F7A7FD" w14:textId="0CBCF353" w:rsidR="00B22DC6" w:rsidRDefault="00044198" w:rsidP="00B22DC6">
      <w:pPr>
        <w:pStyle w:val="BodyText"/>
        <w:spacing w:before="240"/>
        <w:ind w:firstLine="720"/>
        <w:jc w:val="both"/>
        <w:rPr>
          <w:lang w:val="en-US"/>
        </w:rPr>
      </w:pPr>
      <w:r w:rsidRPr="001F42D1">
        <w:t xml:space="preserve">Претпоставувајќи </w:t>
      </w:r>
      <w:r w:rsidRPr="001F42D1">
        <w:rPr>
          <w:lang w:val="mk-MK"/>
        </w:rPr>
        <w:t xml:space="preserve">неколку точки на вкрстување и земајќи ја предвид </w:t>
      </w:r>
      <w:r w:rsidR="00D33D54">
        <w:rPr>
          <w:lang w:val="mk-MK"/>
        </w:rPr>
        <w:t xml:space="preserve">речиси апсолутната </w:t>
      </w:r>
      <w:r w:rsidRPr="001F42D1">
        <w:rPr>
          <w:lang w:val="mk-MK"/>
        </w:rPr>
        <w:t xml:space="preserve">непокриеност на оваа интерсекција во националното право, </w:t>
      </w:r>
      <w:r w:rsidRPr="001F42D1">
        <w:t>истражување</w:t>
      </w:r>
      <w:r w:rsidR="00D33D54">
        <w:rPr>
          <w:lang w:val="mk-MK"/>
        </w:rPr>
        <w:t>то</w:t>
      </w:r>
      <w:r w:rsidRPr="001F42D1">
        <w:t xml:space="preserve"> </w:t>
      </w:r>
      <w:r w:rsidRPr="001F42D1">
        <w:rPr>
          <w:lang w:val="mk-MK"/>
        </w:rPr>
        <w:t xml:space="preserve">се фокусира на </w:t>
      </w:r>
      <w:r w:rsidRPr="001F42D1">
        <w:t>корелација</w:t>
      </w:r>
      <w:r w:rsidRPr="001F42D1">
        <w:rPr>
          <w:lang w:val="mk-MK"/>
        </w:rPr>
        <w:t>та</w:t>
      </w:r>
      <w:r w:rsidRPr="001F42D1">
        <w:t xml:space="preserve"> и сооднос</w:t>
      </w:r>
      <w:r w:rsidRPr="001F42D1">
        <w:rPr>
          <w:lang w:val="mk-MK"/>
        </w:rPr>
        <w:t>от</w:t>
      </w:r>
      <w:r w:rsidRPr="001F42D1">
        <w:t xml:space="preserve"> на </w:t>
      </w:r>
      <w:r w:rsidRPr="001F42D1">
        <w:rPr>
          <w:lang w:val="mk-MK"/>
        </w:rPr>
        <w:t xml:space="preserve">моделите со лојалноста, вклученоста и задоволството на вработените. Поконкретно, </w:t>
      </w:r>
      <w:r w:rsidR="00126607">
        <w:rPr>
          <w:lang w:val="mk-MK"/>
        </w:rPr>
        <w:t>компаративниот приказ детално ги</w:t>
      </w:r>
      <w:r w:rsidRPr="001F42D1">
        <w:rPr>
          <w:lang w:val="mk-MK"/>
        </w:rPr>
        <w:t xml:space="preserve"> таргетира моделите во Македонија наспроти примерите во Обединетото Кралство, САД, Австралија</w:t>
      </w:r>
      <w:r w:rsidR="00C23E80">
        <w:rPr>
          <w:lang w:val="mk-MK"/>
        </w:rPr>
        <w:t>, Кина, Русија</w:t>
      </w:r>
      <w:r w:rsidRPr="001F42D1">
        <w:rPr>
          <w:lang w:val="mk-MK"/>
        </w:rPr>
        <w:t xml:space="preserve"> и </w:t>
      </w:r>
      <w:r w:rsidR="00C23E80">
        <w:rPr>
          <w:lang w:val="mk-MK"/>
        </w:rPr>
        <w:t>ЕУ</w:t>
      </w:r>
      <w:r w:rsidRPr="001F42D1">
        <w:rPr>
          <w:lang w:val="mk-MK"/>
        </w:rPr>
        <w:t xml:space="preserve"> како почетна точка</w:t>
      </w:r>
      <w:r w:rsidRPr="001F42D1">
        <w:t xml:space="preserve"> </w:t>
      </w:r>
      <w:r w:rsidRPr="001F42D1">
        <w:rPr>
          <w:lang w:val="mk-MK"/>
        </w:rPr>
        <w:t>во потрагата по</w:t>
      </w:r>
      <w:r w:rsidRPr="001F42D1">
        <w:t xml:space="preserve"> идеална рамнотежа</w:t>
      </w:r>
      <w:r w:rsidRPr="001F42D1">
        <w:rPr>
          <w:lang w:val="mk-MK"/>
        </w:rPr>
        <w:t>.</w:t>
      </w:r>
      <w:r w:rsidR="00C934F3">
        <w:rPr>
          <w:rStyle w:val="FootnoteReference"/>
          <w:lang w:val="mk-MK"/>
        </w:rPr>
        <w:footnoteReference w:id="45"/>
      </w:r>
      <w:r w:rsidRPr="001F42D1">
        <w:rPr>
          <w:lang w:val="mk-MK"/>
        </w:rPr>
        <w:t xml:space="preserve"> Првенствено, за да се врами предлогот и за да може прецизно да му се пристапи на истражувањето, неопходно е да се дефинираат клучните точки и проблемот во општествената реалност.</w:t>
      </w:r>
      <w:r w:rsidRPr="001F42D1">
        <w:rPr>
          <w:rStyle w:val="FootnoteReference"/>
          <w:lang w:val="mk-MK"/>
        </w:rPr>
        <w:footnoteReference w:id="46"/>
      </w:r>
      <w:r w:rsidRPr="001F42D1">
        <w:rPr>
          <w:lang w:val="mk-MK"/>
        </w:rPr>
        <w:t xml:space="preserve"> Целта на овој докторат е да обезбеди целосен приказ на моделите за обезбедување вклученост на работниците за да се проценат надоаѓачките трендови кои ќе обезбедат подлога за истражување на корелацијата и соодносот на двете потенцијални решенија</w:t>
      </w:r>
      <w:r w:rsidR="00BB362C">
        <w:rPr>
          <w:lang w:val="mk-MK"/>
        </w:rPr>
        <w:t>, како и нивно евентуално спојување</w:t>
      </w:r>
      <w:r w:rsidRPr="001F42D1">
        <w:rPr>
          <w:lang w:val="mk-MK"/>
        </w:rPr>
        <w:t xml:space="preserve">. </w:t>
      </w:r>
    </w:p>
    <w:p w14:paraId="5AC6AA0D" w14:textId="77777777" w:rsidR="00E04846" w:rsidRDefault="00044198" w:rsidP="00E04846">
      <w:pPr>
        <w:pStyle w:val="BodyText"/>
        <w:spacing w:before="240"/>
        <w:ind w:firstLine="720"/>
        <w:jc w:val="both"/>
        <w:rPr>
          <w:lang w:val="mk-MK"/>
        </w:rPr>
      </w:pPr>
      <w:r w:rsidRPr="001F42D1">
        <w:t>Тем</w:t>
      </w:r>
      <w:r w:rsidRPr="001F42D1">
        <w:rPr>
          <w:lang w:val="mk-MK"/>
        </w:rPr>
        <w:t>ата на докторскиот труд во овој смисол е областа</w:t>
      </w:r>
      <w:r w:rsidRPr="001F42D1">
        <w:t xml:space="preserve"> на која ќе се фокусира </w:t>
      </w:r>
      <w:r w:rsidRPr="001F42D1">
        <w:rPr>
          <w:lang w:val="mk-MK"/>
        </w:rPr>
        <w:t>истражувањето</w:t>
      </w:r>
      <w:r w:rsidRPr="001F42D1">
        <w:t xml:space="preserve">, </w:t>
      </w:r>
      <w:r w:rsidRPr="001F42D1">
        <w:rPr>
          <w:lang w:val="mk-MK"/>
        </w:rPr>
        <w:t>односно правото на трговските друштва</w:t>
      </w:r>
      <w:r w:rsidRPr="001F42D1">
        <w:t xml:space="preserve"> </w:t>
      </w:r>
      <w:r w:rsidRPr="001F42D1">
        <w:rPr>
          <w:lang w:val="mk-MK"/>
        </w:rPr>
        <w:t>како специфичен дел од деловното право</w:t>
      </w:r>
      <w:r w:rsidRPr="001F42D1">
        <w:t xml:space="preserve">. </w:t>
      </w:r>
      <w:r w:rsidRPr="001F42D1">
        <w:rPr>
          <w:lang w:val="mk-MK"/>
        </w:rPr>
        <w:t>Иако з</w:t>
      </w:r>
      <w:r w:rsidRPr="001F42D1">
        <w:t>аконодавството за трговски</w:t>
      </w:r>
      <w:r w:rsidRPr="001F42D1">
        <w:rPr>
          <w:lang w:val="mk-MK"/>
        </w:rPr>
        <w:t>те</w:t>
      </w:r>
      <w:r w:rsidRPr="001F42D1">
        <w:t xml:space="preserve"> друштва се состои од правила за формирање, регистрација, спојување и поделба на компаниите</w:t>
      </w:r>
      <w:r w:rsidRPr="001F42D1">
        <w:rPr>
          <w:lang w:val="en-US"/>
        </w:rPr>
        <w:t>,</w:t>
      </w:r>
      <w:r w:rsidRPr="001F42D1">
        <w:rPr>
          <w:rStyle w:val="FootnoteReference"/>
        </w:rPr>
        <w:footnoteReference w:id="47"/>
      </w:r>
      <w:r w:rsidRPr="001F42D1">
        <w:rPr>
          <w:lang w:val="en-US"/>
        </w:rPr>
        <w:t xml:space="preserve"> </w:t>
      </w:r>
      <w:r w:rsidRPr="001F42D1">
        <w:rPr>
          <w:lang w:val="mk-MK"/>
        </w:rPr>
        <w:t>конкретниот фокус на трудот ќе бидат двете варијанти за работниците,</w:t>
      </w:r>
      <w:r w:rsidRPr="001F42D1">
        <w:rPr>
          <w:rStyle w:val="FootnoteReference"/>
          <w:lang w:val="mk-MK"/>
        </w:rPr>
        <w:footnoteReference w:id="48"/>
      </w:r>
      <w:r w:rsidRPr="001F42D1">
        <w:rPr>
          <w:lang w:val="mk-MK"/>
        </w:rPr>
        <w:t xml:space="preserve"> вработени во органите на друштвото наспроти вработени како акционери. Понатаму, правната природа на модерните организациски форми ќе биде основата за истражување на дилемата колку видот на трговското друштво влијае на односот што тоа друштво го има кон вработените и </w:t>
      </w:r>
      <w:r w:rsidRPr="001F42D1">
        <w:rPr>
          <w:lang w:val="mk-MK"/>
        </w:rPr>
        <w:lastRenderedPageBreak/>
        <w:t>нивното почитување во пракса.</w:t>
      </w:r>
      <w:r w:rsidRPr="001F42D1">
        <w:rPr>
          <w:rStyle w:val="FootnoteReference"/>
          <w:lang w:val="mk-MK"/>
        </w:rPr>
        <w:footnoteReference w:id="49"/>
      </w:r>
      <w:r w:rsidRPr="001F42D1">
        <w:rPr>
          <w:lang w:val="mk-MK"/>
        </w:rPr>
        <w:t xml:space="preserve">  </w:t>
      </w:r>
      <w:r w:rsidRPr="001F42D1">
        <w:rPr>
          <w:lang w:val="en-US"/>
        </w:rPr>
        <w:t xml:space="preserve"> </w:t>
      </w:r>
    </w:p>
    <w:p w14:paraId="51FA95C4" w14:textId="0665560A" w:rsidR="005D6B49" w:rsidRPr="00C97D32" w:rsidRDefault="00044198" w:rsidP="005D6B49">
      <w:pPr>
        <w:pStyle w:val="BodyText"/>
        <w:spacing w:before="240"/>
        <w:ind w:firstLine="720"/>
        <w:jc w:val="both"/>
        <w:rPr>
          <w:lang w:val="en-US"/>
        </w:rPr>
      </w:pPr>
      <w:r w:rsidRPr="001F42D1">
        <w:rPr>
          <w:lang w:val="mk-MK"/>
        </w:rPr>
        <w:t>Оттука, овој докторат цели да го таргетира проблемот со вклученоста или невклученоста на работниците во трговските друштва во својот корен, почнувајќи од основањата на трговските друштва како акционерски друштва, па понатаму и се друго што формата на друштвото го носи со себе. Со анализата на овој нексус,</w:t>
      </w:r>
      <w:r w:rsidRPr="001F42D1">
        <w:rPr>
          <w:rStyle w:val="FootnoteReference"/>
          <w:lang w:val="mk-MK"/>
        </w:rPr>
        <w:footnoteReference w:id="50"/>
      </w:r>
      <w:r w:rsidRPr="001F42D1">
        <w:rPr>
          <w:lang w:val="mk-MK"/>
        </w:rPr>
        <w:t xml:space="preserve"> трудот ќе се обиде да пронајде дел од решенијата што можат да помогнат во унапредувањето на овој сегмент во националното право. Генерално, темата е релативно ново поле на истражување и оваа интерсекција на права допрва треба да го добие својот фокус на академската сцена кај нас.</w:t>
      </w:r>
      <w:r w:rsidRPr="001F42D1">
        <w:rPr>
          <w:rStyle w:val="FootnoteReference"/>
          <w:lang w:val="mk-MK"/>
        </w:rPr>
        <w:footnoteReference w:id="51"/>
      </w:r>
      <w:r w:rsidRPr="001F42D1">
        <w:rPr>
          <w:lang w:val="mk-MK"/>
        </w:rPr>
        <w:t xml:space="preserve"> Специфичните цели и значења треба да дадат практична и реална употреба во македонското законодавство. </w:t>
      </w:r>
      <w:r w:rsidRPr="001F42D1">
        <w:t>Затоа, потенција</w:t>
      </w:r>
      <w:r w:rsidRPr="001F42D1">
        <w:rPr>
          <w:lang w:val="mk-MK"/>
        </w:rPr>
        <w:t>лен</w:t>
      </w:r>
      <w:r w:rsidRPr="001F42D1">
        <w:t xml:space="preserve"> проблем се јавува кога недостатокот на европски </w:t>
      </w:r>
      <w:r w:rsidRPr="001F42D1">
        <w:rPr>
          <w:lang w:val="mk-MK"/>
        </w:rPr>
        <w:t xml:space="preserve">и/или светски </w:t>
      </w:r>
      <w:r w:rsidRPr="001F42D1">
        <w:t xml:space="preserve">консензус се надоврзува на </w:t>
      </w:r>
      <w:r w:rsidRPr="001F42D1">
        <w:rPr>
          <w:lang w:val="mk-MK"/>
        </w:rPr>
        <w:t xml:space="preserve">теоретеско, практично и </w:t>
      </w:r>
      <w:r w:rsidRPr="001F42D1">
        <w:t>морално оспорување на</w:t>
      </w:r>
      <w:r w:rsidRPr="001F42D1">
        <w:rPr>
          <w:lang w:val="mk-MK"/>
        </w:rPr>
        <w:t xml:space="preserve"> поврзаноста на овие две полиња во Македонија.</w:t>
      </w:r>
      <w:r w:rsidRPr="001F42D1">
        <w:t xml:space="preserve"> </w:t>
      </w:r>
      <w:r w:rsidRPr="001F42D1">
        <w:rPr>
          <w:lang w:val="mk-MK"/>
        </w:rPr>
        <w:t>Токму заради тоа, истражувачкото прашање</w:t>
      </w:r>
      <w:r w:rsidRPr="001F42D1">
        <w:t xml:space="preserve"> тестира дали овие различни ставови во Европа</w:t>
      </w:r>
      <w:r w:rsidRPr="001F42D1">
        <w:rPr>
          <w:lang w:val="mk-MK"/>
        </w:rPr>
        <w:t xml:space="preserve"> и светот</w:t>
      </w:r>
      <w:r w:rsidRPr="001F42D1">
        <w:t>, кои ги наведуваат земјите да</w:t>
      </w:r>
      <w:r w:rsidRPr="001F42D1">
        <w:rPr>
          <w:lang w:val="mk-MK"/>
        </w:rPr>
        <w:t xml:space="preserve"> (не)</w:t>
      </w:r>
      <w:r w:rsidRPr="001F42D1">
        <w:t xml:space="preserve"> го регулираат прашањето </w:t>
      </w:r>
      <w:r w:rsidRPr="001F42D1">
        <w:rPr>
          <w:lang w:val="mk-MK"/>
        </w:rPr>
        <w:t>различно</w:t>
      </w:r>
      <w:r w:rsidRPr="001F42D1">
        <w:t>, би можеле да се обединат во насока што ја нуди</w:t>
      </w:r>
      <w:r w:rsidRPr="001F42D1">
        <w:rPr>
          <w:lang w:val="mk-MK"/>
        </w:rPr>
        <w:t xml:space="preserve"> деловното право</w:t>
      </w:r>
      <w:r w:rsidRPr="001F42D1">
        <w:t>. Следствено, ова ќе биде разгледано преку примарното истражување.</w:t>
      </w:r>
      <w:r w:rsidR="00CA160B">
        <w:rPr>
          <w:lang w:val="mk-MK"/>
        </w:rPr>
        <w:t xml:space="preserve"> </w:t>
      </w:r>
    </w:p>
    <w:p w14:paraId="7368A6FC" w14:textId="0423BDBC" w:rsidR="000F3415" w:rsidRDefault="00044198" w:rsidP="00F454B7">
      <w:pPr>
        <w:pStyle w:val="BodyText"/>
        <w:spacing w:before="240"/>
        <w:ind w:firstLine="720"/>
        <w:jc w:val="both"/>
        <w:rPr>
          <w:lang w:val="en-US"/>
        </w:rPr>
      </w:pPr>
      <w:r w:rsidRPr="001F42D1">
        <w:rPr>
          <w:lang w:val="mk-MK"/>
        </w:rPr>
        <w:t xml:space="preserve">Основната цел на докторската дисертација е унапредување на правната рамка и прецизирање на линија на споредбеното право и најдобрите искуства на условите за обезбедување вклученост на работниците како вработени во органите на друштвото наспроти нивното стекнување со акции. Постигнувањто на оваа цел би имало големо значење во унапредување на деловното и корпоративното право во Македонија и зголемување на стабилноста, лојалноста и </w:t>
      </w:r>
      <w:r w:rsidR="00531906">
        <w:rPr>
          <w:lang w:val="mk-MK"/>
        </w:rPr>
        <w:t>задоволството</w:t>
      </w:r>
      <w:r w:rsidRPr="001F42D1">
        <w:rPr>
          <w:lang w:val="mk-MK"/>
        </w:rPr>
        <w:t xml:space="preserve"> кај работниците. Оттука, истражувањето е од суштинско значење бидејќи се справува со значителна празнина во македонското право и надежно наодите ќе дадат значаен инпут кон новиот </w:t>
      </w:r>
      <w:r w:rsidR="00531906">
        <w:rPr>
          <w:lang w:val="mk-MK"/>
        </w:rPr>
        <w:t>Закон за трговските друштва (</w:t>
      </w:r>
      <w:r w:rsidRPr="001F42D1">
        <w:rPr>
          <w:lang w:val="mk-MK"/>
        </w:rPr>
        <w:t>ЗТД</w:t>
      </w:r>
      <w:r w:rsidR="00531906">
        <w:rPr>
          <w:lang w:val="mk-MK"/>
        </w:rPr>
        <w:t>)</w:t>
      </w:r>
      <w:r w:rsidRPr="001F42D1">
        <w:rPr>
          <w:lang w:val="mk-MK"/>
        </w:rPr>
        <w:t>.</w:t>
      </w:r>
    </w:p>
    <w:p w14:paraId="0D333E8F" w14:textId="77777777" w:rsidR="000F3415" w:rsidRPr="00AF0B67" w:rsidRDefault="000F3415" w:rsidP="000F3415">
      <w:pPr>
        <w:pStyle w:val="BodyText"/>
        <w:rPr>
          <w:lang w:val="en-US"/>
        </w:rPr>
      </w:pPr>
    </w:p>
    <w:p w14:paraId="098ED0D8" w14:textId="3D870F57" w:rsidR="00C23540" w:rsidRPr="00BC6BC5" w:rsidRDefault="00AF0B67" w:rsidP="009330C0">
      <w:pPr>
        <w:pStyle w:val="Heading1"/>
        <w:numPr>
          <w:ilvl w:val="0"/>
          <w:numId w:val="4"/>
        </w:numPr>
        <w:rPr>
          <w:lang w:val="en-US"/>
        </w:rPr>
      </w:pPr>
      <w:bookmarkStart w:id="8" w:name="_Toc230523861"/>
      <w:r w:rsidRPr="00AF0B67">
        <w:rPr>
          <w:lang w:val="mk-MK"/>
        </w:rPr>
        <w:t>Методологија</w:t>
      </w:r>
      <w:bookmarkEnd w:id="8"/>
    </w:p>
    <w:p w14:paraId="1D6C84FB" w14:textId="6E70DE78" w:rsidR="000F6214" w:rsidRDefault="00CA160B" w:rsidP="00CA160B">
      <w:pPr>
        <w:adjustRightInd w:val="0"/>
        <w:spacing w:before="240"/>
        <w:ind w:firstLine="720"/>
        <w:jc w:val="both"/>
        <w:rPr>
          <w:bCs/>
          <w:sz w:val="24"/>
          <w:szCs w:val="24"/>
          <w:lang w:val="en-US"/>
        </w:rPr>
      </w:pPr>
      <w:r w:rsidRPr="00CA160B">
        <w:rPr>
          <w:bCs/>
          <w:sz w:val="24"/>
          <w:szCs w:val="24"/>
          <w:lang w:val="mk-MK"/>
        </w:rPr>
        <w:t xml:space="preserve">Истражувањето во оваа дисертација се заснова на повеќеслоен правно-аналитички пристап, кој има за цел да понуди систематско и критичко разбирање на можностите за вклучување на вработените во корпоративното управување во Македонија, преку анализа на постојната правна рамка, споредбена анализа со меѓународни модели и разгледување на судската практика. Основната хипотеза што се испитува е дека вклучувањето на вработените претставува не само средство за подобрување на корпоративното управување и демократија во </w:t>
      </w:r>
      <w:r w:rsidR="00521C9F">
        <w:rPr>
          <w:bCs/>
          <w:sz w:val="24"/>
          <w:szCs w:val="24"/>
          <w:lang w:val="mk-MK"/>
        </w:rPr>
        <w:t>друштвата</w:t>
      </w:r>
      <w:r w:rsidRPr="00CA160B">
        <w:rPr>
          <w:bCs/>
          <w:sz w:val="24"/>
          <w:szCs w:val="24"/>
          <w:lang w:val="mk-MK"/>
        </w:rPr>
        <w:t xml:space="preserve">, туку и инструмент за надминување на институционалните слабости и социјалните предизвици поврзани со иселувањето и недостатокот на работна сила. </w:t>
      </w:r>
    </w:p>
    <w:p w14:paraId="2CEA071B" w14:textId="04E6FA9C" w:rsidR="001C5931" w:rsidRDefault="000F6214" w:rsidP="00CA160B">
      <w:pPr>
        <w:adjustRightInd w:val="0"/>
        <w:spacing w:before="240"/>
        <w:ind w:firstLine="720"/>
        <w:jc w:val="both"/>
        <w:rPr>
          <w:bCs/>
          <w:sz w:val="24"/>
          <w:szCs w:val="24"/>
          <w:lang w:val="mk-MK"/>
        </w:rPr>
      </w:pPr>
      <w:r>
        <w:rPr>
          <w:bCs/>
          <w:sz w:val="24"/>
          <w:szCs w:val="24"/>
          <w:lang w:val="mk-MK"/>
        </w:rPr>
        <w:t xml:space="preserve">Дисертацијата </w:t>
      </w:r>
      <w:r w:rsidR="00CA160B" w:rsidRPr="00CA160B">
        <w:rPr>
          <w:bCs/>
          <w:sz w:val="24"/>
          <w:szCs w:val="24"/>
          <w:lang w:val="mk-MK"/>
        </w:rPr>
        <w:t xml:space="preserve">користи критичко-догматски пристап за анализа на позитивното право, со посебен фокус на законодавството кое ја уредува правната природа, структурата и организацијата на трговските друштва и нивните управни органи. Се применува и компаративен метод, со цел да се споредат различни модели на учество на </w:t>
      </w:r>
      <w:r w:rsidR="00CA160B" w:rsidRPr="00CA160B">
        <w:rPr>
          <w:bCs/>
          <w:sz w:val="24"/>
          <w:szCs w:val="24"/>
          <w:lang w:val="mk-MK"/>
        </w:rPr>
        <w:lastRenderedPageBreak/>
        <w:t>вработените во корпоративното управување, како што се германскиот (ко-детерминација), скандинавскиот (институционално учество) и англосаксонскиот (инсентивни шеми преку акции и опции).</w:t>
      </w:r>
      <w:r w:rsidR="00A5132D">
        <w:rPr>
          <w:rStyle w:val="FootnoteReference"/>
          <w:bCs/>
          <w:sz w:val="24"/>
          <w:szCs w:val="24"/>
          <w:lang w:val="mk-MK"/>
        </w:rPr>
        <w:footnoteReference w:id="52"/>
      </w:r>
      <w:r w:rsidR="00CA160B" w:rsidRPr="00CA160B">
        <w:rPr>
          <w:bCs/>
          <w:sz w:val="24"/>
          <w:szCs w:val="24"/>
          <w:lang w:val="mk-MK"/>
        </w:rPr>
        <w:t xml:space="preserve"> Дополнително, се разгледуваат и практиките од земји со сличен постсоцијалистички контекст, како што се Словенија и Хрватска, со цел да се идентификуваат релевантни паралели и потенцијални патишта за имплементација во Македонија.</w:t>
      </w:r>
      <w:r w:rsidR="00A5132D">
        <w:rPr>
          <w:rStyle w:val="FootnoteReference"/>
          <w:bCs/>
          <w:sz w:val="24"/>
          <w:szCs w:val="24"/>
          <w:lang w:val="mk-MK"/>
        </w:rPr>
        <w:footnoteReference w:id="53"/>
      </w:r>
      <w:r w:rsidR="00CA160B" w:rsidRPr="00CA160B">
        <w:rPr>
          <w:bCs/>
          <w:sz w:val="24"/>
          <w:szCs w:val="24"/>
          <w:lang w:val="mk-MK"/>
        </w:rPr>
        <w:t xml:space="preserve"> </w:t>
      </w:r>
    </w:p>
    <w:p w14:paraId="2E15C4B7" w14:textId="56E8B8A7" w:rsidR="00BB4694" w:rsidRDefault="00CA160B" w:rsidP="00CA160B">
      <w:pPr>
        <w:adjustRightInd w:val="0"/>
        <w:spacing w:before="240"/>
        <w:ind w:firstLine="720"/>
        <w:jc w:val="both"/>
        <w:rPr>
          <w:bCs/>
          <w:sz w:val="24"/>
          <w:szCs w:val="24"/>
          <w:lang w:val="mk-MK"/>
        </w:rPr>
      </w:pPr>
      <w:r w:rsidRPr="00CA160B">
        <w:rPr>
          <w:bCs/>
          <w:sz w:val="24"/>
          <w:szCs w:val="24"/>
          <w:lang w:val="mk-MK"/>
        </w:rPr>
        <w:t xml:space="preserve">Во истражувањето е вклучена анализа на релевантната судска практика на Европскиот суд за човекови права и Судот на Европската Унија, особено оние случаи што откриваат тензии и недоследности во заштитата на колективните трудови права. Како што укажуваат </w:t>
      </w:r>
      <w:r w:rsidR="00D027EC">
        <w:rPr>
          <w:bCs/>
          <w:sz w:val="24"/>
          <w:szCs w:val="24"/>
          <w:lang w:val="mk-MK"/>
        </w:rPr>
        <w:t>Блаубергер и Шмит</w:t>
      </w:r>
      <w:r w:rsidRPr="00CA160B">
        <w:rPr>
          <w:bCs/>
          <w:sz w:val="24"/>
          <w:szCs w:val="24"/>
          <w:lang w:val="mk-MK"/>
        </w:rPr>
        <w:t xml:space="preserve"> (2017), овие разлики мож</w:t>
      </w:r>
      <w:r w:rsidR="00D027EC">
        <w:rPr>
          <w:bCs/>
          <w:sz w:val="24"/>
          <w:szCs w:val="24"/>
          <w:lang w:val="mk-MK"/>
        </w:rPr>
        <w:t>ат</w:t>
      </w:r>
      <w:r w:rsidRPr="00CA160B">
        <w:rPr>
          <w:bCs/>
          <w:sz w:val="24"/>
          <w:szCs w:val="24"/>
          <w:lang w:val="mk-MK"/>
        </w:rPr>
        <w:t xml:space="preserve"> да доведат до ситуации во кои нивото на заштита според Европската конвенција за човекови права или правото на ЕУ е пониско од стандардите утврдени со конвенциите на Меѓународната организација на трудот или Европската социјална повелба. Иако не секогаш директно поврзани со прашањето за учество на вработените во органите на друштвата, овие случаи нудат важна критичка перспектива за анализа на нормативната хиерархија и практичната ефективност на меѓународната заштита на трудовите права</w:t>
      </w:r>
      <w:r w:rsidR="00BB4694">
        <w:rPr>
          <w:bCs/>
          <w:sz w:val="24"/>
          <w:szCs w:val="24"/>
          <w:lang w:val="mk-MK"/>
        </w:rPr>
        <w:t xml:space="preserve"> и нивната улога во корпоративното управување</w:t>
      </w:r>
      <w:r w:rsidRPr="00CA160B">
        <w:rPr>
          <w:bCs/>
          <w:sz w:val="24"/>
          <w:szCs w:val="24"/>
          <w:lang w:val="mk-MK"/>
        </w:rPr>
        <w:t>.</w:t>
      </w:r>
      <w:r w:rsidR="001862D2">
        <w:rPr>
          <w:rStyle w:val="FootnoteReference"/>
          <w:bCs/>
          <w:sz w:val="24"/>
          <w:szCs w:val="24"/>
          <w:lang w:val="mk-MK"/>
        </w:rPr>
        <w:footnoteReference w:id="54"/>
      </w:r>
      <w:r w:rsidRPr="00CA160B">
        <w:rPr>
          <w:bCs/>
          <w:sz w:val="24"/>
          <w:szCs w:val="24"/>
          <w:lang w:val="mk-MK"/>
        </w:rPr>
        <w:t xml:space="preserve"> </w:t>
      </w:r>
    </w:p>
    <w:p w14:paraId="1B7B43A1" w14:textId="1979250E" w:rsidR="00927BDF" w:rsidRDefault="00BB4694" w:rsidP="00CA160B">
      <w:pPr>
        <w:adjustRightInd w:val="0"/>
        <w:spacing w:before="240"/>
        <w:ind w:firstLine="720"/>
        <w:jc w:val="both"/>
        <w:rPr>
          <w:bCs/>
          <w:sz w:val="24"/>
          <w:szCs w:val="24"/>
          <w:lang w:val="mk-MK"/>
        </w:rPr>
      </w:pPr>
      <w:r>
        <w:rPr>
          <w:bCs/>
          <w:sz w:val="24"/>
          <w:szCs w:val="24"/>
          <w:lang w:val="mk-MK"/>
        </w:rPr>
        <w:t>Во таа линија, кога ќе се сретне т</w:t>
      </w:r>
      <w:r w:rsidR="00CA160B" w:rsidRPr="00CA160B">
        <w:rPr>
          <w:bCs/>
          <w:sz w:val="24"/>
          <w:szCs w:val="24"/>
          <w:lang w:val="mk-MK"/>
        </w:rPr>
        <w:t>ерминот „колективни работнички права</w:t>
      </w:r>
      <w:r>
        <w:rPr>
          <w:bCs/>
          <w:sz w:val="24"/>
          <w:szCs w:val="24"/>
          <w:lang w:val="mk-MK"/>
        </w:rPr>
        <w:t>“, низ докторатот тој</w:t>
      </w:r>
      <w:r w:rsidR="00CA160B" w:rsidRPr="00CA160B">
        <w:rPr>
          <w:bCs/>
          <w:sz w:val="24"/>
          <w:szCs w:val="24"/>
          <w:lang w:val="mk-MK"/>
        </w:rPr>
        <w:t xml:space="preserve"> се користи за да се означи збирот на права кои произлегуваат од рамките на трудовите односи и кои можат да ги уживаат работниците и нивните организации.</w:t>
      </w:r>
      <w:r w:rsidR="00CE150D">
        <w:rPr>
          <w:rStyle w:val="FootnoteReference"/>
          <w:bCs/>
          <w:sz w:val="24"/>
          <w:szCs w:val="24"/>
          <w:lang w:val="mk-MK"/>
        </w:rPr>
        <w:footnoteReference w:id="55"/>
      </w:r>
      <w:r w:rsidR="00CA160B" w:rsidRPr="00CA160B">
        <w:rPr>
          <w:bCs/>
          <w:sz w:val="24"/>
          <w:szCs w:val="24"/>
          <w:lang w:val="mk-MK"/>
        </w:rPr>
        <w:t xml:space="preserve"> Иако </w:t>
      </w:r>
      <w:r w:rsidR="00C9184D">
        <w:rPr>
          <w:bCs/>
          <w:sz w:val="24"/>
          <w:szCs w:val="24"/>
          <w:lang w:val="mk-MK"/>
        </w:rPr>
        <w:t>е јасно</w:t>
      </w:r>
      <w:r w:rsidR="00CA160B" w:rsidRPr="00CA160B">
        <w:rPr>
          <w:bCs/>
          <w:sz w:val="24"/>
          <w:szCs w:val="24"/>
          <w:lang w:val="mk-MK"/>
        </w:rPr>
        <w:t xml:space="preserve"> дека Член 11 од ЕКЧП, Член 12 од Повелбата за основни права на Европската Унија (ПООПЕУ), како и општите принципи на правото на ЕУ ја прошируваат примената на </w:t>
      </w:r>
      <w:r w:rsidR="00C428C1">
        <w:rPr>
          <w:bCs/>
          <w:sz w:val="24"/>
          <w:szCs w:val="24"/>
          <w:lang w:val="mk-MK"/>
        </w:rPr>
        <w:t>одредени</w:t>
      </w:r>
      <w:r w:rsidR="00CA160B" w:rsidRPr="00CA160B">
        <w:rPr>
          <w:bCs/>
          <w:sz w:val="24"/>
          <w:szCs w:val="24"/>
          <w:lang w:val="mk-MK"/>
        </w:rPr>
        <w:t xml:space="preserve"> прав</w:t>
      </w:r>
      <w:r w:rsidR="00C428C1">
        <w:rPr>
          <w:bCs/>
          <w:sz w:val="24"/>
          <w:szCs w:val="24"/>
          <w:lang w:val="mk-MK"/>
        </w:rPr>
        <w:t>а</w:t>
      </w:r>
      <w:r w:rsidR="00CA160B" w:rsidRPr="00CA160B">
        <w:rPr>
          <w:bCs/>
          <w:sz w:val="24"/>
          <w:szCs w:val="24"/>
          <w:lang w:val="mk-MK"/>
        </w:rPr>
        <w:t xml:space="preserve"> и надвор од областа на трудовото право, оваа дисертација е ограничена исклучиво на </w:t>
      </w:r>
      <w:r w:rsidR="00927BDF">
        <w:rPr>
          <w:bCs/>
          <w:sz w:val="24"/>
          <w:szCs w:val="24"/>
          <w:lang w:val="mk-MK"/>
        </w:rPr>
        <w:t>нивната</w:t>
      </w:r>
      <w:r w:rsidR="00CA160B" w:rsidRPr="00CA160B">
        <w:rPr>
          <w:bCs/>
          <w:sz w:val="24"/>
          <w:szCs w:val="24"/>
          <w:lang w:val="mk-MK"/>
        </w:rPr>
        <w:t xml:space="preserve"> примена во трудовоправниот контекст</w:t>
      </w:r>
      <w:r w:rsidR="00927BDF">
        <w:rPr>
          <w:bCs/>
          <w:sz w:val="24"/>
          <w:szCs w:val="24"/>
          <w:lang w:val="mk-MK"/>
        </w:rPr>
        <w:t xml:space="preserve"> и во насока на корпоративното управување</w:t>
      </w:r>
      <w:r w:rsidR="00CA160B" w:rsidRPr="00CA160B">
        <w:rPr>
          <w:bCs/>
          <w:sz w:val="24"/>
          <w:szCs w:val="24"/>
          <w:lang w:val="mk-MK"/>
        </w:rPr>
        <w:t>.</w:t>
      </w:r>
      <w:r w:rsidR="00313BD9">
        <w:rPr>
          <w:rStyle w:val="FootnoteReference"/>
          <w:bCs/>
          <w:sz w:val="24"/>
          <w:szCs w:val="24"/>
          <w:lang w:val="mk-MK"/>
        </w:rPr>
        <w:footnoteReference w:id="56"/>
      </w:r>
      <w:r w:rsidR="00CA160B" w:rsidRPr="00CA160B">
        <w:rPr>
          <w:bCs/>
          <w:sz w:val="24"/>
          <w:szCs w:val="24"/>
          <w:lang w:val="mk-MK"/>
        </w:rPr>
        <w:t xml:space="preserve"> </w:t>
      </w:r>
    </w:p>
    <w:p w14:paraId="2E17F83A" w14:textId="7CCD3459" w:rsidR="00531906" w:rsidRPr="00531906" w:rsidRDefault="00CA160B" w:rsidP="004874C0">
      <w:pPr>
        <w:adjustRightInd w:val="0"/>
        <w:spacing w:before="240"/>
        <w:ind w:firstLine="720"/>
        <w:jc w:val="both"/>
        <w:rPr>
          <w:bCs/>
          <w:sz w:val="24"/>
          <w:szCs w:val="24"/>
          <w:lang w:val="mk-MK"/>
        </w:rPr>
      </w:pPr>
      <w:r w:rsidRPr="00CA160B">
        <w:rPr>
          <w:bCs/>
          <w:sz w:val="24"/>
          <w:szCs w:val="24"/>
          <w:lang w:val="mk-MK"/>
        </w:rPr>
        <w:t>Истражувањето се потпира на анализа на примарни правни извори</w:t>
      </w:r>
      <w:r w:rsidR="00724CF1">
        <w:rPr>
          <w:bCs/>
          <w:sz w:val="24"/>
          <w:szCs w:val="24"/>
          <w:lang w:val="mk-MK"/>
        </w:rPr>
        <w:t xml:space="preserve"> како што</w:t>
      </w:r>
      <w:r w:rsidRPr="00CA160B">
        <w:rPr>
          <w:bCs/>
          <w:sz w:val="24"/>
          <w:szCs w:val="24"/>
          <w:lang w:val="mk-MK"/>
        </w:rPr>
        <w:t xml:space="preserve"> национално</w:t>
      </w:r>
      <w:r w:rsidR="00724CF1">
        <w:rPr>
          <w:bCs/>
          <w:sz w:val="24"/>
          <w:szCs w:val="24"/>
          <w:lang w:val="mk-MK"/>
        </w:rPr>
        <w:t>то</w:t>
      </w:r>
      <w:r w:rsidRPr="00CA160B">
        <w:rPr>
          <w:bCs/>
          <w:sz w:val="24"/>
          <w:szCs w:val="24"/>
          <w:lang w:val="mk-MK"/>
        </w:rPr>
        <w:t xml:space="preserve"> законодавство, меѓународни</w:t>
      </w:r>
      <w:r w:rsidR="00724CF1">
        <w:rPr>
          <w:bCs/>
          <w:sz w:val="24"/>
          <w:szCs w:val="24"/>
          <w:lang w:val="mk-MK"/>
        </w:rPr>
        <w:t>те</w:t>
      </w:r>
      <w:r w:rsidRPr="00CA160B">
        <w:rPr>
          <w:bCs/>
          <w:sz w:val="24"/>
          <w:szCs w:val="24"/>
          <w:lang w:val="mk-MK"/>
        </w:rPr>
        <w:t xml:space="preserve"> договори и правни</w:t>
      </w:r>
      <w:r w:rsidR="00724CF1">
        <w:rPr>
          <w:bCs/>
          <w:sz w:val="24"/>
          <w:szCs w:val="24"/>
          <w:lang w:val="mk-MK"/>
        </w:rPr>
        <w:t>те</w:t>
      </w:r>
      <w:r w:rsidRPr="00CA160B">
        <w:rPr>
          <w:bCs/>
          <w:sz w:val="24"/>
          <w:szCs w:val="24"/>
          <w:lang w:val="mk-MK"/>
        </w:rPr>
        <w:t xml:space="preserve"> стандарди, судски</w:t>
      </w:r>
      <w:r w:rsidR="00724CF1">
        <w:rPr>
          <w:bCs/>
          <w:sz w:val="24"/>
          <w:szCs w:val="24"/>
          <w:lang w:val="mk-MK"/>
        </w:rPr>
        <w:t>те</w:t>
      </w:r>
      <w:r w:rsidRPr="00CA160B">
        <w:rPr>
          <w:bCs/>
          <w:sz w:val="24"/>
          <w:szCs w:val="24"/>
          <w:lang w:val="mk-MK"/>
        </w:rPr>
        <w:t xml:space="preserve"> пресуди и правни</w:t>
      </w:r>
      <w:r w:rsidR="00724CF1">
        <w:rPr>
          <w:bCs/>
          <w:sz w:val="24"/>
          <w:szCs w:val="24"/>
          <w:lang w:val="mk-MK"/>
        </w:rPr>
        <w:t>те</w:t>
      </w:r>
      <w:r w:rsidRPr="00CA160B">
        <w:rPr>
          <w:bCs/>
          <w:sz w:val="24"/>
          <w:szCs w:val="24"/>
          <w:lang w:val="mk-MK"/>
        </w:rPr>
        <w:t xml:space="preserve"> акти од ЕКЧП, ЕУ, МОТ и ЕСП</w:t>
      </w:r>
      <w:r w:rsidR="00724CF1">
        <w:rPr>
          <w:bCs/>
          <w:sz w:val="24"/>
          <w:szCs w:val="24"/>
          <w:lang w:val="mk-MK"/>
        </w:rPr>
        <w:t xml:space="preserve">Ч. Во однос на </w:t>
      </w:r>
      <w:r w:rsidRPr="00CA160B">
        <w:rPr>
          <w:bCs/>
          <w:sz w:val="24"/>
          <w:szCs w:val="24"/>
          <w:lang w:val="mk-MK"/>
        </w:rPr>
        <w:t>секундарни</w:t>
      </w:r>
      <w:r w:rsidR="00724CF1">
        <w:rPr>
          <w:bCs/>
          <w:sz w:val="24"/>
          <w:szCs w:val="24"/>
          <w:lang w:val="mk-MK"/>
        </w:rPr>
        <w:t>те</w:t>
      </w:r>
      <w:r w:rsidRPr="00CA160B">
        <w:rPr>
          <w:bCs/>
          <w:sz w:val="24"/>
          <w:szCs w:val="24"/>
          <w:lang w:val="mk-MK"/>
        </w:rPr>
        <w:t xml:space="preserve"> извори</w:t>
      </w:r>
      <w:r w:rsidR="00724CF1">
        <w:rPr>
          <w:bCs/>
          <w:sz w:val="24"/>
          <w:szCs w:val="24"/>
          <w:lang w:val="mk-MK"/>
        </w:rPr>
        <w:t>, вклучена е</w:t>
      </w:r>
      <w:r w:rsidRPr="00CA160B">
        <w:rPr>
          <w:bCs/>
          <w:sz w:val="24"/>
          <w:szCs w:val="24"/>
          <w:lang w:val="mk-MK"/>
        </w:rPr>
        <w:t xml:space="preserve"> научна и стручна литература, правни коментари, извештаи, статистички податоци и релевантни документи од национални и меѓународни институции. Целта е да се обезбеди балансирана и мултидимензионална анализа која ќе ја поврзе правната норма со нејзината практична примена и импликации. Истражувањето не вклучува емпириска анализа преку анкетирање или теренски истражувања, ниту се фокусира на конкретни корпоративни практики на микро ниво. Наместо тоа, акцентот е ставен на правната анализа и институционалната рамка, како предуслов за понатамошен развој на политики и практики што овозможуваат поголема вклученост на вработените во корпоративното управување.</w:t>
      </w:r>
      <w:r w:rsidR="00832606">
        <w:rPr>
          <w:rStyle w:val="FootnoteReference"/>
          <w:bCs/>
          <w:sz w:val="24"/>
          <w:szCs w:val="24"/>
          <w:lang w:val="mk-MK"/>
        </w:rPr>
        <w:footnoteReference w:id="57"/>
      </w:r>
    </w:p>
    <w:p w14:paraId="7EDAE28A" w14:textId="54C006C7" w:rsidR="00ED2B59" w:rsidRPr="00B80F11" w:rsidRDefault="00D43406" w:rsidP="009330C0">
      <w:pPr>
        <w:pStyle w:val="Heading1"/>
        <w:numPr>
          <w:ilvl w:val="0"/>
          <w:numId w:val="5"/>
        </w:numPr>
        <w:jc w:val="both"/>
        <w:rPr>
          <w:sz w:val="26"/>
          <w:szCs w:val="26"/>
        </w:rPr>
      </w:pPr>
      <w:bookmarkStart w:id="9" w:name="_Toc230523862"/>
      <w:r w:rsidRPr="00B80F11">
        <w:rPr>
          <w:sz w:val="26"/>
          <w:szCs w:val="26"/>
          <w:lang w:val="mk-MK"/>
        </w:rPr>
        <w:lastRenderedPageBreak/>
        <w:t>Историски и правни основи на корпоративното управување</w:t>
      </w:r>
      <w:bookmarkEnd w:id="9"/>
    </w:p>
    <w:p w14:paraId="29ED6841" w14:textId="491BC645" w:rsidR="00491A8D" w:rsidRDefault="00886BAE" w:rsidP="00FA657C">
      <w:pPr>
        <w:spacing w:before="240"/>
        <w:ind w:firstLine="720"/>
        <w:jc w:val="both"/>
        <w:rPr>
          <w:sz w:val="24"/>
          <w:szCs w:val="24"/>
          <w:lang w:val="mk-MK"/>
        </w:rPr>
      </w:pPr>
      <w:r>
        <w:rPr>
          <w:sz w:val="24"/>
          <w:szCs w:val="24"/>
          <w:lang w:val="mk-MK"/>
        </w:rPr>
        <w:t>Рудиментираните к</w:t>
      </w:r>
      <w:r w:rsidR="006217F5" w:rsidRPr="006217F5">
        <w:rPr>
          <w:sz w:val="24"/>
          <w:szCs w:val="24"/>
          <w:lang w:val="mk-MK"/>
        </w:rPr>
        <w:t xml:space="preserve">орени на корпоративното управување </w:t>
      </w:r>
      <w:r w:rsidR="00975F14">
        <w:rPr>
          <w:sz w:val="24"/>
          <w:szCs w:val="24"/>
          <w:lang w:val="mk-MK"/>
        </w:rPr>
        <w:t>можат да се забележат уште</w:t>
      </w:r>
      <w:r w:rsidR="006217F5" w:rsidRPr="006217F5">
        <w:rPr>
          <w:sz w:val="24"/>
          <w:szCs w:val="24"/>
          <w:lang w:val="mk-MK"/>
        </w:rPr>
        <w:t xml:space="preserve"> во римското право, каде колективните ентитети </w:t>
      </w:r>
      <w:r w:rsidR="006217F5" w:rsidRPr="00E035BC">
        <w:rPr>
          <w:i/>
          <w:iCs/>
          <w:sz w:val="24"/>
          <w:szCs w:val="24"/>
          <w:lang w:val="mk-MK"/>
        </w:rPr>
        <w:t>collegia</w:t>
      </w:r>
      <w:r w:rsidR="006217F5" w:rsidRPr="006217F5">
        <w:rPr>
          <w:sz w:val="24"/>
          <w:szCs w:val="24"/>
          <w:lang w:val="mk-MK"/>
        </w:rPr>
        <w:t xml:space="preserve"> имале </w:t>
      </w:r>
      <w:r w:rsidR="00253952">
        <w:rPr>
          <w:sz w:val="24"/>
          <w:szCs w:val="24"/>
          <w:lang w:val="mk-MK"/>
        </w:rPr>
        <w:t>посебен правен статус</w:t>
      </w:r>
      <w:r w:rsidR="006217F5" w:rsidRPr="006217F5">
        <w:rPr>
          <w:sz w:val="24"/>
          <w:szCs w:val="24"/>
          <w:lang w:val="mk-MK"/>
        </w:rPr>
        <w:t>.</w:t>
      </w:r>
      <w:r>
        <w:rPr>
          <w:rStyle w:val="FootnoteReference"/>
          <w:sz w:val="24"/>
          <w:szCs w:val="24"/>
          <w:lang w:val="mk-MK"/>
        </w:rPr>
        <w:footnoteReference w:id="58"/>
      </w:r>
      <w:r w:rsidR="006217F5" w:rsidRPr="006217F5">
        <w:rPr>
          <w:sz w:val="24"/>
          <w:szCs w:val="24"/>
          <w:lang w:val="mk-MK"/>
        </w:rPr>
        <w:t xml:space="preserve"> </w:t>
      </w:r>
      <w:r w:rsidR="00505932">
        <w:rPr>
          <w:sz w:val="24"/>
          <w:szCs w:val="24"/>
          <w:lang w:val="mk-MK"/>
        </w:rPr>
        <w:t>Конкретно, станувало збор за</w:t>
      </w:r>
      <w:r w:rsidR="00505932" w:rsidRPr="00505932">
        <w:rPr>
          <w:sz w:val="24"/>
          <w:szCs w:val="24"/>
          <w:lang w:val="mk-MK"/>
        </w:rPr>
        <w:t xml:space="preserve"> различни видови на здруженија, од религиозни и погребални до трговски и занаетчиски еснафи</w:t>
      </w:r>
      <w:r w:rsidR="00E16A5E">
        <w:rPr>
          <w:sz w:val="24"/>
          <w:szCs w:val="24"/>
          <w:lang w:val="mk-MK"/>
        </w:rPr>
        <w:t xml:space="preserve"> кои </w:t>
      </w:r>
      <w:r w:rsidR="007B72A1" w:rsidRPr="007B72A1">
        <w:rPr>
          <w:sz w:val="24"/>
          <w:szCs w:val="24"/>
          <w:lang w:val="mk-MK"/>
        </w:rPr>
        <w:t>Римската Република (околу 509 п.н.е</w:t>
      </w:r>
      <w:r w:rsidR="00E16A5E">
        <w:rPr>
          <w:sz w:val="24"/>
          <w:szCs w:val="24"/>
          <w:lang w:val="mk-MK"/>
        </w:rPr>
        <w:t>-</w:t>
      </w:r>
      <w:r w:rsidR="007B72A1" w:rsidRPr="007B72A1">
        <w:rPr>
          <w:sz w:val="24"/>
          <w:szCs w:val="24"/>
          <w:lang w:val="mk-MK"/>
        </w:rPr>
        <w:t>27 п.н.е.) и Римското Царство (</w:t>
      </w:r>
      <w:r w:rsidR="00586DE0">
        <w:rPr>
          <w:sz w:val="24"/>
          <w:szCs w:val="24"/>
          <w:lang w:val="mk-MK"/>
        </w:rPr>
        <w:t xml:space="preserve">од </w:t>
      </w:r>
      <w:r w:rsidR="007B72A1" w:rsidRPr="007B72A1">
        <w:rPr>
          <w:sz w:val="24"/>
          <w:szCs w:val="24"/>
          <w:lang w:val="mk-MK"/>
        </w:rPr>
        <w:t>27 п.н.е.</w:t>
      </w:r>
      <w:r w:rsidR="00586DE0">
        <w:rPr>
          <w:sz w:val="24"/>
          <w:szCs w:val="24"/>
          <w:lang w:val="mk-MK"/>
        </w:rPr>
        <w:t xml:space="preserve"> до </w:t>
      </w:r>
      <w:r w:rsidR="007B72A1" w:rsidRPr="007B72A1">
        <w:rPr>
          <w:sz w:val="24"/>
          <w:szCs w:val="24"/>
          <w:lang w:val="mk-MK"/>
        </w:rPr>
        <w:t xml:space="preserve">476 н.е. на </w:t>
      </w:r>
      <w:r w:rsidR="00A64D10">
        <w:rPr>
          <w:sz w:val="24"/>
          <w:szCs w:val="24"/>
          <w:lang w:val="mk-MK"/>
        </w:rPr>
        <w:t>з</w:t>
      </w:r>
      <w:r w:rsidR="007B72A1" w:rsidRPr="007B72A1">
        <w:rPr>
          <w:sz w:val="24"/>
          <w:szCs w:val="24"/>
          <w:lang w:val="mk-MK"/>
        </w:rPr>
        <w:t xml:space="preserve">апад и </w:t>
      </w:r>
      <w:r w:rsidR="00586DE0">
        <w:rPr>
          <w:sz w:val="24"/>
          <w:szCs w:val="24"/>
          <w:lang w:val="mk-MK"/>
        </w:rPr>
        <w:t xml:space="preserve">до </w:t>
      </w:r>
      <w:r w:rsidR="007B72A1" w:rsidRPr="007B72A1">
        <w:rPr>
          <w:sz w:val="24"/>
          <w:szCs w:val="24"/>
          <w:lang w:val="mk-MK"/>
        </w:rPr>
        <w:t xml:space="preserve">1453 н.е. на </w:t>
      </w:r>
      <w:r w:rsidR="00A64D10">
        <w:rPr>
          <w:sz w:val="24"/>
          <w:szCs w:val="24"/>
          <w:lang w:val="mk-MK"/>
        </w:rPr>
        <w:t>и</w:t>
      </w:r>
      <w:r w:rsidR="007B72A1" w:rsidRPr="007B72A1">
        <w:rPr>
          <w:sz w:val="24"/>
          <w:szCs w:val="24"/>
          <w:lang w:val="mk-MK"/>
        </w:rPr>
        <w:t>сток)</w:t>
      </w:r>
      <w:r w:rsidR="00A64D10">
        <w:rPr>
          <w:sz w:val="24"/>
          <w:szCs w:val="24"/>
          <w:lang w:val="mk-MK"/>
        </w:rPr>
        <w:t xml:space="preserve"> ги препознав</w:t>
      </w:r>
      <w:r w:rsidR="00C36E96">
        <w:rPr>
          <w:sz w:val="24"/>
          <w:szCs w:val="24"/>
          <w:lang w:val="mk-MK"/>
        </w:rPr>
        <w:t>але</w:t>
      </w:r>
      <w:r w:rsidR="00586DE0">
        <w:rPr>
          <w:sz w:val="24"/>
          <w:szCs w:val="24"/>
          <w:lang w:val="mk-MK"/>
        </w:rPr>
        <w:t xml:space="preserve"> и заштитув</w:t>
      </w:r>
      <w:r w:rsidR="00C36E96">
        <w:rPr>
          <w:sz w:val="24"/>
          <w:szCs w:val="24"/>
          <w:lang w:val="mk-MK"/>
        </w:rPr>
        <w:t>але</w:t>
      </w:r>
      <w:r w:rsidR="00586DE0">
        <w:rPr>
          <w:sz w:val="24"/>
          <w:szCs w:val="24"/>
          <w:lang w:val="mk-MK"/>
        </w:rPr>
        <w:t xml:space="preserve"> во своето законодавство.</w:t>
      </w:r>
      <w:r w:rsidR="00586DE0">
        <w:rPr>
          <w:rStyle w:val="FootnoteReference"/>
          <w:sz w:val="24"/>
          <w:szCs w:val="24"/>
          <w:lang w:val="mk-MK"/>
        </w:rPr>
        <w:footnoteReference w:id="59"/>
      </w:r>
      <w:r w:rsidR="00586DE0">
        <w:rPr>
          <w:sz w:val="24"/>
          <w:szCs w:val="24"/>
          <w:lang w:val="mk-MK"/>
        </w:rPr>
        <w:t xml:space="preserve"> </w:t>
      </w:r>
      <w:r w:rsidR="007B72A1" w:rsidRPr="007B72A1">
        <w:rPr>
          <w:sz w:val="24"/>
          <w:szCs w:val="24"/>
          <w:lang w:val="mk-MK"/>
        </w:rPr>
        <w:t xml:space="preserve">Во периодот на Републиката, </w:t>
      </w:r>
      <w:r w:rsidR="007B72A1" w:rsidRPr="00136221">
        <w:rPr>
          <w:i/>
          <w:iCs/>
          <w:sz w:val="24"/>
          <w:szCs w:val="24"/>
          <w:lang w:val="mk-MK"/>
        </w:rPr>
        <w:t>collegia</w:t>
      </w:r>
      <w:r w:rsidR="007B72A1" w:rsidRPr="007B72A1">
        <w:rPr>
          <w:sz w:val="24"/>
          <w:szCs w:val="24"/>
          <w:lang w:val="mk-MK"/>
        </w:rPr>
        <w:t xml:space="preserve"> биле поразновидни и често имале поголема автономија</w:t>
      </w:r>
      <w:r w:rsidR="002377ED">
        <w:rPr>
          <w:sz w:val="24"/>
          <w:szCs w:val="24"/>
          <w:lang w:val="mk-MK"/>
        </w:rPr>
        <w:t xml:space="preserve"> вклучувајќи и одредени</w:t>
      </w:r>
      <w:r w:rsidR="00580779">
        <w:rPr>
          <w:sz w:val="24"/>
          <w:szCs w:val="24"/>
          <w:lang w:val="mk-MK"/>
        </w:rPr>
        <w:t xml:space="preserve"> политички активности,</w:t>
      </w:r>
      <w:r w:rsidR="00136221">
        <w:rPr>
          <w:sz w:val="24"/>
          <w:szCs w:val="24"/>
          <w:lang w:val="mk-MK"/>
        </w:rPr>
        <w:t xml:space="preserve"> додека </w:t>
      </w:r>
      <w:r w:rsidR="00580779">
        <w:rPr>
          <w:sz w:val="24"/>
          <w:szCs w:val="24"/>
          <w:lang w:val="mk-MK"/>
        </w:rPr>
        <w:t>за</w:t>
      </w:r>
      <w:r w:rsidR="007B72A1" w:rsidRPr="007B72A1">
        <w:rPr>
          <w:sz w:val="24"/>
          <w:szCs w:val="24"/>
          <w:lang w:val="mk-MK"/>
        </w:rPr>
        <w:t xml:space="preserve"> време на Царството, државата почнала повеќе да ги регулира </w:t>
      </w:r>
      <w:r w:rsidR="00580779">
        <w:rPr>
          <w:sz w:val="24"/>
          <w:szCs w:val="24"/>
          <w:lang w:val="mk-MK"/>
        </w:rPr>
        <w:t xml:space="preserve">и </w:t>
      </w:r>
      <w:r w:rsidR="00F03D9A">
        <w:rPr>
          <w:sz w:val="24"/>
          <w:szCs w:val="24"/>
          <w:lang w:val="mk-MK"/>
        </w:rPr>
        <w:t xml:space="preserve">да го оневозможува функционирањето на </w:t>
      </w:r>
      <w:r w:rsidR="007E50AD">
        <w:rPr>
          <w:sz w:val="24"/>
          <w:szCs w:val="24"/>
          <w:lang w:val="mk-MK"/>
        </w:rPr>
        <w:t>о</w:t>
      </w:r>
      <w:r w:rsidR="007B72A1" w:rsidRPr="007B72A1">
        <w:rPr>
          <w:sz w:val="24"/>
          <w:szCs w:val="24"/>
          <w:lang w:val="mk-MK"/>
        </w:rPr>
        <w:t>ние кои се сметале за потенцијално субверзивни.</w:t>
      </w:r>
      <w:r w:rsidR="00620141">
        <w:rPr>
          <w:rStyle w:val="FootnoteReference"/>
          <w:sz w:val="24"/>
          <w:szCs w:val="24"/>
          <w:lang w:val="mk-MK"/>
        </w:rPr>
        <w:footnoteReference w:id="60"/>
      </w:r>
      <w:r w:rsidR="007B72A1" w:rsidRPr="007B72A1">
        <w:rPr>
          <w:sz w:val="24"/>
          <w:szCs w:val="24"/>
          <w:lang w:val="mk-MK"/>
        </w:rPr>
        <w:t xml:space="preserve"> Сепак, </w:t>
      </w:r>
      <w:r w:rsidR="00E40EFF">
        <w:rPr>
          <w:sz w:val="24"/>
          <w:szCs w:val="24"/>
          <w:lang w:val="mk-MK"/>
        </w:rPr>
        <w:t xml:space="preserve">иако </w:t>
      </w:r>
      <w:r w:rsidR="007B72A1" w:rsidRPr="007B72A1">
        <w:rPr>
          <w:sz w:val="24"/>
          <w:szCs w:val="24"/>
          <w:lang w:val="mk-MK"/>
        </w:rPr>
        <w:t xml:space="preserve">трговските и занаетчиските </w:t>
      </w:r>
      <w:r w:rsidR="00755AC2">
        <w:rPr>
          <w:sz w:val="24"/>
          <w:szCs w:val="24"/>
          <w:lang w:val="mk-MK"/>
        </w:rPr>
        <w:t>здруженија</w:t>
      </w:r>
      <w:r w:rsidR="007B72A1" w:rsidRPr="007B72A1">
        <w:rPr>
          <w:sz w:val="24"/>
          <w:szCs w:val="24"/>
          <w:lang w:val="mk-MK"/>
        </w:rPr>
        <w:t xml:space="preserve"> </w:t>
      </w:r>
      <w:r w:rsidR="00C315D8">
        <w:rPr>
          <w:sz w:val="24"/>
          <w:szCs w:val="24"/>
          <w:lang w:val="mk-MK"/>
        </w:rPr>
        <w:t>играле</w:t>
      </w:r>
      <w:r w:rsidR="007B72A1" w:rsidRPr="007B72A1">
        <w:rPr>
          <w:sz w:val="24"/>
          <w:szCs w:val="24"/>
          <w:lang w:val="mk-MK"/>
        </w:rPr>
        <w:t xml:space="preserve"> важна улога во економијата и општествениот живо</w:t>
      </w:r>
      <w:r w:rsidR="00C315D8">
        <w:rPr>
          <w:sz w:val="24"/>
          <w:szCs w:val="24"/>
          <w:lang w:val="mk-MK"/>
        </w:rPr>
        <w:t>т во</w:t>
      </w:r>
      <w:r w:rsidR="007B72A1" w:rsidRPr="007B72A1">
        <w:rPr>
          <w:sz w:val="24"/>
          <w:szCs w:val="24"/>
          <w:lang w:val="mk-MK"/>
        </w:rPr>
        <w:t xml:space="preserve"> </w:t>
      </w:r>
      <w:r w:rsidR="00AF4A53">
        <w:rPr>
          <w:sz w:val="24"/>
          <w:szCs w:val="24"/>
          <w:lang w:val="mk-MK"/>
        </w:rPr>
        <w:t>тој период</w:t>
      </w:r>
      <w:r w:rsidR="00C315D8">
        <w:rPr>
          <w:sz w:val="24"/>
          <w:szCs w:val="24"/>
          <w:lang w:val="mk-MK"/>
        </w:rPr>
        <w:t>, тие никогаш</w:t>
      </w:r>
      <w:r w:rsidR="007B72A1" w:rsidRPr="007B72A1">
        <w:rPr>
          <w:sz w:val="24"/>
          <w:szCs w:val="24"/>
          <w:lang w:val="mk-MK"/>
        </w:rPr>
        <w:t xml:space="preserve"> не развил</w:t>
      </w:r>
      <w:r w:rsidR="003F1DD5">
        <w:rPr>
          <w:sz w:val="24"/>
          <w:szCs w:val="24"/>
          <w:lang w:val="mk-MK"/>
        </w:rPr>
        <w:t>е</w:t>
      </w:r>
      <w:r w:rsidR="007B72A1" w:rsidRPr="007B72A1">
        <w:rPr>
          <w:sz w:val="24"/>
          <w:szCs w:val="24"/>
          <w:lang w:val="mk-MK"/>
        </w:rPr>
        <w:t xml:space="preserve"> целосно дефиниран концепт на модерна корпорација со сите нејзини карактеристики</w:t>
      </w:r>
      <w:r w:rsidR="00BF7031">
        <w:rPr>
          <w:sz w:val="24"/>
          <w:szCs w:val="24"/>
          <w:lang w:val="mk-MK"/>
        </w:rPr>
        <w:t>,</w:t>
      </w:r>
      <w:r w:rsidR="00AF4A53">
        <w:rPr>
          <w:rStyle w:val="FootnoteReference"/>
          <w:sz w:val="24"/>
          <w:szCs w:val="24"/>
          <w:lang w:val="mk-MK"/>
        </w:rPr>
        <w:footnoteReference w:id="61"/>
      </w:r>
      <w:r w:rsidR="00BF7031">
        <w:rPr>
          <w:sz w:val="24"/>
          <w:szCs w:val="24"/>
          <w:lang w:val="mk-MK"/>
        </w:rPr>
        <w:t xml:space="preserve"> </w:t>
      </w:r>
      <w:r w:rsidR="007B72A1" w:rsidRPr="007B72A1">
        <w:rPr>
          <w:sz w:val="24"/>
          <w:szCs w:val="24"/>
          <w:lang w:val="mk-MK"/>
        </w:rPr>
        <w:t>како што е</w:t>
      </w:r>
      <w:r w:rsidR="00BF7031">
        <w:rPr>
          <w:sz w:val="24"/>
          <w:szCs w:val="24"/>
          <w:lang w:val="mk-MK"/>
        </w:rPr>
        <w:t xml:space="preserve"> на пример</w:t>
      </w:r>
      <w:r w:rsidR="007B72A1" w:rsidRPr="007B72A1">
        <w:rPr>
          <w:sz w:val="24"/>
          <w:szCs w:val="24"/>
          <w:lang w:val="mk-MK"/>
        </w:rPr>
        <w:t xml:space="preserve"> ограничена</w:t>
      </w:r>
      <w:r w:rsidR="00BF7031">
        <w:rPr>
          <w:sz w:val="24"/>
          <w:szCs w:val="24"/>
          <w:lang w:val="mk-MK"/>
        </w:rPr>
        <w:t>та</w:t>
      </w:r>
      <w:r w:rsidR="007B72A1" w:rsidRPr="007B72A1">
        <w:rPr>
          <w:sz w:val="24"/>
          <w:szCs w:val="24"/>
          <w:lang w:val="mk-MK"/>
        </w:rPr>
        <w:t xml:space="preserve"> одговорност на акционерите. </w:t>
      </w:r>
    </w:p>
    <w:p w14:paraId="7E892264" w14:textId="2278AA92" w:rsidR="00505932" w:rsidRDefault="00862326" w:rsidP="00E52930">
      <w:pPr>
        <w:spacing w:before="240"/>
        <w:ind w:firstLine="720"/>
        <w:jc w:val="both"/>
        <w:rPr>
          <w:sz w:val="24"/>
          <w:szCs w:val="24"/>
          <w:lang w:val="mk-MK"/>
        </w:rPr>
      </w:pPr>
      <w:r>
        <w:rPr>
          <w:sz w:val="24"/>
          <w:szCs w:val="24"/>
          <w:lang w:val="mk-MK"/>
        </w:rPr>
        <w:t>Во секој случај</w:t>
      </w:r>
      <w:r w:rsidR="00491A8D">
        <w:rPr>
          <w:sz w:val="24"/>
          <w:szCs w:val="24"/>
          <w:lang w:val="mk-MK"/>
        </w:rPr>
        <w:t xml:space="preserve">, </w:t>
      </w:r>
      <w:r w:rsidR="007B72A1" w:rsidRPr="007B72A1">
        <w:rPr>
          <w:sz w:val="24"/>
          <w:szCs w:val="24"/>
          <w:lang w:val="mk-MK"/>
        </w:rPr>
        <w:t xml:space="preserve">концептот на колективен ентитет со </w:t>
      </w:r>
      <w:r w:rsidR="00D9300C">
        <w:rPr>
          <w:sz w:val="24"/>
          <w:szCs w:val="24"/>
          <w:lang w:val="mk-MK"/>
        </w:rPr>
        <w:t>посебен правен статус</w:t>
      </w:r>
      <w:r w:rsidR="007B72A1" w:rsidRPr="007B72A1">
        <w:rPr>
          <w:sz w:val="24"/>
          <w:szCs w:val="24"/>
          <w:lang w:val="mk-MK"/>
        </w:rPr>
        <w:t>, способен да дејствува независно од своите членови, е значаен претходник и може да се смета за една од историските основи на корпоративното управување.</w:t>
      </w:r>
      <w:r w:rsidR="00D9300C">
        <w:rPr>
          <w:rStyle w:val="FootnoteReference"/>
          <w:sz w:val="24"/>
          <w:szCs w:val="24"/>
          <w:lang w:val="mk-MK"/>
        </w:rPr>
        <w:footnoteReference w:id="62"/>
      </w:r>
      <w:r w:rsidR="007B72A1" w:rsidRPr="007B72A1">
        <w:rPr>
          <w:sz w:val="24"/>
          <w:szCs w:val="24"/>
          <w:lang w:val="mk-MK"/>
        </w:rPr>
        <w:t xml:space="preserve"> Во текот на овој период, институцијата на </w:t>
      </w:r>
      <w:r w:rsidR="007B72A1" w:rsidRPr="00E52930">
        <w:rPr>
          <w:i/>
          <w:iCs/>
          <w:sz w:val="24"/>
          <w:szCs w:val="24"/>
          <w:lang w:val="mk-MK"/>
        </w:rPr>
        <w:t>collegia</w:t>
      </w:r>
      <w:r w:rsidR="007B72A1" w:rsidRPr="007B72A1">
        <w:rPr>
          <w:sz w:val="24"/>
          <w:szCs w:val="24"/>
          <w:lang w:val="mk-MK"/>
        </w:rPr>
        <w:t xml:space="preserve"> еволуирала и го поставила темелот за подоцнежниот развој на корпоративните структури.</w:t>
      </w:r>
      <w:r w:rsidR="00E52930">
        <w:rPr>
          <w:sz w:val="24"/>
          <w:szCs w:val="24"/>
          <w:lang w:val="mk-MK"/>
        </w:rPr>
        <w:t xml:space="preserve"> </w:t>
      </w:r>
      <w:r w:rsidR="00505932" w:rsidRPr="00505932">
        <w:rPr>
          <w:sz w:val="24"/>
          <w:szCs w:val="24"/>
          <w:lang w:val="mk-MK"/>
        </w:rPr>
        <w:t xml:space="preserve">Она што е важно е дека римското право им признавало одреден степен на независност </w:t>
      </w:r>
      <w:r w:rsidR="00E52930">
        <w:rPr>
          <w:sz w:val="24"/>
          <w:szCs w:val="24"/>
          <w:lang w:val="mk-MK"/>
        </w:rPr>
        <w:t>н</w:t>
      </w:r>
      <w:r w:rsidR="00F06EED">
        <w:rPr>
          <w:sz w:val="24"/>
          <w:szCs w:val="24"/>
          <w:lang w:val="mk-MK"/>
        </w:rPr>
        <w:t>а</w:t>
      </w:r>
      <w:r w:rsidR="00505932" w:rsidRPr="00505932">
        <w:rPr>
          <w:sz w:val="24"/>
          <w:szCs w:val="24"/>
          <w:lang w:val="mk-MK"/>
        </w:rPr>
        <w:t xml:space="preserve"> членови</w:t>
      </w:r>
      <w:r w:rsidR="00F06EED">
        <w:rPr>
          <w:sz w:val="24"/>
          <w:szCs w:val="24"/>
          <w:lang w:val="mk-MK"/>
        </w:rPr>
        <w:t>те односно тогашните „раководители“</w:t>
      </w:r>
      <w:r w:rsidR="00505932" w:rsidRPr="00505932">
        <w:rPr>
          <w:sz w:val="24"/>
          <w:szCs w:val="24"/>
          <w:lang w:val="mk-MK"/>
        </w:rPr>
        <w:t>, овозможувајќи им да поседуваат имот, да склучуваат договори и да водат правни постапки како посебни правни субјекти.</w:t>
      </w:r>
      <w:r w:rsidR="00037830">
        <w:rPr>
          <w:rStyle w:val="FootnoteReference"/>
          <w:sz w:val="24"/>
          <w:szCs w:val="24"/>
          <w:lang w:val="mk-MK"/>
        </w:rPr>
        <w:footnoteReference w:id="63"/>
      </w:r>
      <w:r w:rsidR="00505932" w:rsidRPr="00505932">
        <w:rPr>
          <w:sz w:val="24"/>
          <w:szCs w:val="24"/>
          <w:lang w:val="mk-MK"/>
        </w:rPr>
        <w:t xml:space="preserve"> Ова е рана форма на одвојување на ентитетот од индивидуалните членови, што е темелен принцип на модерното корпоративно управување.</w:t>
      </w:r>
      <w:r w:rsidR="00D8572D">
        <w:rPr>
          <w:rStyle w:val="FootnoteReference"/>
          <w:sz w:val="24"/>
          <w:szCs w:val="24"/>
          <w:lang w:val="mk-MK"/>
        </w:rPr>
        <w:footnoteReference w:id="64"/>
      </w:r>
    </w:p>
    <w:p w14:paraId="3C7054F8" w14:textId="5A71E5FA" w:rsidR="004B7ABF" w:rsidRDefault="002A144C" w:rsidP="00ED2B59">
      <w:pPr>
        <w:spacing w:before="240"/>
        <w:ind w:firstLine="720"/>
        <w:jc w:val="both"/>
        <w:rPr>
          <w:sz w:val="24"/>
          <w:szCs w:val="24"/>
          <w:lang w:val="en-US"/>
        </w:rPr>
      </w:pPr>
      <w:r w:rsidRPr="002A144C">
        <w:rPr>
          <w:sz w:val="24"/>
          <w:szCs w:val="24"/>
          <w:lang w:val="mk-MK"/>
        </w:rPr>
        <w:t>Преминот кон посложени форми на корпоративно управување се случил во доцниот среден век со развојот на големите трговски компании, особено оние кои се занимавале со меѓународна трговија и колонизација.</w:t>
      </w:r>
      <w:r w:rsidR="00135D81">
        <w:rPr>
          <w:rStyle w:val="FootnoteReference"/>
          <w:sz w:val="24"/>
          <w:szCs w:val="24"/>
          <w:lang w:val="mk-MK"/>
        </w:rPr>
        <w:footnoteReference w:id="65"/>
      </w:r>
      <w:r w:rsidRPr="002A144C">
        <w:rPr>
          <w:sz w:val="24"/>
          <w:szCs w:val="24"/>
          <w:lang w:val="mk-MK"/>
        </w:rPr>
        <w:t xml:space="preserve"> Овие компании </w:t>
      </w:r>
      <w:r w:rsidR="00135D81">
        <w:rPr>
          <w:sz w:val="24"/>
          <w:szCs w:val="24"/>
          <w:lang w:val="mk-MK"/>
        </w:rPr>
        <w:t xml:space="preserve">првенствено </w:t>
      </w:r>
      <w:r w:rsidRPr="002A144C">
        <w:rPr>
          <w:sz w:val="24"/>
          <w:szCs w:val="24"/>
          <w:lang w:val="mk-MK"/>
        </w:rPr>
        <w:t xml:space="preserve">барале </w:t>
      </w:r>
      <w:r w:rsidR="00135D81">
        <w:rPr>
          <w:sz w:val="24"/>
          <w:szCs w:val="24"/>
          <w:lang w:val="mk-MK"/>
        </w:rPr>
        <w:t xml:space="preserve">експлоатација, </w:t>
      </w:r>
      <w:r w:rsidRPr="002A144C">
        <w:rPr>
          <w:sz w:val="24"/>
          <w:szCs w:val="24"/>
          <w:lang w:val="mk-MK"/>
        </w:rPr>
        <w:t xml:space="preserve">значителен капитал и долгорочни инвестиции, што довело до </w:t>
      </w:r>
      <w:r w:rsidR="00135D81">
        <w:rPr>
          <w:sz w:val="24"/>
          <w:szCs w:val="24"/>
          <w:lang w:val="mk-MK"/>
        </w:rPr>
        <w:t>нови</w:t>
      </w:r>
      <w:r w:rsidR="007348AC">
        <w:rPr>
          <w:sz w:val="24"/>
          <w:szCs w:val="24"/>
          <w:lang w:val="mk-MK"/>
        </w:rPr>
        <w:t xml:space="preserve"> и брутални</w:t>
      </w:r>
      <w:r w:rsidRPr="002A144C">
        <w:rPr>
          <w:sz w:val="24"/>
          <w:szCs w:val="24"/>
          <w:lang w:val="mk-MK"/>
        </w:rPr>
        <w:t xml:space="preserve"> начини на финансирање и управување</w:t>
      </w:r>
      <w:r w:rsidR="00272217">
        <w:rPr>
          <w:sz w:val="24"/>
          <w:szCs w:val="24"/>
          <w:lang w:val="mk-MK"/>
        </w:rPr>
        <w:t xml:space="preserve"> </w:t>
      </w:r>
      <w:r w:rsidR="006217F5" w:rsidRPr="006217F5">
        <w:rPr>
          <w:sz w:val="24"/>
          <w:szCs w:val="24"/>
          <w:lang w:val="mk-MK"/>
        </w:rPr>
        <w:t>во Европа.</w:t>
      </w:r>
      <w:r w:rsidR="00634993">
        <w:rPr>
          <w:rStyle w:val="FootnoteReference"/>
          <w:sz w:val="24"/>
          <w:szCs w:val="24"/>
          <w:lang w:val="mk-MK"/>
        </w:rPr>
        <w:footnoteReference w:id="66"/>
      </w:r>
      <w:r w:rsidR="006217F5" w:rsidRPr="006217F5">
        <w:rPr>
          <w:sz w:val="24"/>
          <w:szCs w:val="24"/>
          <w:lang w:val="mk-MK"/>
        </w:rPr>
        <w:t xml:space="preserve"> На пример,</w:t>
      </w:r>
      <w:r w:rsidR="00704626">
        <w:rPr>
          <w:sz w:val="24"/>
          <w:szCs w:val="24"/>
          <w:lang w:val="en-US"/>
        </w:rPr>
        <w:t xml:space="preserve"> </w:t>
      </w:r>
      <w:r w:rsidR="00704626">
        <w:rPr>
          <w:sz w:val="24"/>
          <w:szCs w:val="24"/>
          <w:lang w:val="mk-MK"/>
        </w:rPr>
        <w:t>холандско-британската</w:t>
      </w:r>
      <w:r w:rsidR="006217F5" w:rsidRPr="006217F5">
        <w:rPr>
          <w:sz w:val="24"/>
          <w:szCs w:val="24"/>
          <w:lang w:val="mk-MK"/>
        </w:rPr>
        <w:t xml:space="preserve"> Источноиндиска компанија</w:t>
      </w:r>
      <w:r w:rsidR="00634993">
        <w:rPr>
          <w:sz w:val="24"/>
          <w:szCs w:val="24"/>
          <w:lang w:val="en-US"/>
        </w:rPr>
        <w:t xml:space="preserve">, </w:t>
      </w:r>
      <w:r w:rsidR="006217F5" w:rsidRPr="006217F5">
        <w:rPr>
          <w:sz w:val="24"/>
          <w:szCs w:val="24"/>
          <w:lang w:val="mk-MK"/>
        </w:rPr>
        <w:t>основана во 1600 година</w:t>
      </w:r>
      <w:r w:rsidR="00634993">
        <w:rPr>
          <w:sz w:val="24"/>
          <w:szCs w:val="24"/>
          <w:lang w:val="en-US"/>
        </w:rPr>
        <w:t>,</w:t>
      </w:r>
      <w:r w:rsidR="006217F5" w:rsidRPr="006217F5">
        <w:rPr>
          <w:sz w:val="24"/>
          <w:szCs w:val="24"/>
          <w:lang w:val="mk-MK"/>
        </w:rPr>
        <w:t xml:space="preserve"> го вовела моделот на акционерско друштво со ограничена одговорност и одвојување на сопственоста од управувањето.</w:t>
      </w:r>
      <w:r w:rsidR="00314AED">
        <w:rPr>
          <w:rStyle w:val="FootnoteReference"/>
          <w:sz w:val="24"/>
          <w:szCs w:val="24"/>
          <w:lang w:val="mk-MK"/>
        </w:rPr>
        <w:footnoteReference w:id="67"/>
      </w:r>
      <w:r w:rsidR="006217F5" w:rsidRPr="006217F5">
        <w:rPr>
          <w:sz w:val="24"/>
          <w:szCs w:val="24"/>
          <w:lang w:val="mk-MK"/>
        </w:rPr>
        <w:t xml:space="preserve"> Овој концепт бил зацврстен со </w:t>
      </w:r>
      <w:r w:rsidR="007F7BFD">
        <w:rPr>
          <w:sz w:val="24"/>
          <w:szCs w:val="24"/>
          <w:lang w:val="mk-MK"/>
        </w:rPr>
        <w:t xml:space="preserve">таканаречениот </w:t>
      </w:r>
      <w:r w:rsidR="006217F5" w:rsidRPr="006217F5">
        <w:rPr>
          <w:sz w:val="24"/>
          <w:szCs w:val="24"/>
          <w:lang w:val="mk-MK"/>
        </w:rPr>
        <w:t xml:space="preserve">Закон за меурчиња (1720), </w:t>
      </w:r>
      <w:r w:rsidR="00967DFA">
        <w:rPr>
          <w:sz w:val="24"/>
          <w:szCs w:val="24"/>
          <w:lang w:val="mk-MK"/>
        </w:rPr>
        <w:t xml:space="preserve">кој </w:t>
      </w:r>
      <w:r w:rsidR="00967DFA" w:rsidRPr="00967DFA">
        <w:rPr>
          <w:sz w:val="24"/>
          <w:szCs w:val="24"/>
          <w:lang w:val="mk-MK"/>
        </w:rPr>
        <w:t>бил донесен во Велика Британија како реакција на шпекулативниот бум и колапс на неколку новоформирани компании</w:t>
      </w:r>
      <w:r w:rsidR="00967DFA">
        <w:rPr>
          <w:sz w:val="24"/>
          <w:szCs w:val="24"/>
          <w:lang w:val="mk-MK"/>
        </w:rPr>
        <w:t xml:space="preserve">, </w:t>
      </w:r>
      <w:r w:rsidR="00967DFA" w:rsidRPr="00967DFA">
        <w:rPr>
          <w:sz w:val="24"/>
          <w:szCs w:val="24"/>
          <w:lang w:val="mk-MK"/>
        </w:rPr>
        <w:t xml:space="preserve">познат како Јужноморски меур. Законот </w:t>
      </w:r>
      <w:r w:rsidR="00967DFA" w:rsidRPr="00967DFA">
        <w:rPr>
          <w:sz w:val="24"/>
          <w:szCs w:val="24"/>
          <w:lang w:val="mk-MK"/>
        </w:rPr>
        <w:lastRenderedPageBreak/>
        <w:t>имал за цел да г</w:t>
      </w:r>
      <w:r w:rsidR="005D40D2">
        <w:rPr>
          <w:sz w:val="24"/>
          <w:szCs w:val="24"/>
          <w:lang w:val="mk-MK"/>
        </w:rPr>
        <w:t>о</w:t>
      </w:r>
      <w:r w:rsidR="00967DFA" w:rsidRPr="00967DFA">
        <w:rPr>
          <w:sz w:val="24"/>
          <w:szCs w:val="24"/>
          <w:lang w:val="mk-MK"/>
        </w:rPr>
        <w:t xml:space="preserve"> ограничи формирањето на акционерски друштва без кралска повелба или парламентарна дозвола, со што привремено го забавил развојот на корпорациите.</w:t>
      </w:r>
      <w:r w:rsidR="004B7ABF">
        <w:rPr>
          <w:rStyle w:val="FootnoteReference"/>
          <w:sz w:val="24"/>
          <w:szCs w:val="24"/>
          <w:lang w:val="mk-MK"/>
        </w:rPr>
        <w:footnoteReference w:id="68"/>
      </w:r>
    </w:p>
    <w:p w14:paraId="522584B2" w14:textId="7DC5DA8F" w:rsidR="006217F5" w:rsidRDefault="00727272" w:rsidP="0078169F">
      <w:pPr>
        <w:spacing w:before="240"/>
        <w:ind w:firstLine="720"/>
        <w:jc w:val="both"/>
        <w:rPr>
          <w:sz w:val="24"/>
          <w:szCs w:val="24"/>
          <w:lang w:val="mk-MK"/>
        </w:rPr>
      </w:pPr>
      <w:r>
        <w:rPr>
          <w:sz w:val="24"/>
          <w:szCs w:val="24"/>
          <w:lang w:val="mk-MK"/>
        </w:rPr>
        <w:t xml:space="preserve">Ваквото решение </w:t>
      </w:r>
      <w:r w:rsidR="00776C43">
        <w:rPr>
          <w:sz w:val="24"/>
          <w:szCs w:val="24"/>
          <w:lang w:val="mk-MK"/>
        </w:rPr>
        <w:t>се покажало како неодржливо в</w:t>
      </w:r>
      <w:r w:rsidR="00776C43" w:rsidRPr="00776C43">
        <w:rPr>
          <w:sz w:val="24"/>
          <w:szCs w:val="24"/>
          <w:lang w:val="mk-MK"/>
        </w:rPr>
        <w:t>о текот на 19-тиот век</w:t>
      </w:r>
      <w:r w:rsidR="0078169F">
        <w:rPr>
          <w:sz w:val="24"/>
          <w:szCs w:val="24"/>
          <w:lang w:val="en-US"/>
        </w:rPr>
        <w:t xml:space="preserve"> </w:t>
      </w:r>
      <w:r w:rsidR="0078169F">
        <w:rPr>
          <w:sz w:val="24"/>
          <w:szCs w:val="24"/>
          <w:lang w:val="mk-MK"/>
        </w:rPr>
        <w:t>пред се заради</w:t>
      </w:r>
      <w:r w:rsidR="00776C43" w:rsidRPr="00776C43">
        <w:rPr>
          <w:sz w:val="24"/>
          <w:szCs w:val="24"/>
          <w:lang w:val="mk-MK"/>
        </w:rPr>
        <w:t xml:space="preserve"> напредокот на индустриската револуција</w:t>
      </w:r>
      <w:r w:rsidR="0078169F">
        <w:rPr>
          <w:sz w:val="24"/>
          <w:szCs w:val="24"/>
          <w:lang w:val="mk-MK"/>
        </w:rPr>
        <w:t xml:space="preserve"> и</w:t>
      </w:r>
      <w:r w:rsidR="00776C43" w:rsidRPr="00776C43">
        <w:rPr>
          <w:sz w:val="24"/>
          <w:szCs w:val="24"/>
          <w:lang w:val="mk-MK"/>
        </w:rPr>
        <w:t xml:space="preserve"> потребата за големи инвестиции и поголеми компании.</w:t>
      </w:r>
      <w:r w:rsidR="0084183C">
        <w:rPr>
          <w:rStyle w:val="FootnoteReference"/>
          <w:sz w:val="24"/>
          <w:szCs w:val="24"/>
          <w:lang w:val="mk-MK"/>
        </w:rPr>
        <w:footnoteReference w:id="69"/>
      </w:r>
      <w:r w:rsidR="00776C43" w:rsidRPr="00776C43">
        <w:rPr>
          <w:sz w:val="24"/>
          <w:szCs w:val="24"/>
          <w:lang w:val="mk-MK"/>
        </w:rPr>
        <w:t xml:space="preserve"> Ограничувањата на Законот за меурчиња станале пречка за економскиот развој, што довело до негово постепено укинување</w:t>
      </w:r>
      <w:r w:rsidR="0078169F">
        <w:rPr>
          <w:sz w:val="24"/>
          <w:szCs w:val="24"/>
          <w:lang w:val="mk-MK"/>
        </w:rPr>
        <w:t xml:space="preserve"> и општа</w:t>
      </w:r>
      <w:r w:rsidR="006217F5" w:rsidRPr="006217F5">
        <w:rPr>
          <w:sz w:val="24"/>
          <w:szCs w:val="24"/>
          <w:lang w:val="mk-MK"/>
        </w:rPr>
        <w:t xml:space="preserve"> достапн</w:t>
      </w:r>
      <w:r w:rsidR="0078169F">
        <w:rPr>
          <w:sz w:val="24"/>
          <w:szCs w:val="24"/>
          <w:lang w:val="mk-MK"/>
        </w:rPr>
        <w:t>ост на оваа форма</w:t>
      </w:r>
      <w:r w:rsidR="00AF7D88">
        <w:rPr>
          <w:sz w:val="24"/>
          <w:szCs w:val="24"/>
          <w:lang w:val="mk-MK"/>
        </w:rPr>
        <w:t xml:space="preserve"> на</w:t>
      </w:r>
      <w:r w:rsidR="00AF3D09">
        <w:rPr>
          <w:sz w:val="24"/>
          <w:szCs w:val="24"/>
          <w:lang w:val="mk-MK"/>
        </w:rPr>
        <w:t xml:space="preserve"> здружување</w:t>
      </w:r>
      <w:r w:rsidR="006217F5" w:rsidRPr="006217F5">
        <w:rPr>
          <w:sz w:val="24"/>
          <w:szCs w:val="24"/>
          <w:lang w:val="mk-MK"/>
        </w:rPr>
        <w:t xml:space="preserve"> преку Законот за заеднички акционерски компании (1844) и Законот за ограничена одговорност (1855).</w:t>
      </w:r>
      <w:r w:rsidR="0084183C">
        <w:rPr>
          <w:rStyle w:val="FootnoteReference"/>
          <w:sz w:val="24"/>
          <w:szCs w:val="24"/>
          <w:lang w:val="mk-MK"/>
        </w:rPr>
        <w:footnoteReference w:id="70"/>
      </w:r>
      <w:r w:rsidR="006217F5" w:rsidRPr="006217F5">
        <w:rPr>
          <w:sz w:val="24"/>
          <w:szCs w:val="24"/>
          <w:lang w:val="mk-MK"/>
        </w:rPr>
        <w:t xml:space="preserve"> Овие акти </w:t>
      </w:r>
      <w:r w:rsidR="00626E2C" w:rsidRPr="00626E2C">
        <w:rPr>
          <w:sz w:val="24"/>
          <w:szCs w:val="24"/>
          <w:lang w:val="mk-MK"/>
        </w:rPr>
        <w:t xml:space="preserve">овозможиле полесно формирање на компании со ограничена одговорност преку регистрација, без потреба од посебни кралски повелби или парламентарни </w:t>
      </w:r>
      <w:r w:rsidR="00D7121E">
        <w:rPr>
          <w:sz w:val="24"/>
          <w:szCs w:val="24"/>
          <w:lang w:val="mk-MK"/>
        </w:rPr>
        <w:t xml:space="preserve">дозволи и ги </w:t>
      </w:r>
      <w:r w:rsidR="006217F5" w:rsidRPr="006217F5">
        <w:rPr>
          <w:sz w:val="24"/>
          <w:szCs w:val="24"/>
          <w:lang w:val="mk-MK"/>
        </w:rPr>
        <w:t>институционализирале клучните принципи</w:t>
      </w:r>
      <w:r w:rsidR="00AF3D09">
        <w:rPr>
          <w:sz w:val="24"/>
          <w:szCs w:val="24"/>
          <w:lang w:val="mk-MK"/>
        </w:rPr>
        <w:t xml:space="preserve"> </w:t>
      </w:r>
      <w:r w:rsidR="009B0C7F">
        <w:rPr>
          <w:sz w:val="24"/>
          <w:szCs w:val="24"/>
          <w:lang w:val="mk-MK"/>
        </w:rPr>
        <w:t>на п</w:t>
      </w:r>
      <w:r w:rsidR="009B0C7F" w:rsidRPr="009B0C7F">
        <w:rPr>
          <w:sz w:val="24"/>
          <w:szCs w:val="24"/>
          <w:lang w:val="mk-MK"/>
        </w:rPr>
        <w:t>рав</w:t>
      </w:r>
      <w:r w:rsidR="009B0C7F">
        <w:rPr>
          <w:sz w:val="24"/>
          <w:szCs w:val="24"/>
          <w:lang w:val="mk-MK"/>
        </w:rPr>
        <w:t>ен статус</w:t>
      </w:r>
      <w:r w:rsidR="009B0C7F" w:rsidRPr="009B0C7F">
        <w:rPr>
          <w:sz w:val="24"/>
          <w:szCs w:val="24"/>
          <w:lang w:val="mk-MK"/>
        </w:rPr>
        <w:t xml:space="preserve">, </w:t>
      </w:r>
      <w:r w:rsidR="009B0C7F">
        <w:rPr>
          <w:sz w:val="24"/>
          <w:szCs w:val="24"/>
          <w:lang w:val="mk-MK"/>
        </w:rPr>
        <w:t>о</w:t>
      </w:r>
      <w:r w:rsidR="009B0C7F" w:rsidRPr="009B0C7F">
        <w:rPr>
          <w:sz w:val="24"/>
          <w:szCs w:val="24"/>
          <w:lang w:val="mk-MK"/>
        </w:rPr>
        <w:t xml:space="preserve">граничена одговорност, </w:t>
      </w:r>
      <w:r w:rsidR="00EA7788">
        <w:rPr>
          <w:sz w:val="24"/>
          <w:szCs w:val="24"/>
          <w:lang w:val="mk-MK"/>
        </w:rPr>
        <w:t>п</w:t>
      </w:r>
      <w:r w:rsidR="009B0C7F" w:rsidRPr="009B0C7F">
        <w:rPr>
          <w:sz w:val="24"/>
          <w:szCs w:val="24"/>
          <w:lang w:val="mk-MK"/>
        </w:rPr>
        <w:t>реносливост на акциит</w:t>
      </w:r>
      <w:r w:rsidR="00EA7788">
        <w:rPr>
          <w:sz w:val="24"/>
          <w:szCs w:val="24"/>
          <w:lang w:val="mk-MK"/>
        </w:rPr>
        <w:t>е и ц</w:t>
      </w:r>
      <w:r w:rsidR="009B0C7F" w:rsidRPr="009B0C7F">
        <w:rPr>
          <w:sz w:val="24"/>
          <w:szCs w:val="24"/>
          <w:lang w:val="mk-MK"/>
        </w:rPr>
        <w:t>ентрализирано управување преку одбор на директори.</w:t>
      </w:r>
      <w:r w:rsidR="0084183C">
        <w:rPr>
          <w:rStyle w:val="FootnoteReference"/>
          <w:sz w:val="24"/>
          <w:szCs w:val="24"/>
          <w:lang w:val="mk-MK"/>
        </w:rPr>
        <w:footnoteReference w:id="71"/>
      </w:r>
    </w:p>
    <w:p w14:paraId="42A67C9A" w14:textId="35D73C34" w:rsidR="00D82157" w:rsidRDefault="0091577B" w:rsidP="005F13C5">
      <w:pPr>
        <w:spacing w:before="240"/>
        <w:ind w:firstLine="720"/>
        <w:jc w:val="both"/>
        <w:rPr>
          <w:sz w:val="24"/>
          <w:szCs w:val="24"/>
          <w:lang w:val="mk-MK"/>
        </w:rPr>
      </w:pPr>
      <w:r>
        <w:rPr>
          <w:sz w:val="24"/>
          <w:szCs w:val="24"/>
          <w:lang w:val="mk-MK"/>
        </w:rPr>
        <w:t xml:space="preserve">Наведените </w:t>
      </w:r>
      <w:r w:rsidRPr="0091577B">
        <w:rPr>
          <w:sz w:val="24"/>
          <w:szCs w:val="24"/>
          <w:lang w:val="mk-MK"/>
        </w:rPr>
        <w:t>законодавни рамки од 19-тиот век ги постави</w:t>
      </w:r>
      <w:r w:rsidR="00C20B41">
        <w:rPr>
          <w:sz w:val="24"/>
          <w:szCs w:val="24"/>
          <w:lang w:val="mk-MK"/>
        </w:rPr>
        <w:t>ле</w:t>
      </w:r>
      <w:r w:rsidRPr="0091577B">
        <w:rPr>
          <w:sz w:val="24"/>
          <w:szCs w:val="24"/>
          <w:lang w:val="mk-MK"/>
        </w:rPr>
        <w:t xml:space="preserve"> темелите за развојот на корпоративното уредување какво што го знаеме денес.</w:t>
      </w:r>
      <w:r w:rsidR="00806BA7">
        <w:rPr>
          <w:rStyle w:val="FootnoteReference"/>
          <w:sz w:val="24"/>
          <w:szCs w:val="24"/>
          <w:lang w:val="mk-MK"/>
        </w:rPr>
        <w:footnoteReference w:id="72"/>
      </w:r>
      <w:r w:rsidRPr="0091577B">
        <w:rPr>
          <w:sz w:val="24"/>
          <w:szCs w:val="24"/>
          <w:lang w:val="mk-MK"/>
        </w:rPr>
        <w:t xml:space="preserve"> Со текот на времето, </w:t>
      </w:r>
      <w:r w:rsidR="00EE2E93">
        <w:rPr>
          <w:sz w:val="24"/>
          <w:szCs w:val="24"/>
          <w:lang w:val="mk-MK"/>
        </w:rPr>
        <w:t xml:space="preserve">низ светот </w:t>
      </w:r>
      <w:r w:rsidRPr="0091577B">
        <w:rPr>
          <w:sz w:val="24"/>
          <w:szCs w:val="24"/>
          <w:lang w:val="mk-MK"/>
        </w:rPr>
        <w:t>се разви</w:t>
      </w:r>
      <w:r w:rsidR="00EE2E93">
        <w:rPr>
          <w:sz w:val="24"/>
          <w:szCs w:val="24"/>
          <w:lang w:val="mk-MK"/>
        </w:rPr>
        <w:t>ле</w:t>
      </w:r>
      <w:r w:rsidRPr="0091577B">
        <w:rPr>
          <w:sz w:val="24"/>
          <w:szCs w:val="24"/>
          <w:lang w:val="mk-MK"/>
        </w:rPr>
        <w:t xml:space="preserve"> дополнителни закони и регулативи кои се фокусираат на заштита на инвеститорите, транспарентност</w:t>
      </w:r>
      <w:r w:rsidR="00574D56">
        <w:rPr>
          <w:sz w:val="24"/>
          <w:szCs w:val="24"/>
          <w:lang w:val="mk-MK"/>
        </w:rPr>
        <w:t>а</w:t>
      </w:r>
      <w:r w:rsidRPr="0091577B">
        <w:rPr>
          <w:sz w:val="24"/>
          <w:szCs w:val="24"/>
          <w:lang w:val="mk-MK"/>
        </w:rPr>
        <w:t>, одговорност</w:t>
      </w:r>
      <w:r w:rsidR="00C20B41">
        <w:rPr>
          <w:sz w:val="24"/>
          <w:szCs w:val="24"/>
          <w:lang w:val="mk-MK"/>
        </w:rPr>
        <w:t>а</w:t>
      </w:r>
      <w:r w:rsidRPr="0091577B">
        <w:rPr>
          <w:sz w:val="24"/>
          <w:szCs w:val="24"/>
          <w:lang w:val="mk-MK"/>
        </w:rPr>
        <w:t xml:space="preserve"> на директорите и менаџментот, како и на други аспекти на доброто корпоративно управување.</w:t>
      </w:r>
      <w:r w:rsidR="005F13C5">
        <w:rPr>
          <w:sz w:val="24"/>
          <w:szCs w:val="24"/>
          <w:lang w:val="mk-MK"/>
        </w:rPr>
        <w:t xml:space="preserve"> </w:t>
      </w:r>
      <w:r w:rsidR="002B23B6">
        <w:rPr>
          <w:sz w:val="24"/>
          <w:szCs w:val="24"/>
          <w:lang w:val="mk-MK"/>
        </w:rPr>
        <w:t>Останало</w:t>
      </w:r>
      <w:r w:rsidR="005B4DEB">
        <w:rPr>
          <w:sz w:val="24"/>
          <w:szCs w:val="24"/>
          <w:lang w:val="mk-MK"/>
        </w:rPr>
        <w:t xml:space="preserve"> п</w:t>
      </w:r>
      <w:r w:rsidR="00EF467C" w:rsidRPr="00EF467C">
        <w:rPr>
          <w:sz w:val="24"/>
          <w:szCs w:val="24"/>
          <w:lang w:val="mk-MK"/>
        </w:rPr>
        <w:t xml:space="preserve">равната структура на корпорациите </w:t>
      </w:r>
      <w:r w:rsidR="002B23B6">
        <w:rPr>
          <w:sz w:val="24"/>
          <w:szCs w:val="24"/>
          <w:lang w:val="mk-MK"/>
        </w:rPr>
        <w:t xml:space="preserve">да </w:t>
      </w:r>
      <w:r w:rsidR="00EF467C" w:rsidRPr="00EF467C">
        <w:rPr>
          <w:sz w:val="24"/>
          <w:szCs w:val="24"/>
          <w:lang w:val="mk-MK"/>
        </w:rPr>
        <w:t xml:space="preserve">се базира на тријадниот однос </w:t>
      </w:r>
      <w:r w:rsidR="005B4DEB">
        <w:rPr>
          <w:sz w:val="24"/>
          <w:szCs w:val="24"/>
          <w:lang w:val="mk-MK"/>
        </w:rPr>
        <w:t>по</w:t>
      </w:r>
      <w:r w:rsidR="00EF467C" w:rsidRPr="00EF467C">
        <w:rPr>
          <w:sz w:val="24"/>
          <w:szCs w:val="24"/>
          <w:lang w:val="mk-MK"/>
        </w:rPr>
        <w:t xml:space="preserve">меѓу: </w:t>
      </w:r>
      <w:r w:rsidR="005B4DEB">
        <w:rPr>
          <w:sz w:val="24"/>
          <w:szCs w:val="24"/>
          <w:lang w:val="mk-MK"/>
        </w:rPr>
        <w:t>а</w:t>
      </w:r>
      <w:r w:rsidR="00EF467C" w:rsidRPr="00EF467C">
        <w:rPr>
          <w:sz w:val="24"/>
          <w:szCs w:val="24"/>
          <w:lang w:val="mk-MK"/>
        </w:rPr>
        <w:t xml:space="preserve">кционерите (сопственици), </w:t>
      </w:r>
      <w:r w:rsidR="005B4DEB">
        <w:rPr>
          <w:sz w:val="24"/>
          <w:szCs w:val="24"/>
          <w:lang w:val="mk-MK"/>
        </w:rPr>
        <w:t>д</w:t>
      </w:r>
      <w:r w:rsidR="00EF467C" w:rsidRPr="00EF467C">
        <w:rPr>
          <w:sz w:val="24"/>
          <w:szCs w:val="24"/>
          <w:lang w:val="mk-MK"/>
        </w:rPr>
        <w:t>иректорите (</w:t>
      </w:r>
      <w:r w:rsidR="00FF6426">
        <w:rPr>
          <w:sz w:val="24"/>
          <w:szCs w:val="24"/>
          <w:lang w:val="mk-MK"/>
        </w:rPr>
        <w:t>повереници</w:t>
      </w:r>
      <w:r w:rsidR="00EF467C" w:rsidRPr="00EF467C">
        <w:rPr>
          <w:sz w:val="24"/>
          <w:szCs w:val="24"/>
          <w:lang w:val="mk-MK"/>
        </w:rPr>
        <w:t>)</w:t>
      </w:r>
      <w:r w:rsidR="005B4DEB">
        <w:rPr>
          <w:sz w:val="24"/>
          <w:szCs w:val="24"/>
          <w:lang w:val="mk-MK"/>
        </w:rPr>
        <w:t xml:space="preserve"> и м</w:t>
      </w:r>
      <w:r w:rsidR="00EF467C" w:rsidRPr="00EF467C">
        <w:rPr>
          <w:sz w:val="24"/>
          <w:szCs w:val="24"/>
          <w:lang w:val="mk-MK"/>
        </w:rPr>
        <w:t>енаџерите (агенти).</w:t>
      </w:r>
      <w:r w:rsidR="00806BA7">
        <w:rPr>
          <w:rStyle w:val="FootnoteReference"/>
          <w:sz w:val="24"/>
          <w:szCs w:val="24"/>
          <w:lang w:val="mk-MK"/>
        </w:rPr>
        <w:footnoteReference w:id="73"/>
      </w:r>
      <w:r w:rsidR="00EF467C" w:rsidRPr="00EF467C">
        <w:rPr>
          <w:sz w:val="24"/>
          <w:szCs w:val="24"/>
          <w:lang w:val="mk-MK"/>
        </w:rPr>
        <w:t xml:space="preserve"> Оваа структура создава агентски проблем, каде постои ризик директорите и менаџерите да не дејствуваат во интерес на акционерите. Како одговор, развиени се: </w:t>
      </w:r>
      <w:r w:rsidR="00D82157">
        <w:rPr>
          <w:sz w:val="24"/>
          <w:szCs w:val="24"/>
          <w:lang w:val="mk-MK"/>
        </w:rPr>
        <w:t>ф</w:t>
      </w:r>
      <w:r w:rsidR="00EF467C" w:rsidRPr="00EF467C">
        <w:rPr>
          <w:sz w:val="24"/>
          <w:szCs w:val="24"/>
          <w:lang w:val="mk-MK"/>
        </w:rPr>
        <w:t>идуцијарни должности (лојалност и внимателност)</w:t>
      </w:r>
      <w:r w:rsidR="00D82157">
        <w:rPr>
          <w:sz w:val="24"/>
          <w:szCs w:val="24"/>
          <w:lang w:val="mk-MK"/>
        </w:rPr>
        <w:t xml:space="preserve"> и м</w:t>
      </w:r>
      <w:r w:rsidR="00EF467C" w:rsidRPr="00EF467C">
        <w:rPr>
          <w:sz w:val="24"/>
          <w:szCs w:val="24"/>
          <w:lang w:val="mk-MK"/>
        </w:rPr>
        <w:t xml:space="preserve">еханизми за отчетност (гласачки права, ревизии, транспарентност). </w:t>
      </w:r>
    </w:p>
    <w:p w14:paraId="7E356557" w14:textId="0464CEC1" w:rsidR="00E128CF" w:rsidRDefault="00CA7C6C" w:rsidP="00D22054">
      <w:pPr>
        <w:spacing w:before="240" w:after="240"/>
        <w:ind w:firstLine="720"/>
        <w:jc w:val="both"/>
        <w:rPr>
          <w:sz w:val="24"/>
          <w:szCs w:val="24"/>
          <w:lang w:val="mk-MK"/>
        </w:rPr>
      </w:pPr>
      <w:r>
        <w:rPr>
          <w:sz w:val="24"/>
          <w:szCs w:val="24"/>
          <w:lang w:val="mk-MK"/>
        </w:rPr>
        <w:t>В</w:t>
      </w:r>
      <w:r w:rsidR="00EF467C" w:rsidRPr="00EF467C">
        <w:rPr>
          <w:sz w:val="24"/>
          <w:szCs w:val="24"/>
          <w:lang w:val="mk-MK"/>
        </w:rPr>
        <w:t xml:space="preserve">о </w:t>
      </w:r>
      <w:r w:rsidR="003F534E">
        <w:rPr>
          <w:sz w:val="24"/>
          <w:szCs w:val="24"/>
          <w:lang w:val="mk-MK"/>
        </w:rPr>
        <w:t>правнички речник ова значи дека почнале да се развиваат различни модели и прав</w:t>
      </w:r>
      <w:r>
        <w:rPr>
          <w:sz w:val="24"/>
          <w:szCs w:val="24"/>
          <w:lang w:val="mk-MK"/>
        </w:rPr>
        <w:t>ц</w:t>
      </w:r>
      <w:r w:rsidR="003F534E">
        <w:rPr>
          <w:sz w:val="24"/>
          <w:szCs w:val="24"/>
          <w:lang w:val="mk-MK"/>
        </w:rPr>
        <w:t xml:space="preserve">и на регулација на корпоративното управување. </w:t>
      </w:r>
      <w:r>
        <w:rPr>
          <w:sz w:val="24"/>
          <w:szCs w:val="24"/>
          <w:lang w:val="mk-MK"/>
        </w:rPr>
        <w:t xml:space="preserve">На пример, </w:t>
      </w:r>
      <w:r w:rsidR="00EF467C" w:rsidRPr="00EF467C">
        <w:rPr>
          <w:sz w:val="24"/>
          <w:szCs w:val="24"/>
          <w:lang w:val="mk-MK"/>
        </w:rPr>
        <w:t>англосаксонскиот правен систем</w:t>
      </w:r>
      <w:r w:rsidR="001E4272">
        <w:rPr>
          <w:sz w:val="24"/>
          <w:szCs w:val="24"/>
          <w:lang w:val="mk-MK"/>
        </w:rPr>
        <w:t xml:space="preserve">, предводен од </w:t>
      </w:r>
      <w:r w:rsidR="00EF467C" w:rsidRPr="00EF467C">
        <w:rPr>
          <w:sz w:val="24"/>
          <w:szCs w:val="24"/>
          <w:lang w:val="mk-MK"/>
        </w:rPr>
        <w:t>САД</w:t>
      </w:r>
      <w:r w:rsidR="001E4272">
        <w:rPr>
          <w:sz w:val="24"/>
          <w:szCs w:val="24"/>
          <w:lang w:val="mk-MK"/>
        </w:rPr>
        <w:t xml:space="preserve"> и</w:t>
      </w:r>
      <w:r w:rsidR="00EF467C" w:rsidRPr="00EF467C">
        <w:rPr>
          <w:sz w:val="24"/>
          <w:szCs w:val="24"/>
          <w:lang w:val="mk-MK"/>
        </w:rPr>
        <w:t xml:space="preserve"> Велика Британија, акцентот</w:t>
      </w:r>
      <w:r>
        <w:rPr>
          <w:sz w:val="24"/>
          <w:szCs w:val="24"/>
          <w:lang w:val="mk-MK"/>
        </w:rPr>
        <w:t xml:space="preserve"> го става</w:t>
      </w:r>
      <w:r w:rsidR="00EF467C" w:rsidRPr="00EF467C">
        <w:rPr>
          <w:sz w:val="24"/>
          <w:szCs w:val="24"/>
          <w:lang w:val="mk-MK"/>
        </w:rPr>
        <w:t xml:space="preserve"> на правата на акционерите</w:t>
      </w:r>
      <w:r w:rsidR="00A32DAB">
        <w:rPr>
          <w:sz w:val="24"/>
          <w:szCs w:val="24"/>
          <w:lang w:val="mk-MK"/>
        </w:rPr>
        <w:t xml:space="preserve"> до екстремни нивоа</w:t>
      </w:r>
      <w:r w:rsidR="00EF467C" w:rsidRPr="00EF467C">
        <w:rPr>
          <w:sz w:val="24"/>
          <w:szCs w:val="24"/>
          <w:lang w:val="mk-MK"/>
        </w:rPr>
        <w:t xml:space="preserve">. </w:t>
      </w:r>
      <w:r w:rsidR="00A32DAB">
        <w:rPr>
          <w:sz w:val="24"/>
          <w:szCs w:val="24"/>
          <w:lang w:val="mk-MK"/>
        </w:rPr>
        <w:t>На пример, с</w:t>
      </w:r>
      <w:r w:rsidR="00EF467C" w:rsidRPr="00EF467C">
        <w:rPr>
          <w:sz w:val="24"/>
          <w:szCs w:val="24"/>
          <w:lang w:val="mk-MK"/>
        </w:rPr>
        <w:t xml:space="preserve">удски преседани како </w:t>
      </w:r>
      <w:r w:rsidR="00EF467C" w:rsidRPr="007B635E">
        <w:rPr>
          <w:i/>
          <w:iCs/>
          <w:sz w:val="24"/>
          <w:szCs w:val="24"/>
          <w:lang w:val="mk-MK"/>
        </w:rPr>
        <w:t>Dodge v. Ford Motor Co</w:t>
      </w:r>
      <w:r w:rsidR="00EF467C" w:rsidRPr="00EF467C">
        <w:rPr>
          <w:sz w:val="24"/>
          <w:szCs w:val="24"/>
          <w:lang w:val="mk-MK"/>
        </w:rPr>
        <w:t>. (1919) ја истакн</w:t>
      </w:r>
      <w:r w:rsidR="00B45A2D">
        <w:rPr>
          <w:sz w:val="24"/>
          <w:szCs w:val="24"/>
          <w:lang w:val="mk-MK"/>
        </w:rPr>
        <w:t>уваат</w:t>
      </w:r>
      <w:r w:rsidR="00EF467C" w:rsidRPr="00EF467C">
        <w:rPr>
          <w:sz w:val="24"/>
          <w:szCs w:val="24"/>
          <w:lang w:val="mk-MK"/>
        </w:rPr>
        <w:t xml:space="preserve"> обврската на директорите да ги стават акционерските интереси над општествените, додека </w:t>
      </w:r>
      <w:r w:rsidR="00EF467C" w:rsidRPr="00A32DAB">
        <w:rPr>
          <w:i/>
          <w:iCs/>
          <w:sz w:val="24"/>
          <w:szCs w:val="24"/>
          <w:lang w:val="mk-MK"/>
        </w:rPr>
        <w:t>Smith v. Van Gorkom</w:t>
      </w:r>
      <w:r w:rsidR="00EF467C" w:rsidRPr="00EF467C">
        <w:rPr>
          <w:sz w:val="24"/>
          <w:szCs w:val="24"/>
          <w:lang w:val="mk-MK"/>
        </w:rPr>
        <w:t xml:space="preserve"> (1985) строго </w:t>
      </w:r>
      <w:r w:rsidR="00FC069A">
        <w:rPr>
          <w:sz w:val="24"/>
          <w:szCs w:val="24"/>
          <w:lang w:val="mk-MK"/>
        </w:rPr>
        <w:t xml:space="preserve">ги </w:t>
      </w:r>
      <w:r w:rsidR="00EF467C" w:rsidRPr="00EF467C">
        <w:rPr>
          <w:sz w:val="24"/>
          <w:szCs w:val="24"/>
          <w:lang w:val="mk-MK"/>
        </w:rPr>
        <w:t>дефинира</w:t>
      </w:r>
      <w:r w:rsidR="00B45A2D">
        <w:rPr>
          <w:sz w:val="24"/>
          <w:szCs w:val="24"/>
          <w:lang w:val="mk-MK"/>
        </w:rPr>
        <w:t>ат</w:t>
      </w:r>
      <w:r w:rsidR="00EF467C" w:rsidRPr="00EF467C">
        <w:rPr>
          <w:sz w:val="24"/>
          <w:szCs w:val="24"/>
          <w:lang w:val="mk-MK"/>
        </w:rPr>
        <w:t xml:space="preserve"> процедурите за донесување одлуки</w:t>
      </w:r>
      <w:r w:rsidR="00FC069A">
        <w:rPr>
          <w:sz w:val="24"/>
          <w:szCs w:val="24"/>
          <w:lang w:val="mk-MK"/>
        </w:rPr>
        <w:t xml:space="preserve"> кои речиси секогаш мора да се водат од интересите на акционерите</w:t>
      </w:r>
      <w:r w:rsidR="00EF467C" w:rsidRPr="00EF467C">
        <w:rPr>
          <w:sz w:val="24"/>
          <w:szCs w:val="24"/>
          <w:lang w:val="mk-MK"/>
        </w:rPr>
        <w:t>. Наспроти ова, цивилноправните системи</w:t>
      </w:r>
      <w:r w:rsidR="00A23F29">
        <w:rPr>
          <w:sz w:val="24"/>
          <w:szCs w:val="24"/>
          <w:lang w:val="mk-MK"/>
        </w:rPr>
        <w:t>,</w:t>
      </w:r>
      <w:r w:rsidR="00E128CF">
        <w:rPr>
          <w:sz w:val="24"/>
          <w:szCs w:val="24"/>
          <w:lang w:val="mk-MK"/>
        </w:rPr>
        <w:t xml:space="preserve"> каде главни претставници се </w:t>
      </w:r>
      <w:r w:rsidR="00EF467C" w:rsidRPr="00EF467C">
        <w:rPr>
          <w:sz w:val="24"/>
          <w:szCs w:val="24"/>
          <w:lang w:val="mk-MK"/>
        </w:rPr>
        <w:t>Германија</w:t>
      </w:r>
      <w:r w:rsidR="00E128CF">
        <w:rPr>
          <w:sz w:val="24"/>
          <w:szCs w:val="24"/>
          <w:lang w:val="mk-MK"/>
        </w:rPr>
        <w:t xml:space="preserve"> и</w:t>
      </w:r>
      <w:r w:rsidR="00EF467C" w:rsidRPr="00EF467C">
        <w:rPr>
          <w:sz w:val="24"/>
          <w:szCs w:val="24"/>
          <w:lang w:val="mk-MK"/>
        </w:rPr>
        <w:t xml:space="preserve"> Јапонија</w:t>
      </w:r>
      <w:r w:rsidR="00E128CF">
        <w:rPr>
          <w:sz w:val="24"/>
          <w:szCs w:val="24"/>
          <w:lang w:val="mk-MK"/>
        </w:rPr>
        <w:t>,</w:t>
      </w:r>
      <w:r w:rsidR="00EF467C" w:rsidRPr="00EF467C">
        <w:rPr>
          <w:sz w:val="24"/>
          <w:szCs w:val="24"/>
          <w:lang w:val="mk-MK"/>
        </w:rPr>
        <w:t xml:space="preserve"> г</w:t>
      </w:r>
      <w:r w:rsidR="00E128CF">
        <w:rPr>
          <w:sz w:val="24"/>
          <w:szCs w:val="24"/>
          <w:lang w:val="mk-MK"/>
        </w:rPr>
        <w:t>и</w:t>
      </w:r>
      <w:r w:rsidR="00EF467C" w:rsidRPr="00EF467C">
        <w:rPr>
          <w:sz w:val="24"/>
          <w:szCs w:val="24"/>
          <w:lang w:val="mk-MK"/>
        </w:rPr>
        <w:t xml:space="preserve"> нагласуваат интересите на сите засегнати страни (stakeholders). Германскиот модел </w:t>
      </w:r>
      <w:r w:rsidR="00EF467C" w:rsidRPr="00E128CF">
        <w:rPr>
          <w:i/>
          <w:iCs/>
          <w:sz w:val="24"/>
          <w:szCs w:val="24"/>
          <w:lang w:val="mk-MK"/>
        </w:rPr>
        <w:t>Mitbestimmung,</w:t>
      </w:r>
      <w:r w:rsidR="00EF467C" w:rsidRPr="00EF467C">
        <w:rPr>
          <w:sz w:val="24"/>
          <w:szCs w:val="24"/>
          <w:lang w:val="mk-MK"/>
        </w:rPr>
        <w:t xml:space="preserve"> на пример, им дава право на работниците да бидат претставени во надзорните одбори, рефлектирајќи ја идејата за економска демократија. </w:t>
      </w:r>
    </w:p>
    <w:p w14:paraId="5FEF30CC" w14:textId="77777777" w:rsidR="00314271" w:rsidRDefault="00EF467C" w:rsidP="00314271">
      <w:pPr>
        <w:spacing w:before="240" w:after="240"/>
        <w:ind w:firstLine="720"/>
        <w:jc w:val="both"/>
        <w:rPr>
          <w:sz w:val="24"/>
          <w:szCs w:val="24"/>
          <w:lang w:val="mk-MK"/>
        </w:rPr>
      </w:pPr>
      <w:r w:rsidRPr="00EF467C">
        <w:rPr>
          <w:sz w:val="24"/>
          <w:szCs w:val="24"/>
          <w:lang w:val="mk-MK"/>
        </w:rPr>
        <w:t>По Втората светска војна, растот на капиталните пазари и транснационалните корпорации дове</w:t>
      </w:r>
      <w:r w:rsidR="00B45A2D">
        <w:rPr>
          <w:sz w:val="24"/>
          <w:szCs w:val="24"/>
          <w:lang w:val="mk-MK"/>
        </w:rPr>
        <w:t>л</w:t>
      </w:r>
      <w:r w:rsidRPr="00EF467C">
        <w:rPr>
          <w:sz w:val="24"/>
          <w:szCs w:val="24"/>
          <w:lang w:val="mk-MK"/>
        </w:rPr>
        <w:t xml:space="preserve"> до формализација на корпоративното управување. Скандали како Enron (2001) и WorldCom (2002) поттикна</w:t>
      </w:r>
      <w:r w:rsidR="00071342">
        <w:rPr>
          <w:sz w:val="24"/>
          <w:szCs w:val="24"/>
          <w:lang w:val="mk-MK"/>
        </w:rPr>
        <w:t>ле</w:t>
      </w:r>
      <w:r w:rsidRPr="00EF467C">
        <w:rPr>
          <w:sz w:val="24"/>
          <w:szCs w:val="24"/>
          <w:lang w:val="mk-MK"/>
        </w:rPr>
        <w:t xml:space="preserve"> строги регулативи, вклучувајќи </w:t>
      </w:r>
      <w:r w:rsidRPr="00145B71">
        <w:rPr>
          <w:i/>
          <w:iCs/>
          <w:sz w:val="24"/>
          <w:szCs w:val="24"/>
          <w:lang w:val="mk-MK"/>
        </w:rPr>
        <w:t>го Sarbanes-Oxley Act</w:t>
      </w:r>
      <w:r w:rsidRPr="00EF467C">
        <w:rPr>
          <w:sz w:val="24"/>
          <w:szCs w:val="24"/>
          <w:lang w:val="mk-MK"/>
        </w:rPr>
        <w:t xml:space="preserve"> (2002) во САД, кој ги засили барањата за финансиска транспарентност и независност на одборите. </w:t>
      </w:r>
      <w:r w:rsidR="00145B71" w:rsidRPr="00145B71">
        <w:rPr>
          <w:sz w:val="24"/>
          <w:szCs w:val="24"/>
          <w:lang w:val="mk-MK"/>
        </w:rPr>
        <w:t xml:space="preserve">Enron </w:t>
      </w:r>
      <w:r w:rsidR="00145B71">
        <w:rPr>
          <w:sz w:val="24"/>
          <w:szCs w:val="24"/>
          <w:lang w:val="mk-MK"/>
        </w:rPr>
        <w:t>претставувала</w:t>
      </w:r>
      <w:r w:rsidR="00145B71" w:rsidRPr="00145B71">
        <w:rPr>
          <w:sz w:val="24"/>
          <w:szCs w:val="24"/>
          <w:lang w:val="mk-MK"/>
        </w:rPr>
        <w:t xml:space="preserve"> голема енергетска компанија која </w:t>
      </w:r>
      <w:r w:rsidR="00145B71" w:rsidRPr="00145B71">
        <w:rPr>
          <w:sz w:val="24"/>
          <w:szCs w:val="24"/>
          <w:lang w:val="mk-MK"/>
        </w:rPr>
        <w:lastRenderedPageBreak/>
        <w:t>банкротира</w:t>
      </w:r>
      <w:r w:rsidR="00145B71">
        <w:rPr>
          <w:sz w:val="24"/>
          <w:szCs w:val="24"/>
          <w:lang w:val="mk-MK"/>
        </w:rPr>
        <w:t>ла</w:t>
      </w:r>
      <w:r w:rsidR="00145B71" w:rsidRPr="00145B71">
        <w:rPr>
          <w:sz w:val="24"/>
          <w:szCs w:val="24"/>
          <w:lang w:val="mk-MK"/>
        </w:rPr>
        <w:t xml:space="preserve"> во 2001 година поради сметководствени измами. Компанијата користела специјални сметководствени техники за да ги сокрие долговите и да ги надува профитите. Ова ги измами</w:t>
      </w:r>
      <w:r w:rsidR="004C15F1">
        <w:rPr>
          <w:sz w:val="24"/>
          <w:szCs w:val="24"/>
          <w:lang w:val="mk-MK"/>
        </w:rPr>
        <w:t>ло</w:t>
      </w:r>
      <w:r w:rsidR="00145B71" w:rsidRPr="00145B71">
        <w:rPr>
          <w:sz w:val="24"/>
          <w:szCs w:val="24"/>
          <w:lang w:val="mk-MK"/>
        </w:rPr>
        <w:t xml:space="preserve"> инвеститорите и ја дове</w:t>
      </w:r>
      <w:r w:rsidR="004C15F1">
        <w:rPr>
          <w:sz w:val="24"/>
          <w:szCs w:val="24"/>
          <w:lang w:val="mk-MK"/>
        </w:rPr>
        <w:t>ло</w:t>
      </w:r>
      <w:r w:rsidR="00145B71" w:rsidRPr="00145B71">
        <w:rPr>
          <w:sz w:val="24"/>
          <w:szCs w:val="24"/>
          <w:lang w:val="mk-MK"/>
        </w:rPr>
        <w:t xml:space="preserve"> компанијата до колапс </w:t>
      </w:r>
      <w:r w:rsidR="004C15F1">
        <w:rPr>
          <w:sz w:val="24"/>
          <w:szCs w:val="24"/>
          <w:lang w:val="mk-MK"/>
        </w:rPr>
        <w:t>затоа што и</w:t>
      </w:r>
      <w:r w:rsidR="00145B71" w:rsidRPr="00145B71">
        <w:rPr>
          <w:sz w:val="24"/>
          <w:szCs w:val="24"/>
          <w:lang w:val="mk-MK"/>
        </w:rPr>
        <w:t>лјадници вработени ги загуби</w:t>
      </w:r>
      <w:r w:rsidR="004C15F1">
        <w:rPr>
          <w:sz w:val="24"/>
          <w:szCs w:val="24"/>
          <w:lang w:val="mk-MK"/>
        </w:rPr>
        <w:t>ле</w:t>
      </w:r>
      <w:r w:rsidR="00145B71" w:rsidRPr="00145B71">
        <w:rPr>
          <w:sz w:val="24"/>
          <w:szCs w:val="24"/>
          <w:lang w:val="mk-MK"/>
        </w:rPr>
        <w:t xml:space="preserve"> своите работни места и пензиски заштеди. Скандалот дове</w:t>
      </w:r>
      <w:r w:rsidR="008077F8">
        <w:rPr>
          <w:sz w:val="24"/>
          <w:szCs w:val="24"/>
          <w:lang w:val="mk-MK"/>
        </w:rPr>
        <w:t>л</w:t>
      </w:r>
      <w:r w:rsidR="00145B71" w:rsidRPr="00145B71">
        <w:rPr>
          <w:sz w:val="24"/>
          <w:szCs w:val="24"/>
          <w:lang w:val="mk-MK"/>
        </w:rPr>
        <w:t xml:space="preserve"> до кривични обвиненија против високи службеници на компанијата и нејзината сметководствена фирма Arthur Andersen, која исто така пропадна</w:t>
      </w:r>
      <w:r w:rsidR="008077F8">
        <w:rPr>
          <w:sz w:val="24"/>
          <w:szCs w:val="24"/>
          <w:lang w:val="mk-MK"/>
        </w:rPr>
        <w:t>ла</w:t>
      </w:r>
      <w:r w:rsidR="00145B71" w:rsidRPr="00145B71">
        <w:rPr>
          <w:sz w:val="24"/>
          <w:szCs w:val="24"/>
          <w:lang w:val="mk-MK"/>
        </w:rPr>
        <w:t xml:space="preserve"> поради нејзината улога во измамата.</w:t>
      </w:r>
      <w:r w:rsidR="008077F8">
        <w:rPr>
          <w:rStyle w:val="FootnoteReference"/>
          <w:sz w:val="24"/>
          <w:szCs w:val="24"/>
          <w:lang w:val="mk-MK"/>
        </w:rPr>
        <w:footnoteReference w:id="74"/>
      </w:r>
      <w:r w:rsidR="00145B71" w:rsidRPr="00145B71">
        <w:rPr>
          <w:sz w:val="24"/>
          <w:szCs w:val="24"/>
          <w:lang w:val="mk-MK"/>
        </w:rPr>
        <w:t xml:space="preserve"> </w:t>
      </w:r>
      <w:r w:rsidR="003119DC">
        <w:rPr>
          <w:sz w:val="24"/>
          <w:szCs w:val="24"/>
          <w:lang w:val="mk-MK"/>
        </w:rPr>
        <w:t xml:space="preserve">Од друга страна, </w:t>
      </w:r>
      <w:r w:rsidR="00145B71" w:rsidRPr="00145B71">
        <w:rPr>
          <w:sz w:val="24"/>
          <w:szCs w:val="24"/>
          <w:lang w:val="mk-MK"/>
        </w:rPr>
        <w:t xml:space="preserve">WorldCom </w:t>
      </w:r>
      <w:r w:rsidR="003119DC">
        <w:rPr>
          <w:sz w:val="24"/>
          <w:szCs w:val="24"/>
          <w:lang w:val="mk-MK"/>
        </w:rPr>
        <w:t>била</w:t>
      </w:r>
      <w:r w:rsidR="00145B71" w:rsidRPr="00145B71">
        <w:rPr>
          <w:sz w:val="24"/>
          <w:szCs w:val="24"/>
          <w:lang w:val="mk-MK"/>
        </w:rPr>
        <w:t xml:space="preserve"> голема телекомуникациска компанија која во 2002 година откри</w:t>
      </w:r>
      <w:r w:rsidR="0083094F">
        <w:rPr>
          <w:sz w:val="24"/>
          <w:szCs w:val="24"/>
          <w:lang w:val="mk-MK"/>
        </w:rPr>
        <w:t>ла</w:t>
      </w:r>
      <w:r w:rsidR="00145B71" w:rsidRPr="00145B71">
        <w:rPr>
          <w:sz w:val="24"/>
          <w:szCs w:val="24"/>
          <w:lang w:val="mk-MK"/>
        </w:rPr>
        <w:t xml:space="preserve"> голема сметководствена измама. Компанијата погрешно ги класифицирала оперативните трошоци како капитални инвестиции, со што вештачки ги надувала своите профити. Оваа измама изнесувала милијарди долари и дове</w:t>
      </w:r>
      <w:r w:rsidR="00890661">
        <w:rPr>
          <w:sz w:val="24"/>
          <w:szCs w:val="24"/>
          <w:lang w:val="mk-MK"/>
        </w:rPr>
        <w:t>ла</w:t>
      </w:r>
      <w:r w:rsidR="00145B71" w:rsidRPr="00145B71">
        <w:rPr>
          <w:sz w:val="24"/>
          <w:szCs w:val="24"/>
          <w:lang w:val="mk-MK"/>
        </w:rPr>
        <w:t xml:space="preserve"> до најголемото корпоративно банкротство во историјата на САД во тоа време. Слично на Enron, скандалот има</w:t>
      </w:r>
      <w:r w:rsidR="00890661">
        <w:rPr>
          <w:sz w:val="24"/>
          <w:szCs w:val="24"/>
          <w:lang w:val="mk-MK"/>
        </w:rPr>
        <w:t>л</w:t>
      </w:r>
      <w:r w:rsidR="00145B71" w:rsidRPr="00145B71">
        <w:rPr>
          <w:sz w:val="24"/>
          <w:szCs w:val="24"/>
          <w:lang w:val="mk-MK"/>
        </w:rPr>
        <w:t xml:space="preserve"> сериозни последици за инвеститорите и вработените, а високи службеници б</w:t>
      </w:r>
      <w:r w:rsidR="00890661">
        <w:rPr>
          <w:sz w:val="24"/>
          <w:szCs w:val="24"/>
          <w:lang w:val="mk-MK"/>
        </w:rPr>
        <w:t>иле</w:t>
      </w:r>
      <w:r w:rsidR="00145B71" w:rsidRPr="00145B71">
        <w:rPr>
          <w:sz w:val="24"/>
          <w:szCs w:val="24"/>
          <w:lang w:val="mk-MK"/>
        </w:rPr>
        <w:t xml:space="preserve"> кривично гонети.</w:t>
      </w:r>
      <w:r w:rsidR="00890661">
        <w:rPr>
          <w:rStyle w:val="FootnoteReference"/>
          <w:sz w:val="24"/>
          <w:szCs w:val="24"/>
          <w:lang w:val="mk-MK"/>
        </w:rPr>
        <w:footnoteReference w:id="75"/>
      </w:r>
      <w:r w:rsidRPr="00EF467C">
        <w:rPr>
          <w:sz w:val="24"/>
          <w:szCs w:val="24"/>
          <w:lang w:val="mk-MK"/>
        </w:rPr>
        <w:t xml:space="preserve"> </w:t>
      </w:r>
      <w:r w:rsidR="00314271">
        <w:rPr>
          <w:sz w:val="24"/>
          <w:szCs w:val="24"/>
          <w:lang w:val="mk-MK"/>
        </w:rPr>
        <w:t xml:space="preserve">Последователно и ЕУ преку </w:t>
      </w:r>
      <w:r w:rsidRPr="00EF467C">
        <w:rPr>
          <w:sz w:val="24"/>
          <w:szCs w:val="24"/>
          <w:lang w:val="mk-MK"/>
        </w:rPr>
        <w:t xml:space="preserve">Директивите за правата на акционерите (2007, 2017) ги зголеми моќите на инвеститорите во одлучувањето. </w:t>
      </w:r>
    </w:p>
    <w:p w14:paraId="223BE6C0" w14:textId="77777777" w:rsidR="00692BC0" w:rsidRDefault="00D57D92" w:rsidP="005C2A9B">
      <w:pPr>
        <w:spacing w:before="240" w:after="240"/>
        <w:ind w:firstLine="720"/>
        <w:jc w:val="both"/>
        <w:rPr>
          <w:sz w:val="24"/>
          <w:szCs w:val="24"/>
          <w:lang w:val="mk-MK"/>
        </w:rPr>
      </w:pPr>
      <w:r w:rsidRPr="00D57D92">
        <w:rPr>
          <w:sz w:val="24"/>
          <w:szCs w:val="24"/>
          <w:lang w:val="mk-MK"/>
        </w:rPr>
        <w:t>Во 21-виот век, начинот на кој гледаме на компаниите и нивното управување претрпува значајна еволуција. Традиционалниот пристап, кој се фокусираше првенствено на максимизирање на вредноста за акционерите</w:t>
      </w:r>
      <w:r w:rsidR="0006235F">
        <w:rPr>
          <w:sz w:val="24"/>
          <w:szCs w:val="24"/>
          <w:lang w:val="mk-MK"/>
        </w:rPr>
        <w:t xml:space="preserve">, односно </w:t>
      </w:r>
      <w:r w:rsidRPr="00D57D92">
        <w:rPr>
          <w:sz w:val="24"/>
          <w:szCs w:val="24"/>
          <w:lang w:val="mk-MK"/>
        </w:rPr>
        <w:t>сопствениците на акции, постепено се поместува кон поширок, поинтегриран модел кој ги зема предвид интересите на сите засегнати страни и влијанието на компанијата врз општеството и животната средина.</w:t>
      </w:r>
      <w:r w:rsidR="0006235F">
        <w:rPr>
          <w:rStyle w:val="FootnoteReference"/>
          <w:sz w:val="24"/>
          <w:szCs w:val="24"/>
          <w:lang w:val="mk-MK"/>
        </w:rPr>
        <w:footnoteReference w:id="76"/>
      </w:r>
      <w:r w:rsidR="0006235F">
        <w:rPr>
          <w:sz w:val="24"/>
          <w:szCs w:val="24"/>
          <w:lang w:val="mk-MK"/>
        </w:rPr>
        <w:t xml:space="preserve"> Колку и оваа промена да е чисто декларативна без значител</w:t>
      </w:r>
      <w:r w:rsidR="00C93D35">
        <w:rPr>
          <w:sz w:val="24"/>
          <w:szCs w:val="24"/>
          <w:lang w:val="mk-MK"/>
        </w:rPr>
        <w:t>но влијание</w:t>
      </w:r>
      <w:r w:rsidR="0006235F">
        <w:rPr>
          <w:sz w:val="24"/>
          <w:szCs w:val="24"/>
          <w:lang w:val="mk-MK"/>
        </w:rPr>
        <w:t xml:space="preserve"> во реалниот живот, самата реторика зборува за промена на </w:t>
      </w:r>
      <w:r w:rsidR="00CB5C7C">
        <w:rPr>
          <w:sz w:val="24"/>
          <w:szCs w:val="24"/>
          <w:lang w:val="mk-MK"/>
        </w:rPr>
        <w:t xml:space="preserve">трендови и целење кон </w:t>
      </w:r>
      <w:r w:rsidR="00EF467C" w:rsidRPr="00EF467C">
        <w:rPr>
          <w:sz w:val="24"/>
          <w:szCs w:val="24"/>
          <w:lang w:val="mk-MK"/>
        </w:rPr>
        <w:t>ESG критериумите и stakeholder капитализмот.</w:t>
      </w:r>
      <w:r w:rsidR="002073C7">
        <w:rPr>
          <w:rStyle w:val="FootnoteReference"/>
          <w:sz w:val="24"/>
          <w:szCs w:val="24"/>
          <w:lang w:val="mk-MK"/>
        </w:rPr>
        <w:footnoteReference w:id="77"/>
      </w:r>
      <w:r w:rsidR="00EF467C" w:rsidRPr="00EF467C">
        <w:rPr>
          <w:sz w:val="24"/>
          <w:szCs w:val="24"/>
          <w:lang w:val="mk-MK"/>
        </w:rPr>
        <w:t xml:space="preserve"> </w:t>
      </w:r>
    </w:p>
    <w:p w14:paraId="7A42CE88" w14:textId="186942F7" w:rsidR="008B2811" w:rsidRDefault="005C2A9B" w:rsidP="005C2A9B">
      <w:pPr>
        <w:spacing w:before="240" w:after="240"/>
        <w:ind w:firstLine="720"/>
        <w:jc w:val="both"/>
        <w:rPr>
          <w:sz w:val="24"/>
          <w:szCs w:val="24"/>
          <w:lang w:val="mk-MK"/>
        </w:rPr>
      </w:pPr>
      <w:r w:rsidRPr="005C2A9B">
        <w:rPr>
          <w:sz w:val="24"/>
          <w:szCs w:val="24"/>
          <w:lang w:val="mk-MK"/>
        </w:rPr>
        <w:t>ESG е кратенка која опфаќа три клучни области кои се користат за проценка на одржливоста и етичкото влијание на една компанија</w:t>
      </w:r>
      <w:r w:rsidR="005C5DA0">
        <w:rPr>
          <w:sz w:val="24"/>
          <w:szCs w:val="24"/>
          <w:lang w:val="mk-MK"/>
        </w:rPr>
        <w:t>.</w:t>
      </w:r>
      <w:r w:rsidR="00692BC0">
        <w:rPr>
          <w:rStyle w:val="FootnoteReference"/>
          <w:sz w:val="24"/>
          <w:szCs w:val="24"/>
          <w:lang w:val="mk-MK"/>
        </w:rPr>
        <w:footnoteReference w:id="78"/>
      </w:r>
      <w:r w:rsidR="005C5DA0">
        <w:rPr>
          <w:sz w:val="24"/>
          <w:szCs w:val="24"/>
          <w:lang w:val="mk-MK"/>
        </w:rPr>
        <w:t xml:space="preserve"> Првиот</w:t>
      </w:r>
      <w:r w:rsidRPr="005C2A9B">
        <w:rPr>
          <w:sz w:val="24"/>
          <w:szCs w:val="24"/>
          <w:lang w:val="mk-MK"/>
        </w:rPr>
        <w:t xml:space="preserve"> критериум се однесува на</w:t>
      </w:r>
      <w:r w:rsidR="005C5DA0">
        <w:rPr>
          <w:sz w:val="24"/>
          <w:szCs w:val="24"/>
          <w:lang w:val="mk-MK"/>
        </w:rPr>
        <w:t xml:space="preserve"> екологијата</w:t>
      </w:r>
      <w:r w:rsidR="0055048F">
        <w:rPr>
          <w:sz w:val="24"/>
          <w:szCs w:val="24"/>
          <w:lang w:val="mk-MK"/>
        </w:rPr>
        <w:t xml:space="preserve"> </w:t>
      </w:r>
      <w:r w:rsidR="0055048F">
        <w:rPr>
          <w:sz w:val="24"/>
          <w:szCs w:val="24"/>
          <w:lang w:val="en-US"/>
        </w:rPr>
        <w:t>(</w:t>
      </w:r>
      <w:r w:rsidR="008870A6">
        <w:rPr>
          <w:sz w:val="24"/>
          <w:szCs w:val="24"/>
          <w:lang w:val="en-US"/>
        </w:rPr>
        <w:t>e</w:t>
      </w:r>
      <w:r w:rsidR="0055048F">
        <w:rPr>
          <w:sz w:val="24"/>
          <w:szCs w:val="24"/>
          <w:lang w:val="en-US"/>
        </w:rPr>
        <w:t>cology)</w:t>
      </w:r>
      <w:r w:rsidR="005C5DA0">
        <w:rPr>
          <w:sz w:val="24"/>
          <w:szCs w:val="24"/>
          <w:lang w:val="mk-MK"/>
        </w:rPr>
        <w:t xml:space="preserve"> и го опфаќа</w:t>
      </w:r>
      <w:r w:rsidRPr="005C2A9B">
        <w:rPr>
          <w:sz w:val="24"/>
          <w:szCs w:val="24"/>
          <w:lang w:val="mk-MK"/>
        </w:rPr>
        <w:t xml:space="preserve"> влијанието на компанијата врз животната средина. Тоа вклучува аспекти како што се емисии на стакленички гасови, управување со отпад, користење на природни ресурси, зачувување на биодиверзитетот и напори за борба против климатските промени.</w:t>
      </w:r>
      <w:r w:rsidR="008B2811">
        <w:rPr>
          <w:rStyle w:val="FootnoteReference"/>
          <w:sz w:val="24"/>
          <w:szCs w:val="24"/>
          <w:lang w:val="mk-MK"/>
        </w:rPr>
        <w:footnoteReference w:id="79"/>
      </w:r>
      <w:r w:rsidRPr="005C2A9B">
        <w:rPr>
          <w:sz w:val="24"/>
          <w:szCs w:val="24"/>
          <w:lang w:val="mk-MK"/>
        </w:rPr>
        <w:t xml:space="preserve"> </w:t>
      </w:r>
      <w:r w:rsidR="0055048F">
        <w:rPr>
          <w:sz w:val="24"/>
          <w:szCs w:val="24"/>
          <w:lang w:val="mk-MK"/>
        </w:rPr>
        <w:t>Вториот критериум е с</w:t>
      </w:r>
      <w:r w:rsidRPr="005C2A9B">
        <w:rPr>
          <w:sz w:val="24"/>
          <w:szCs w:val="24"/>
          <w:lang w:val="mk-MK"/>
        </w:rPr>
        <w:t>оцијална</w:t>
      </w:r>
      <w:r w:rsidR="0055048F">
        <w:rPr>
          <w:sz w:val="24"/>
          <w:szCs w:val="24"/>
          <w:lang w:val="mk-MK"/>
        </w:rPr>
        <w:t>та</w:t>
      </w:r>
      <w:r w:rsidRPr="005C2A9B">
        <w:rPr>
          <w:sz w:val="24"/>
          <w:szCs w:val="24"/>
          <w:lang w:val="mk-MK"/>
        </w:rPr>
        <w:t xml:space="preserve"> одговорност (</w:t>
      </w:r>
      <w:r w:rsidR="008870A6">
        <w:rPr>
          <w:sz w:val="24"/>
          <w:szCs w:val="24"/>
          <w:lang w:val="en-US"/>
        </w:rPr>
        <w:t>s</w:t>
      </w:r>
      <w:r w:rsidRPr="005C2A9B">
        <w:rPr>
          <w:sz w:val="24"/>
          <w:szCs w:val="24"/>
          <w:lang w:val="mk-MK"/>
        </w:rPr>
        <w:t xml:space="preserve">ocial) </w:t>
      </w:r>
      <w:r w:rsidR="00295276">
        <w:rPr>
          <w:sz w:val="24"/>
          <w:szCs w:val="24"/>
          <w:lang w:val="mk-MK"/>
        </w:rPr>
        <w:t xml:space="preserve">и </w:t>
      </w:r>
      <w:r w:rsidRPr="005C2A9B">
        <w:rPr>
          <w:sz w:val="24"/>
          <w:szCs w:val="24"/>
          <w:lang w:val="mk-MK"/>
        </w:rPr>
        <w:t>ги опфаќа односите на компанијата со луѓето и општеството. Тоа вклучува аспекти како што се работни практики</w:t>
      </w:r>
      <w:r w:rsidR="008870A6">
        <w:rPr>
          <w:sz w:val="24"/>
          <w:szCs w:val="24"/>
          <w:lang w:val="en-US"/>
        </w:rPr>
        <w:t xml:space="preserve">, </w:t>
      </w:r>
      <w:r w:rsidRPr="005C2A9B">
        <w:rPr>
          <w:sz w:val="24"/>
          <w:szCs w:val="24"/>
          <w:lang w:val="mk-MK"/>
        </w:rPr>
        <w:t xml:space="preserve">услови за работа, безбедност, еднаквост, односи со вработените, човекови права во синџирот на снабдување, ангажман со заедницата, и задоволство на клиентите. </w:t>
      </w:r>
      <w:r w:rsidR="008870A6">
        <w:rPr>
          <w:sz w:val="24"/>
          <w:szCs w:val="24"/>
          <w:lang w:val="mk-MK"/>
        </w:rPr>
        <w:t>Третиот критерум е у</w:t>
      </w:r>
      <w:r w:rsidRPr="005C2A9B">
        <w:rPr>
          <w:sz w:val="24"/>
          <w:szCs w:val="24"/>
          <w:lang w:val="mk-MK"/>
        </w:rPr>
        <w:t>правување</w:t>
      </w:r>
      <w:r w:rsidR="008870A6">
        <w:rPr>
          <w:sz w:val="24"/>
          <w:szCs w:val="24"/>
          <w:lang w:val="mk-MK"/>
        </w:rPr>
        <w:t>то</w:t>
      </w:r>
      <w:r w:rsidRPr="005C2A9B">
        <w:rPr>
          <w:sz w:val="24"/>
          <w:szCs w:val="24"/>
          <w:lang w:val="mk-MK"/>
        </w:rPr>
        <w:t xml:space="preserve"> (</w:t>
      </w:r>
      <w:r w:rsidR="008870A6">
        <w:rPr>
          <w:sz w:val="24"/>
          <w:szCs w:val="24"/>
          <w:lang w:val="en-US"/>
        </w:rPr>
        <w:t>g</w:t>
      </w:r>
      <w:r w:rsidRPr="005C2A9B">
        <w:rPr>
          <w:sz w:val="24"/>
          <w:szCs w:val="24"/>
          <w:lang w:val="mk-MK"/>
        </w:rPr>
        <w:t>overnance)</w:t>
      </w:r>
      <w:r w:rsidR="008870A6">
        <w:rPr>
          <w:sz w:val="24"/>
          <w:szCs w:val="24"/>
          <w:lang w:val="mk-MK"/>
        </w:rPr>
        <w:t xml:space="preserve"> и</w:t>
      </w:r>
      <w:r w:rsidRPr="005C2A9B">
        <w:rPr>
          <w:sz w:val="24"/>
          <w:szCs w:val="24"/>
          <w:lang w:val="mk-MK"/>
        </w:rPr>
        <w:t xml:space="preserve"> се однесува на структурата и процесите на управување во компанијата. Тоа</w:t>
      </w:r>
      <w:r w:rsidR="004A7A62">
        <w:rPr>
          <w:sz w:val="24"/>
          <w:szCs w:val="24"/>
          <w:lang w:val="mk-MK"/>
        </w:rPr>
        <w:t xml:space="preserve"> ги</w:t>
      </w:r>
      <w:r w:rsidRPr="005C2A9B">
        <w:rPr>
          <w:sz w:val="24"/>
          <w:szCs w:val="24"/>
          <w:lang w:val="mk-MK"/>
        </w:rPr>
        <w:t xml:space="preserve"> вклучува составот и независноста на одборот на директори, правата на акционерите, транспарентноста, етиката на работењето и системите за внатрешна контрола. </w:t>
      </w:r>
    </w:p>
    <w:p w14:paraId="0DF22DF3" w14:textId="27FD01FB" w:rsidR="00022724" w:rsidRDefault="005C2A9B" w:rsidP="008427B3">
      <w:pPr>
        <w:spacing w:before="240" w:after="240"/>
        <w:ind w:firstLine="720"/>
        <w:jc w:val="both"/>
        <w:rPr>
          <w:sz w:val="24"/>
          <w:szCs w:val="24"/>
          <w:lang w:val="mk-MK"/>
        </w:rPr>
      </w:pPr>
      <w:r w:rsidRPr="005C2A9B">
        <w:rPr>
          <w:sz w:val="24"/>
          <w:szCs w:val="24"/>
          <w:lang w:val="mk-MK"/>
        </w:rPr>
        <w:lastRenderedPageBreak/>
        <w:t>Интегрирањето на ESG критериумите значи дека компаниите не се оценуваат само според нивните финансиски перформанси, туку и според нивното влијание врз животната средина, нивниот однос кон општеството и квалитетот на нивното управување.</w:t>
      </w:r>
      <w:r w:rsidR="004F29C9">
        <w:rPr>
          <w:rStyle w:val="FootnoteReference"/>
          <w:sz w:val="24"/>
          <w:szCs w:val="24"/>
          <w:lang w:val="mk-MK"/>
        </w:rPr>
        <w:footnoteReference w:id="80"/>
      </w:r>
      <w:r w:rsidRPr="005C2A9B">
        <w:rPr>
          <w:sz w:val="24"/>
          <w:szCs w:val="24"/>
          <w:lang w:val="mk-MK"/>
        </w:rPr>
        <w:t xml:space="preserve"> Инвеститорите, регулаторите и потрошувачите сè повеќе ги земаат предвид овие фактори при донесување одлуки</w:t>
      </w:r>
      <w:r w:rsidR="00404D24">
        <w:rPr>
          <w:sz w:val="24"/>
          <w:szCs w:val="24"/>
          <w:lang w:val="en-US"/>
        </w:rPr>
        <w:t xml:space="preserve">, </w:t>
      </w:r>
      <w:r w:rsidR="00404D24">
        <w:rPr>
          <w:sz w:val="24"/>
          <w:szCs w:val="24"/>
          <w:lang w:val="mk-MK"/>
        </w:rPr>
        <w:t>што е истовремено карактеристика и на</w:t>
      </w:r>
      <w:r w:rsidRPr="005C2A9B">
        <w:rPr>
          <w:sz w:val="24"/>
          <w:szCs w:val="24"/>
          <w:lang w:val="mk-MK"/>
        </w:rPr>
        <w:t xml:space="preserve"> </w:t>
      </w:r>
      <w:r w:rsidR="00404D24">
        <w:rPr>
          <w:sz w:val="24"/>
          <w:szCs w:val="24"/>
          <w:lang w:val="en-US"/>
        </w:rPr>
        <w:t>s</w:t>
      </w:r>
      <w:r w:rsidRPr="005C2A9B">
        <w:rPr>
          <w:sz w:val="24"/>
          <w:szCs w:val="24"/>
          <w:lang w:val="mk-MK"/>
        </w:rPr>
        <w:t>takeholder капитализ</w:t>
      </w:r>
      <w:r w:rsidR="00404D24">
        <w:rPr>
          <w:sz w:val="24"/>
          <w:szCs w:val="24"/>
          <w:lang w:val="mk-MK"/>
        </w:rPr>
        <w:t>мот.</w:t>
      </w:r>
      <w:r w:rsidRPr="005C2A9B">
        <w:rPr>
          <w:sz w:val="24"/>
          <w:szCs w:val="24"/>
          <w:lang w:val="mk-MK"/>
        </w:rPr>
        <w:t xml:space="preserve"> Stakeholder капитализмот е концепт кој тврди дека целта на една компанија не е само да ја максимизира вредноста за акционерите, туку и да создава вредност за сите нејзини засегнати страни (stakeholders). Овие засегнати страни ги вклучуваат</w:t>
      </w:r>
      <w:r w:rsidR="005C2827">
        <w:rPr>
          <w:sz w:val="24"/>
          <w:szCs w:val="24"/>
          <w:lang w:val="mk-MK"/>
        </w:rPr>
        <w:t xml:space="preserve"> а</w:t>
      </w:r>
      <w:r w:rsidRPr="005C2A9B">
        <w:rPr>
          <w:sz w:val="24"/>
          <w:szCs w:val="24"/>
          <w:lang w:val="mk-MK"/>
        </w:rPr>
        <w:t>кционери</w:t>
      </w:r>
      <w:r w:rsidR="005C2827">
        <w:rPr>
          <w:sz w:val="24"/>
          <w:szCs w:val="24"/>
          <w:lang w:val="mk-MK"/>
        </w:rPr>
        <w:t>те, в</w:t>
      </w:r>
      <w:r w:rsidRPr="005C2A9B">
        <w:rPr>
          <w:sz w:val="24"/>
          <w:szCs w:val="24"/>
          <w:lang w:val="mk-MK"/>
        </w:rPr>
        <w:t>работени</w:t>
      </w:r>
      <w:r w:rsidR="005C2827">
        <w:rPr>
          <w:sz w:val="24"/>
          <w:szCs w:val="24"/>
          <w:lang w:val="mk-MK"/>
        </w:rPr>
        <w:t>те</w:t>
      </w:r>
      <w:r w:rsidR="005C2827">
        <w:rPr>
          <w:sz w:val="24"/>
          <w:szCs w:val="24"/>
          <w:lang w:val="en-US"/>
        </w:rPr>
        <w:t>,</w:t>
      </w:r>
      <w:r w:rsidRPr="005C2A9B">
        <w:rPr>
          <w:sz w:val="24"/>
          <w:szCs w:val="24"/>
          <w:lang w:val="mk-MK"/>
        </w:rPr>
        <w:t xml:space="preserve"> </w:t>
      </w:r>
      <w:r w:rsidR="005C2827">
        <w:rPr>
          <w:sz w:val="24"/>
          <w:szCs w:val="24"/>
          <w:lang w:val="mk-MK"/>
        </w:rPr>
        <w:t>к</w:t>
      </w:r>
      <w:r w:rsidRPr="005C2A9B">
        <w:rPr>
          <w:sz w:val="24"/>
          <w:szCs w:val="24"/>
          <w:lang w:val="mk-MK"/>
        </w:rPr>
        <w:t>лиенти</w:t>
      </w:r>
      <w:r w:rsidR="005C2827">
        <w:rPr>
          <w:sz w:val="24"/>
          <w:szCs w:val="24"/>
          <w:lang w:val="mk-MK"/>
        </w:rPr>
        <w:t>те</w:t>
      </w:r>
      <w:r w:rsidR="005C2827">
        <w:rPr>
          <w:sz w:val="24"/>
          <w:szCs w:val="24"/>
          <w:lang w:val="en-US"/>
        </w:rPr>
        <w:t>,</w:t>
      </w:r>
      <w:r w:rsidRPr="005C2A9B">
        <w:rPr>
          <w:sz w:val="24"/>
          <w:szCs w:val="24"/>
          <w:lang w:val="mk-MK"/>
        </w:rPr>
        <w:t xml:space="preserve"> </w:t>
      </w:r>
      <w:r w:rsidR="005C2827">
        <w:rPr>
          <w:sz w:val="24"/>
          <w:szCs w:val="24"/>
          <w:lang w:val="mk-MK"/>
        </w:rPr>
        <w:t>д</w:t>
      </w:r>
      <w:r w:rsidRPr="005C2A9B">
        <w:rPr>
          <w:sz w:val="24"/>
          <w:szCs w:val="24"/>
          <w:lang w:val="mk-MK"/>
        </w:rPr>
        <w:t>обавувачи</w:t>
      </w:r>
      <w:r w:rsidR="005C2827">
        <w:rPr>
          <w:sz w:val="24"/>
          <w:szCs w:val="24"/>
          <w:lang w:val="mk-MK"/>
        </w:rPr>
        <w:t>те, з</w:t>
      </w:r>
      <w:r w:rsidRPr="005C2A9B">
        <w:rPr>
          <w:sz w:val="24"/>
          <w:szCs w:val="24"/>
          <w:lang w:val="mk-MK"/>
        </w:rPr>
        <w:t>аедница</w:t>
      </w:r>
      <w:r w:rsidR="005C2827">
        <w:rPr>
          <w:sz w:val="24"/>
          <w:szCs w:val="24"/>
          <w:lang w:val="mk-MK"/>
        </w:rPr>
        <w:t>та</w:t>
      </w:r>
      <w:r w:rsidR="007F7EF3">
        <w:rPr>
          <w:sz w:val="24"/>
          <w:szCs w:val="24"/>
          <w:lang w:val="mk-MK"/>
        </w:rPr>
        <w:t xml:space="preserve"> и</w:t>
      </w:r>
      <w:r w:rsidR="005C2827">
        <w:rPr>
          <w:sz w:val="24"/>
          <w:szCs w:val="24"/>
          <w:lang w:val="mk-MK"/>
        </w:rPr>
        <w:t xml:space="preserve"> ж</w:t>
      </w:r>
      <w:r w:rsidRPr="005C2A9B">
        <w:rPr>
          <w:sz w:val="24"/>
          <w:szCs w:val="24"/>
          <w:lang w:val="mk-MK"/>
        </w:rPr>
        <w:t>ивотна</w:t>
      </w:r>
      <w:r w:rsidR="005C2827">
        <w:rPr>
          <w:sz w:val="24"/>
          <w:szCs w:val="24"/>
          <w:lang w:val="mk-MK"/>
        </w:rPr>
        <w:t>та</w:t>
      </w:r>
      <w:r w:rsidRPr="005C2A9B">
        <w:rPr>
          <w:sz w:val="24"/>
          <w:szCs w:val="24"/>
          <w:lang w:val="mk-MK"/>
        </w:rPr>
        <w:t xml:space="preserve"> средина</w:t>
      </w:r>
      <w:r w:rsidR="007F7EF3">
        <w:rPr>
          <w:sz w:val="24"/>
          <w:szCs w:val="24"/>
          <w:lang w:val="mk-MK"/>
        </w:rPr>
        <w:t xml:space="preserve">. Според </w:t>
      </w:r>
      <w:r w:rsidR="00022724">
        <w:rPr>
          <w:sz w:val="24"/>
          <w:szCs w:val="24"/>
          <w:lang w:val="mk-MK"/>
        </w:rPr>
        <w:t xml:space="preserve">овој </w:t>
      </w:r>
      <w:r w:rsidRPr="005C2A9B">
        <w:rPr>
          <w:sz w:val="24"/>
          <w:szCs w:val="24"/>
          <w:lang w:val="mk-MK"/>
        </w:rPr>
        <w:t>модел, компанијата треба да ги земе предвид потребите и интересите на сите овие групи при донесување одлуки и формулирање стратегии.</w:t>
      </w:r>
      <w:r w:rsidR="00923ADF">
        <w:rPr>
          <w:rStyle w:val="FootnoteReference"/>
          <w:sz w:val="24"/>
          <w:szCs w:val="24"/>
          <w:lang w:val="mk-MK"/>
        </w:rPr>
        <w:footnoteReference w:id="81"/>
      </w:r>
    </w:p>
    <w:p w14:paraId="01F1048F" w14:textId="0C167CB7" w:rsidR="00714A77" w:rsidRDefault="005C2A9B" w:rsidP="008427B3">
      <w:pPr>
        <w:spacing w:before="240" w:after="240"/>
        <w:ind w:firstLine="720"/>
        <w:jc w:val="both"/>
        <w:rPr>
          <w:sz w:val="24"/>
          <w:szCs w:val="24"/>
          <w:lang w:val="mk-MK"/>
        </w:rPr>
      </w:pPr>
      <w:r w:rsidRPr="005C2A9B">
        <w:rPr>
          <w:sz w:val="24"/>
          <w:szCs w:val="24"/>
          <w:lang w:val="mk-MK"/>
        </w:rPr>
        <w:t>Традиционалниот акционерски пристап, често поврзуван со економистот Милтон Фридман, тврди дека единствената општествена одговорност на една компанија е да го зголеми својот профит додека се придржува кон законот.</w:t>
      </w:r>
      <w:r w:rsidR="005C194F">
        <w:rPr>
          <w:rStyle w:val="FootnoteReference"/>
          <w:sz w:val="24"/>
          <w:szCs w:val="24"/>
          <w:lang w:val="mk-MK"/>
        </w:rPr>
        <w:footnoteReference w:id="82"/>
      </w:r>
      <w:r w:rsidRPr="005C2A9B">
        <w:rPr>
          <w:sz w:val="24"/>
          <w:szCs w:val="24"/>
          <w:lang w:val="mk-MK"/>
        </w:rPr>
        <w:t xml:space="preserve"> Во овој модел, главната обврска на менаџментот е кон акционерите. Поместувањето кон ESG критериумите и stakeholder капитализмот претставува признание дека компаниите имаат поширока улога во општеството и дека нивните одлуки имаат влијание врз многу повеќе од само нивните сопственици. Овој нов пристап </w:t>
      </w:r>
      <w:r w:rsidR="00984B25">
        <w:rPr>
          <w:sz w:val="24"/>
          <w:szCs w:val="24"/>
          <w:lang w:val="mk-MK"/>
        </w:rPr>
        <w:t xml:space="preserve">во светот </w:t>
      </w:r>
      <w:r w:rsidRPr="005C2A9B">
        <w:rPr>
          <w:sz w:val="24"/>
          <w:szCs w:val="24"/>
          <w:lang w:val="mk-MK"/>
        </w:rPr>
        <w:t>е поттикнат од неколку фактори, вклучувајќи</w:t>
      </w:r>
      <w:r w:rsidR="00984B25">
        <w:rPr>
          <w:sz w:val="24"/>
          <w:szCs w:val="24"/>
          <w:lang w:val="mk-MK"/>
        </w:rPr>
        <w:t xml:space="preserve"> р</w:t>
      </w:r>
      <w:r w:rsidRPr="005C2A9B">
        <w:rPr>
          <w:sz w:val="24"/>
          <w:szCs w:val="24"/>
          <w:lang w:val="mk-MK"/>
        </w:rPr>
        <w:t>астечка свест за климатските промени и еколошките проблеми</w:t>
      </w:r>
      <w:r w:rsidR="00984B25">
        <w:rPr>
          <w:sz w:val="24"/>
          <w:szCs w:val="24"/>
          <w:lang w:val="mk-MK"/>
        </w:rPr>
        <w:t>, з</w:t>
      </w:r>
      <w:r w:rsidRPr="005C2A9B">
        <w:rPr>
          <w:sz w:val="24"/>
          <w:szCs w:val="24"/>
          <w:lang w:val="mk-MK"/>
        </w:rPr>
        <w:t>големена загриженост за социјалната нееднаквост и човековите права</w:t>
      </w:r>
      <w:r w:rsidR="00714A77">
        <w:rPr>
          <w:sz w:val="24"/>
          <w:szCs w:val="24"/>
          <w:lang w:val="mk-MK"/>
        </w:rPr>
        <w:t xml:space="preserve"> и п</w:t>
      </w:r>
      <w:r w:rsidRPr="005C2A9B">
        <w:rPr>
          <w:sz w:val="24"/>
          <w:szCs w:val="24"/>
          <w:lang w:val="mk-MK"/>
        </w:rPr>
        <w:t>оголема</w:t>
      </w:r>
      <w:r w:rsidR="00DF06BB">
        <w:rPr>
          <w:sz w:val="24"/>
          <w:szCs w:val="24"/>
          <w:lang w:val="mk-MK"/>
        </w:rPr>
        <w:t>та</w:t>
      </w:r>
      <w:r w:rsidRPr="005C2A9B">
        <w:rPr>
          <w:sz w:val="24"/>
          <w:szCs w:val="24"/>
          <w:lang w:val="mk-MK"/>
        </w:rPr>
        <w:t xml:space="preserve"> моќ на засегнатите страни да влијаат на репутацијата и успехот на компаниите. </w:t>
      </w:r>
    </w:p>
    <w:p w14:paraId="336359D5" w14:textId="27096FB8" w:rsidR="003D0DF9" w:rsidRDefault="00DB5585" w:rsidP="0094683D">
      <w:pPr>
        <w:spacing w:before="240" w:after="240"/>
        <w:ind w:firstLine="720"/>
        <w:jc w:val="both"/>
        <w:rPr>
          <w:sz w:val="24"/>
          <w:szCs w:val="24"/>
          <w:lang w:val="mk-MK"/>
        </w:rPr>
      </w:pPr>
      <w:r>
        <w:rPr>
          <w:sz w:val="24"/>
          <w:szCs w:val="24"/>
          <w:lang w:val="mk-MK"/>
        </w:rPr>
        <w:t>Н</w:t>
      </w:r>
      <w:r w:rsidR="007B6152">
        <w:rPr>
          <w:sz w:val="24"/>
          <w:szCs w:val="24"/>
          <w:lang w:val="mk-MK"/>
        </w:rPr>
        <w:t>еодамна</w:t>
      </w:r>
      <w:r>
        <w:rPr>
          <w:sz w:val="24"/>
          <w:szCs w:val="24"/>
          <w:lang w:val="mk-MK"/>
        </w:rPr>
        <w:t>,</w:t>
      </w:r>
      <w:r w:rsidR="007B6152">
        <w:rPr>
          <w:sz w:val="24"/>
          <w:szCs w:val="24"/>
          <w:lang w:val="mk-MK"/>
        </w:rPr>
        <w:t xml:space="preserve"> САД повторно ги</w:t>
      </w:r>
      <w:r w:rsidR="00EF467C" w:rsidRPr="00EF467C">
        <w:rPr>
          <w:sz w:val="24"/>
          <w:szCs w:val="24"/>
          <w:lang w:val="mk-MK"/>
        </w:rPr>
        <w:t xml:space="preserve"> ревидира</w:t>
      </w:r>
      <w:r w:rsidR="007B6152">
        <w:rPr>
          <w:sz w:val="24"/>
          <w:szCs w:val="24"/>
          <w:lang w:val="mk-MK"/>
        </w:rPr>
        <w:t>ше</w:t>
      </w:r>
      <w:r w:rsidR="00EF467C" w:rsidRPr="00EF467C">
        <w:rPr>
          <w:sz w:val="24"/>
          <w:szCs w:val="24"/>
          <w:lang w:val="mk-MK"/>
        </w:rPr>
        <w:t xml:space="preserve"> правилата за ESG, нагласувајќи финансиска материјалност</w:t>
      </w:r>
      <w:r w:rsidR="007B6152">
        <w:rPr>
          <w:sz w:val="24"/>
          <w:szCs w:val="24"/>
          <w:lang w:val="mk-MK"/>
        </w:rPr>
        <w:t xml:space="preserve"> и потенцирајќи дека к</w:t>
      </w:r>
      <w:r w:rsidR="00EF467C" w:rsidRPr="00EF467C">
        <w:rPr>
          <w:sz w:val="24"/>
          <w:szCs w:val="24"/>
          <w:lang w:val="mk-MK"/>
        </w:rPr>
        <w:t>омпаниите можат да ги игнорираат ESG предлозите доколку не влијаат директно на профитот. Држави како Тексас донесоа закони кои ги ограничуваат тужбите од мали акционери</w:t>
      </w:r>
      <w:r>
        <w:rPr>
          <w:sz w:val="24"/>
          <w:szCs w:val="24"/>
          <w:lang w:val="mk-MK"/>
        </w:rPr>
        <w:t xml:space="preserve"> и додадоа услов кој налага</w:t>
      </w:r>
      <w:r w:rsidR="00EF467C" w:rsidRPr="00EF467C">
        <w:rPr>
          <w:sz w:val="24"/>
          <w:szCs w:val="24"/>
          <w:lang w:val="mk-MK"/>
        </w:rPr>
        <w:t xml:space="preserve"> поседување 3% од акциите за поднесување тужба.</w:t>
      </w:r>
      <w:r w:rsidR="00CF5066">
        <w:rPr>
          <w:rStyle w:val="FootnoteReference"/>
          <w:sz w:val="24"/>
          <w:szCs w:val="24"/>
          <w:lang w:val="mk-MK"/>
        </w:rPr>
        <w:footnoteReference w:id="83"/>
      </w:r>
      <w:r w:rsidR="00EF467C" w:rsidRPr="00EF467C">
        <w:rPr>
          <w:sz w:val="24"/>
          <w:szCs w:val="24"/>
          <w:lang w:val="mk-MK"/>
        </w:rPr>
        <w:t xml:space="preserve"> </w:t>
      </w:r>
      <w:r w:rsidR="0052496D">
        <w:rPr>
          <w:sz w:val="24"/>
          <w:szCs w:val="24"/>
          <w:lang w:val="mk-MK"/>
        </w:rPr>
        <w:t>Сепак</w:t>
      </w:r>
      <w:r w:rsidR="00CD2481">
        <w:rPr>
          <w:sz w:val="24"/>
          <w:szCs w:val="24"/>
          <w:lang w:val="mk-MK"/>
        </w:rPr>
        <w:t>,</w:t>
      </w:r>
      <w:r w:rsidR="0052496D">
        <w:rPr>
          <w:sz w:val="24"/>
          <w:szCs w:val="24"/>
          <w:lang w:val="mk-MK"/>
        </w:rPr>
        <w:t xml:space="preserve"> овие навраќања кон старите модели се исклучок кон правилото и не влијаат на генералниот тренд</w:t>
      </w:r>
      <w:r w:rsidR="00346336">
        <w:rPr>
          <w:sz w:val="24"/>
          <w:szCs w:val="24"/>
          <w:lang w:val="mk-MK"/>
        </w:rPr>
        <w:t>.</w:t>
      </w:r>
      <w:r w:rsidR="00CD2481">
        <w:rPr>
          <w:sz w:val="24"/>
          <w:szCs w:val="24"/>
          <w:lang w:val="mk-MK"/>
        </w:rPr>
        <w:t xml:space="preserve"> </w:t>
      </w:r>
      <w:r w:rsidR="00EF467C" w:rsidRPr="00EF467C">
        <w:rPr>
          <w:sz w:val="24"/>
          <w:szCs w:val="24"/>
          <w:lang w:val="mk-MK"/>
        </w:rPr>
        <w:t>Денес, корпоративното управување е динамична дисциплина што интегрира право, економија, политика и етика. Клучните предизвици вклучуваат</w:t>
      </w:r>
      <w:r w:rsidR="00346336">
        <w:rPr>
          <w:sz w:val="24"/>
          <w:szCs w:val="24"/>
          <w:lang w:val="mk-MK"/>
        </w:rPr>
        <w:t xml:space="preserve"> б</w:t>
      </w:r>
      <w:r w:rsidR="00EF467C" w:rsidRPr="00EF467C">
        <w:rPr>
          <w:sz w:val="24"/>
          <w:szCs w:val="24"/>
          <w:lang w:val="mk-MK"/>
        </w:rPr>
        <w:t xml:space="preserve">алансирање на ESG барањата со краткорочните финансиски цели, </w:t>
      </w:r>
      <w:r w:rsidR="00346336">
        <w:rPr>
          <w:sz w:val="24"/>
          <w:szCs w:val="24"/>
          <w:lang w:val="mk-MK"/>
        </w:rPr>
        <w:t>а</w:t>
      </w:r>
      <w:r w:rsidR="00EF467C" w:rsidRPr="00EF467C">
        <w:rPr>
          <w:sz w:val="24"/>
          <w:szCs w:val="24"/>
          <w:lang w:val="mk-MK"/>
        </w:rPr>
        <w:t>даптација на регулациите кон технолошките иновации</w:t>
      </w:r>
      <w:r w:rsidR="00346336">
        <w:rPr>
          <w:sz w:val="24"/>
          <w:szCs w:val="24"/>
          <w:lang w:val="mk-MK"/>
        </w:rPr>
        <w:t xml:space="preserve"> и з</w:t>
      </w:r>
      <w:r w:rsidR="00EF467C" w:rsidRPr="00EF467C">
        <w:rPr>
          <w:sz w:val="24"/>
          <w:szCs w:val="24"/>
          <w:lang w:val="mk-MK"/>
        </w:rPr>
        <w:t>аштита на правата на малите акционери во ера на зголемена концентрација на капиталот.</w:t>
      </w:r>
      <w:r w:rsidR="00C03FDD">
        <w:rPr>
          <w:rStyle w:val="FootnoteReference"/>
          <w:sz w:val="24"/>
          <w:szCs w:val="24"/>
          <w:lang w:val="mk-MK"/>
        </w:rPr>
        <w:footnoteReference w:id="84"/>
      </w:r>
      <w:r w:rsidR="00EF467C" w:rsidRPr="00EF467C">
        <w:rPr>
          <w:sz w:val="24"/>
          <w:szCs w:val="24"/>
          <w:lang w:val="mk-MK"/>
        </w:rPr>
        <w:t xml:space="preserve"> </w:t>
      </w:r>
      <w:r w:rsidR="0094683D">
        <w:rPr>
          <w:sz w:val="24"/>
          <w:szCs w:val="24"/>
          <w:lang w:val="mk-MK"/>
        </w:rPr>
        <w:t xml:space="preserve">Важно за наведување </w:t>
      </w:r>
      <w:r w:rsidR="00C03FDD">
        <w:rPr>
          <w:sz w:val="24"/>
          <w:szCs w:val="24"/>
          <w:lang w:val="mk-MK"/>
        </w:rPr>
        <w:t xml:space="preserve">е </w:t>
      </w:r>
      <w:r w:rsidR="0094683D">
        <w:rPr>
          <w:sz w:val="24"/>
          <w:szCs w:val="24"/>
          <w:lang w:val="mk-MK"/>
        </w:rPr>
        <w:t>и дека</w:t>
      </w:r>
      <w:r w:rsidR="00504B11">
        <w:rPr>
          <w:sz w:val="24"/>
          <w:szCs w:val="24"/>
          <w:lang w:val="mk-MK"/>
        </w:rPr>
        <w:t xml:space="preserve"> </w:t>
      </w:r>
      <w:r w:rsidR="003D0DF9">
        <w:rPr>
          <w:sz w:val="24"/>
          <w:szCs w:val="24"/>
          <w:lang w:val="mk-MK"/>
        </w:rPr>
        <w:t>в</w:t>
      </w:r>
      <w:r w:rsidR="003D0DF9" w:rsidRPr="00EF467C">
        <w:rPr>
          <w:sz w:val="24"/>
          <w:szCs w:val="24"/>
          <w:lang w:val="mk-MK"/>
        </w:rPr>
        <w:t xml:space="preserve">ештачката интелигенција (AI) </w:t>
      </w:r>
      <w:r w:rsidR="0094683D">
        <w:rPr>
          <w:sz w:val="24"/>
          <w:szCs w:val="24"/>
          <w:lang w:val="mk-MK"/>
        </w:rPr>
        <w:t xml:space="preserve">целосно го </w:t>
      </w:r>
      <w:r w:rsidR="003D0DF9" w:rsidRPr="00EF467C">
        <w:rPr>
          <w:sz w:val="24"/>
          <w:szCs w:val="24"/>
          <w:lang w:val="mk-MK"/>
        </w:rPr>
        <w:t>револуционира управувањето со ризик и донесување</w:t>
      </w:r>
      <w:r w:rsidR="0094683D">
        <w:rPr>
          <w:sz w:val="24"/>
          <w:szCs w:val="24"/>
          <w:lang w:val="mk-MK"/>
        </w:rPr>
        <w:t>то</w:t>
      </w:r>
      <w:r w:rsidR="003D0DF9" w:rsidRPr="00EF467C">
        <w:rPr>
          <w:sz w:val="24"/>
          <w:szCs w:val="24"/>
          <w:lang w:val="mk-MK"/>
        </w:rPr>
        <w:t xml:space="preserve"> одлуки. </w:t>
      </w:r>
    </w:p>
    <w:p w14:paraId="2EB8D2C9" w14:textId="21B7330D" w:rsidR="00C64882" w:rsidRDefault="00EF467C" w:rsidP="00373C5E">
      <w:pPr>
        <w:spacing w:before="240" w:after="240"/>
        <w:ind w:firstLine="720"/>
        <w:jc w:val="both"/>
        <w:rPr>
          <w:sz w:val="24"/>
          <w:szCs w:val="24"/>
          <w:lang w:val="mk-MK"/>
        </w:rPr>
      </w:pPr>
      <w:r w:rsidRPr="00EF467C">
        <w:rPr>
          <w:sz w:val="24"/>
          <w:szCs w:val="24"/>
          <w:lang w:val="mk-MK"/>
        </w:rPr>
        <w:t xml:space="preserve">Од римските </w:t>
      </w:r>
      <w:r w:rsidRPr="00F85063">
        <w:rPr>
          <w:i/>
          <w:iCs/>
          <w:sz w:val="24"/>
          <w:szCs w:val="24"/>
          <w:lang w:val="mk-MK"/>
        </w:rPr>
        <w:t>collegia</w:t>
      </w:r>
      <w:r w:rsidRPr="00EF467C">
        <w:rPr>
          <w:sz w:val="24"/>
          <w:szCs w:val="24"/>
          <w:lang w:val="mk-MK"/>
        </w:rPr>
        <w:t xml:space="preserve"> до одбори</w:t>
      </w:r>
      <w:r w:rsidR="00F85063">
        <w:rPr>
          <w:sz w:val="24"/>
          <w:szCs w:val="24"/>
          <w:lang w:val="mk-MK"/>
        </w:rPr>
        <w:t xml:space="preserve"> доминирани од вештачка интелигенција</w:t>
      </w:r>
      <w:r w:rsidRPr="00EF467C">
        <w:rPr>
          <w:sz w:val="24"/>
          <w:szCs w:val="24"/>
          <w:lang w:val="mk-MK"/>
        </w:rPr>
        <w:t xml:space="preserve">, корпоративното управување евидентира континуиран развој, обликуван од правни, економски и општествени сили. </w:t>
      </w:r>
      <w:r w:rsidR="0060141D">
        <w:rPr>
          <w:sz w:val="24"/>
          <w:szCs w:val="24"/>
          <w:lang w:val="mk-MK"/>
        </w:rPr>
        <w:t>Оттука, јасно е дека и</w:t>
      </w:r>
      <w:r w:rsidRPr="00EF467C">
        <w:rPr>
          <w:sz w:val="24"/>
          <w:szCs w:val="24"/>
          <w:lang w:val="mk-MK"/>
        </w:rPr>
        <w:t>днината ќе зависи од способноста на корпорациите да ги прилагодат своите структури кон глобалните предизвици, одржливоста и етичките очекувања, задржувајќи ја довербата на акционерите</w:t>
      </w:r>
      <w:r w:rsidR="00361DEF">
        <w:rPr>
          <w:sz w:val="24"/>
          <w:szCs w:val="24"/>
          <w:lang w:val="mk-MK"/>
        </w:rPr>
        <w:t>, вработените</w:t>
      </w:r>
      <w:r w:rsidRPr="00EF467C">
        <w:rPr>
          <w:sz w:val="24"/>
          <w:szCs w:val="24"/>
          <w:lang w:val="mk-MK"/>
        </w:rPr>
        <w:t xml:space="preserve"> и општеството.</w:t>
      </w:r>
      <w:r w:rsidR="00683DEF">
        <w:rPr>
          <w:sz w:val="24"/>
          <w:szCs w:val="24"/>
          <w:lang w:val="mk-MK"/>
        </w:rPr>
        <w:t xml:space="preserve"> </w:t>
      </w:r>
    </w:p>
    <w:p w14:paraId="0D613AE0" w14:textId="5148D124" w:rsidR="00107E81" w:rsidRPr="00D22054" w:rsidRDefault="00D22054" w:rsidP="009330C0">
      <w:pPr>
        <w:pStyle w:val="Heading1"/>
        <w:numPr>
          <w:ilvl w:val="0"/>
          <w:numId w:val="6"/>
        </w:numPr>
        <w:jc w:val="both"/>
      </w:pPr>
      <w:bookmarkStart w:id="10" w:name="_Toc230523863"/>
      <w:r>
        <w:rPr>
          <w:lang w:val="mk-MK"/>
        </w:rPr>
        <w:lastRenderedPageBreak/>
        <w:t>К</w:t>
      </w:r>
      <w:r w:rsidR="00107E81" w:rsidRPr="00D22054">
        <w:rPr>
          <w:lang w:val="mk-MK"/>
        </w:rPr>
        <w:t>орпоративното управување</w:t>
      </w:r>
      <w:r w:rsidR="001413FB">
        <w:rPr>
          <w:lang w:val="mk-MK"/>
        </w:rPr>
        <w:t xml:space="preserve"> во денешна смисла</w:t>
      </w:r>
      <w:bookmarkEnd w:id="10"/>
    </w:p>
    <w:p w14:paraId="2E31CC15" w14:textId="7EE0AC1D" w:rsidR="00ED2B59" w:rsidRPr="00F53881" w:rsidRDefault="00ED2B59" w:rsidP="00ED2B59">
      <w:pPr>
        <w:spacing w:before="240"/>
        <w:ind w:firstLine="720"/>
        <w:jc w:val="both"/>
        <w:rPr>
          <w:sz w:val="24"/>
          <w:szCs w:val="24"/>
          <w:lang w:val="mk-MK"/>
        </w:rPr>
      </w:pPr>
      <w:r w:rsidRPr="00F53881">
        <w:rPr>
          <w:sz w:val="24"/>
          <w:szCs w:val="24"/>
          <w:lang w:val="mk-MK"/>
        </w:rPr>
        <w:t xml:space="preserve">Поимот корпоративно управување, во </w:t>
      </w:r>
      <w:r w:rsidR="002977D6">
        <w:rPr>
          <w:sz w:val="24"/>
          <w:szCs w:val="24"/>
          <w:lang w:val="mk-MK"/>
        </w:rPr>
        <w:t xml:space="preserve">денешно </w:t>
      </w:r>
      <w:r w:rsidRPr="00F53881">
        <w:rPr>
          <w:sz w:val="24"/>
          <w:szCs w:val="24"/>
          <w:lang w:val="mk-MK"/>
        </w:rPr>
        <w:t>значење,</w:t>
      </w:r>
      <w:r w:rsidRPr="00F53881">
        <w:rPr>
          <w:rStyle w:val="FootnoteReference"/>
          <w:sz w:val="24"/>
          <w:szCs w:val="24"/>
          <w:lang w:val="mk-MK"/>
        </w:rPr>
        <w:footnoteReference w:id="85"/>
      </w:r>
      <w:r w:rsidRPr="00F53881">
        <w:rPr>
          <w:sz w:val="24"/>
          <w:szCs w:val="24"/>
          <w:lang w:val="mk-MK"/>
        </w:rPr>
        <w:t xml:space="preserve"> го опфаќа начинот на кој се воспоставува рамнотежа на интересите што во однос на определено трговско друштво постојат помеѓу различни лица и ентитети.</w:t>
      </w:r>
      <w:r w:rsidRPr="00F53881">
        <w:rPr>
          <w:rStyle w:val="FootnoteReference"/>
          <w:sz w:val="24"/>
          <w:szCs w:val="24"/>
          <w:lang w:val="mk-MK"/>
        </w:rPr>
        <w:footnoteReference w:id="86"/>
      </w:r>
      <w:r w:rsidRPr="00F53881">
        <w:rPr>
          <w:sz w:val="24"/>
          <w:szCs w:val="24"/>
          <w:lang w:val="mk-MK"/>
        </w:rPr>
        <w:t xml:space="preserve"> Со ваквата поставеност се означува системот преку кој се дефинираат и постигнуваат целите на компанијата, се проценуваат нејзините ризици и се одбираат тактиките за остварување на добри перформанси.</w:t>
      </w:r>
      <w:r w:rsidRPr="00F53881">
        <w:rPr>
          <w:rStyle w:val="FootnoteReference"/>
          <w:sz w:val="24"/>
          <w:szCs w:val="24"/>
          <w:lang w:val="mk-MK"/>
        </w:rPr>
        <w:footnoteReference w:id="87"/>
      </w:r>
      <w:r w:rsidRPr="00F53881">
        <w:rPr>
          <w:sz w:val="24"/>
          <w:szCs w:val="24"/>
          <w:lang w:val="mk-MK"/>
        </w:rPr>
        <w:t xml:space="preserve"> Компаниите со добро корпоративно управување создаваат практики кои се во интерес на сите засегнати лица, вклучувајќи ги акционерите, вработените, клиентите, добавувачите, потенцијалните инвеститори и општествената средина во која компанијата ја врши својата дејност.</w:t>
      </w:r>
      <w:r w:rsidRPr="00F53881">
        <w:rPr>
          <w:rStyle w:val="FootnoteReference"/>
          <w:sz w:val="24"/>
          <w:szCs w:val="24"/>
          <w:lang w:val="mk-MK"/>
        </w:rPr>
        <w:footnoteReference w:id="88"/>
      </w:r>
      <w:r w:rsidRPr="00F53881">
        <w:rPr>
          <w:sz w:val="24"/>
          <w:szCs w:val="24"/>
          <w:lang w:val="mk-MK"/>
        </w:rPr>
        <w:t xml:space="preserve"> Со други зборови, доброто корпоративно управување се обидува да обезбеди хармонија на односите помеѓу страни кои имаат некаков интерес поврзан со компанијата.</w:t>
      </w:r>
      <w:r w:rsidRPr="00F53881">
        <w:rPr>
          <w:rStyle w:val="FootnoteReference"/>
          <w:sz w:val="24"/>
          <w:szCs w:val="24"/>
          <w:lang w:val="mk-MK"/>
        </w:rPr>
        <w:footnoteReference w:id="89"/>
      </w:r>
    </w:p>
    <w:p w14:paraId="476F1686" w14:textId="64BB5BD4" w:rsidR="00ED2B59" w:rsidRPr="00F53881" w:rsidRDefault="00ED2B59" w:rsidP="00ED2B59">
      <w:pPr>
        <w:spacing w:before="240"/>
        <w:ind w:firstLine="720"/>
        <w:jc w:val="both"/>
        <w:rPr>
          <w:sz w:val="24"/>
          <w:szCs w:val="24"/>
          <w:lang w:val="mk-MK"/>
        </w:rPr>
      </w:pPr>
      <w:r w:rsidRPr="00F53881">
        <w:rPr>
          <w:sz w:val="24"/>
          <w:szCs w:val="24"/>
          <w:lang w:val="mk-MK"/>
        </w:rPr>
        <w:t>Притоа, јасно е дека дискутирањето за корпоративното управување вклучува мошне широк опфат на вклучени страни („засегнати лица“), од кои секоја има различни цели и интереси во врска со компанијата.</w:t>
      </w:r>
      <w:r w:rsidRPr="00F53881">
        <w:rPr>
          <w:rStyle w:val="FootnoteReference"/>
          <w:sz w:val="24"/>
          <w:szCs w:val="24"/>
          <w:lang w:val="mk-MK"/>
        </w:rPr>
        <w:footnoteReference w:id="90"/>
      </w:r>
      <w:r w:rsidRPr="00F53881">
        <w:rPr>
          <w:sz w:val="24"/>
          <w:szCs w:val="24"/>
          <w:lang w:val="mk-MK"/>
        </w:rPr>
        <w:t xml:space="preserve"> Сопствениците на капиталот во основа настојуваат да ја зголем</w:t>
      </w:r>
      <w:r w:rsidR="001240DB">
        <w:rPr>
          <w:sz w:val="24"/>
          <w:szCs w:val="24"/>
          <w:lang w:val="mk-MK"/>
        </w:rPr>
        <w:t>ат</w:t>
      </w:r>
      <w:r w:rsidRPr="00F53881">
        <w:rPr>
          <w:sz w:val="24"/>
          <w:szCs w:val="24"/>
          <w:lang w:val="mk-MK"/>
        </w:rPr>
        <w:t xml:space="preserve"> добивката; директорите и менаџерите се обидуваат да ја максимираат наградата што ја добиваат за раководење со компанијата и што повеќе да ги изразат своите капацитети, додека на кредиторите им е важно не само да ги пласираат средствата, туку и да го осигурат нивниот поврат по што е можно поповолни услови за нив.</w:t>
      </w:r>
      <w:r w:rsidRPr="00F53881">
        <w:rPr>
          <w:rStyle w:val="FootnoteReference"/>
          <w:sz w:val="24"/>
          <w:szCs w:val="24"/>
          <w:lang w:val="mk-MK"/>
        </w:rPr>
        <w:footnoteReference w:id="91"/>
      </w:r>
      <w:r w:rsidRPr="00F53881">
        <w:rPr>
          <w:sz w:val="24"/>
          <w:szCs w:val="24"/>
          <w:lang w:val="mk-MK"/>
        </w:rPr>
        <w:t xml:space="preserve"> Понатаму</w:t>
      </w:r>
      <w:r w:rsidR="00E84C0B">
        <w:rPr>
          <w:sz w:val="24"/>
          <w:szCs w:val="24"/>
          <w:lang w:val="mk-MK"/>
        </w:rPr>
        <w:t>,</w:t>
      </w:r>
      <w:r w:rsidRPr="00F53881">
        <w:rPr>
          <w:sz w:val="24"/>
          <w:szCs w:val="24"/>
          <w:lang w:val="mk-MK"/>
        </w:rPr>
        <w:t xml:space="preserve"> владата е насочена кон прибирањето на даноците и придонесите, инвеститорите се обидуваат да оценат дали компанијата би била соодветно место за вложување на нивните средства и конечно вработените имаат интерес да обезбедат можности за сопствен професионален развој во компанијата и за тоа да бидат соодветно наградени.</w:t>
      </w:r>
      <w:r w:rsidRPr="00F53881">
        <w:rPr>
          <w:rStyle w:val="FootnoteReference"/>
          <w:sz w:val="24"/>
          <w:szCs w:val="24"/>
          <w:lang w:val="mk-MK"/>
        </w:rPr>
        <w:footnoteReference w:id="92"/>
      </w:r>
      <w:r w:rsidRPr="00F53881">
        <w:rPr>
          <w:sz w:val="24"/>
          <w:szCs w:val="24"/>
          <w:lang w:val="en-US"/>
        </w:rPr>
        <w:t xml:space="preserve"> </w:t>
      </w:r>
      <w:r w:rsidRPr="00F53881">
        <w:rPr>
          <w:sz w:val="24"/>
          <w:szCs w:val="24"/>
          <w:lang w:val="mk-MK"/>
        </w:rPr>
        <w:t>Токму во овој дел се наоѓа</w:t>
      </w:r>
      <w:r w:rsidR="000178CA">
        <w:rPr>
          <w:sz w:val="24"/>
          <w:szCs w:val="24"/>
          <w:lang w:val="mk-MK"/>
        </w:rPr>
        <w:t>ат</w:t>
      </w:r>
      <w:r w:rsidRPr="00F53881">
        <w:rPr>
          <w:sz w:val="24"/>
          <w:szCs w:val="24"/>
          <w:lang w:val="mk-MK"/>
        </w:rPr>
        <w:t xml:space="preserve"> корените на истражувачкото прашање на ов</w:t>
      </w:r>
      <w:r w:rsidR="000178CA">
        <w:rPr>
          <w:sz w:val="24"/>
          <w:szCs w:val="24"/>
          <w:lang w:val="mk-MK"/>
        </w:rPr>
        <w:t>аа</w:t>
      </w:r>
      <w:r w:rsidRPr="00F53881">
        <w:rPr>
          <w:sz w:val="24"/>
          <w:szCs w:val="24"/>
          <w:lang w:val="mk-MK"/>
        </w:rPr>
        <w:t xml:space="preserve"> </w:t>
      </w:r>
      <w:r w:rsidR="000178CA">
        <w:rPr>
          <w:sz w:val="24"/>
          <w:szCs w:val="24"/>
          <w:lang w:val="mk-MK"/>
        </w:rPr>
        <w:t>дисертација</w:t>
      </w:r>
      <w:r w:rsidRPr="00F53881">
        <w:rPr>
          <w:sz w:val="24"/>
          <w:szCs w:val="24"/>
          <w:lang w:val="mk-MK"/>
        </w:rPr>
        <w:t xml:space="preserve"> во однос на учеството на работниците во одлучувањето на органите на трговските друштва и/или преку доделувањето акции и станување</w:t>
      </w:r>
      <w:r w:rsidR="00D904D2">
        <w:rPr>
          <w:sz w:val="24"/>
          <w:szCs w:val="24"/>
          <w:lang w:val="mk-MK"/>
        </w:rPr>
        <w:t>то</w:t>
      </w:r>
      <w:r w:rsidRPr="00F53881">
        <w:rPr>
          <w:sz w:val="24"/>
          <w:szCs w:val="24"/>
          <w:lang w:val="mk-MK"/>
        </w:rPr>
        <w:t xml:space="preserve"> акционери. </w:t>
      </w:r>
    </w:p>
    <w:p w14:paraId="0BBFE4CE" w14:textId="418FB9E3" w:rsidR="00ED2B59" w:rsidRPr="00F53881" w:rsidRDefault="00ED2B59" w:rsidP="00ED2B59">
      <w:pPr>
        <w:spacing w:before="240"/>
        <w:ind w:firstLine="720"/>
        <w:jc w:val="both"/>
        <w:rPr>
          <w:sz w:val="24"/>
          <w:szCs w:val="24"/>
          <w:lang w:val="mk-MK"/>
        </w:rPr>
      </w:pPr>
      <w:r w:rsidRPr="00F53881">
        <w:rPr>
          <w:sz w:val="24"/>
          <w:szCs w:val="24"/>
          <w:lang w:val="mk-MK"/>
        </w:rPr>
        <w:t>Во овој правец, вниманието</w:t>
      </w:r>
      <w:r w:rsidR="00D904D2">
        <w:rPr>
          <w:sz w:val="24"/>
          <w:szCs w:val="24"/>
          <w:lang w:val="mk-MK"/>
        </w:rPr>
        <w:t xml:space="preserve"> се врти</w:t>
      </w:r>
      <w:r w:rsidRPr="00F53881">
        <w:rPr>
          <w:sz w:val="24"/>
          <w:szCs w:val="24"/>
          <w:lang w:val="mk-MK"/>
        </w:rPr>
        <w:t xml:space="preserve"> кон светските искуства со цел истите да се тестираат и пренесат во македонскиот контекст во однос на вклученоста на вработените преку двата модела, кои, и покрај декларативните намери, остануваат доста скромни од позитивно-правен и практичен аспект во нашата држава, но и пошироко во регионот. Со оваа анализа</w:t>
      </w:r>
      <w:r w:rsidR="00FD736E">
        <w:rPr>
          <w:sz w:val="24"/>
          <w:szCs w:val="24"/>
          <w:lang w:val="mk-MK"/>
        </w:rPr>
        <w:t xml:space="preserve"> се создава</w:t>
      </w:r>
      <w:r w:rsidRPr="00F53881">
        <w:rPr>
          <w:sz w:val="24"/>
          <w:szCs w:val="24"/>
          <w:lang w:val="mk-MK"/>
        </w:rPr>
        <w:t xml:space="preserve"> потенцијална основа за примена на добрите меѓународни практики во македонските трговски друштва. Сепак, </w:t>
      </w:r>
      <w:r w:rsidR="00FD736E">
        <w:rPr>
          <w:sz w:val="24"/>
          <w:szCs w:val="24"/>
          <w:lang w:val="mk-MK"/>
        </w:rPr>
        <w:t xml:space="preserve">за да се </w:t>
      </w:r>
      <w:r w:rsidR="00FD736E" w:rsidRPr="00F53881">
        <w:rPr>
          <w:sz w:val="24"/>
          <w:szCs w:val="24"/>
          <w:lang w:val="mk-MK"/>
        </w:rPr>
        <w:t xml:space="preserve">согледаат светските </w:t>
      </w:r>
      <w:r w:rsidR="00FD736E" w:rsidRPr="00F53881">
        <w:rPr>
          <w:sz w:val="24"/>
          <w:szCs w:val="24"/>
          <w:lang w:val="mk-MK"/>
        </w:rPr>
        <w:lastRenderedPageBreak/>
        <w:t>трендови и современите теков</w:t>
      </w:r>
      <w:r w:rsidR="00CD5671">
        <w:rPr>
          <w:sz w:val="24"/>
          <w:szCs w:val="24"/>
          <w:lang w:val="mk-MK"/>
        </w:rPr>
        <w:t>и во линија со веќе наведенето,</w:t>
      </w:r>
      <w:r w:rsidRPr="00F53881">
        <w:rPr>
          <w:sz w:val="24"/>
          <w:szCs w:val="24"/>
          <w:lang w:val="mk-MK"/>
        </w:rPr>
        <w:t xml:space="preserve"> развивањето на концептот на корпоративното управување </w:t>
      </w:r>
      <w:r w:rsidR="00C12DFA">
        <w:rPr>
          <w:sz w:val="24"/>
          <w:szCs w:val="24"/>
          <w:lang w:val="mk-MK"/>
        </w:rPr>
        <w:t>мора да се гледа низ призма на историскиот контекст.</w:t>
      </w:r>
    </w:p>
    <w:p w14:paraId="5BB9694F" w14:textId="77777777" w:rsidR="00ED2B59" w:rsidRPr="00F53881" w:rsidRDefault="00ED2B59" w:rsidP="00ED2B59">
      <w:pPr>
        <w:spacing w:before="240"/>
        <w:ind w:firstLine="720"/>
        <w:jc w:val="center"/>
        <w:rPr>
          <w:i/>
          <w:iCs/>
          <w:lang w:val="en-US"/>
        </w:rPr>
      </w:pPr>
      <w:r w:rsidRPr="00F53881">
        <w:rPr>
          <w:i/>
          <w:iCs/>
          <w:lang w:val="mk-MK"/>
        </w:rPr>
        <w:t>Табела број 1: Календар на настани значајни за развојот на корпоративното управување во периодот од 1600</w:t>
      </w:r>
      <w:r w:rsidRPr="00F53881">
        <w:rPr>
          <w:i/>
          <w:iCs/>
          <w:lang w:val="en-US"/>
        </w:rPr>
        <w:t xml:space="preserve"> </w:t>
      </w:r>
      <w:r w:rsidRPr="00F53881">
        <w:rPr>
          <w:i/>
          <w:iCs/>
          <w:lang w:val="mk-MK"/>
        </w:rPr>
        <w:t>до 1992 година.</w:t>
      </w:r>
    </w:p>
    <w:p w14:paraId="7309D78F" w14:textId="77777777" w:rsidR="00ED2B59" w:rsidRPr="00F53881" w:rsidRDefault="00ED2B59" w:rsidP="00ED2B59">
      <w:pPr>
        <w:spacing w:before="240"/>
        <w:jc w:val="center"/>
        <w:rPr>
          <w:sz w:val="24"/>
          <w:szCs w:val="24"/>
          <w:lang w:val="mk-MK"/>
        </w:rPr>
      </w:pPr>
      <w:r w:rsidRPr="00F53881">
        <w:rPr>
          <w:noProof/>
          <w:sz w:val="24"/>
          <w:szCs w:val="24"/>
          <w:lang w:val="en-US"/>
        </w:rPr>
        <w:drawing>
          <wp:inline distT="0" distB="0" distL="0" distR="0" wp14:anchorId="135059A9" wp14:editId="0C8C67F0">
            <wp:extent cx="4134427" cy="4572638"/>
            <wp:effectExtent l="0" t="0" r="0" b="0"/>
            <wp:docPr id="129735906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97359060" name=""/>
                    <pic:cNvPicPr/>
                  </pic:nvPicPr>
                  <pic:blipFill>
                    <a:blip r:embed="rId13"/>
                    <a:stretch>
                      <a:fillRect/>
                    </a:stretch>
                  </pic:blipFill>
                  <pic:spPr>
                    <a:xfrm>
                      <a:off x="0" y="0"/>
                      <a:ext cx="4134427" cy="4572638"/>
                    </a:xfrm>
                    <a:prstGeom prst="rect">
                      <a:avLst/>
                    </a:prstGeom>
                  </pic:spPr>
                </pic:pic>
              </a:graphicData>
            </a:graphic>
          </wp:inline>
        </w:drawing>
      </w:r>
    </w:p>
    <w:p w14:paraId="5B9F7D50" w14:textId="77777777" w:rsidR="00ED2B59" w:rsidRPr="00F53881" w:rsidRDefault="00ED2B59" w:rsidP="00ED2B59">
      <w:pPr>
        <w:spacing w:before="240"/>
        <w:jc w:val="center"/>
        <w:rPr>
          <w:i/>
          <w:iCs/>
          <w:lang w:val="mk-MK"/>
        </w:rPr>
      </w:pPr>
      <w:r w:rsidRPr="00F53881">
        <w:rPr>
          <w:i/>
          <w:iCs/>
          <w:lang w:val="mk-MK"/>
        </w:rPr>
        <w:t>Извор: Коевски Г. (2011), страница број 21.</w:t>
      </w:r>
    </w:p>
    <w:p w14:paraId="1097435A" w14:textId="599B29AF" w:rsidR="00ED2B59" w:rsidRPr="00F53881" w:rsidRDefault="00ED2B59" w:rsidP="00ED2B59">
      <w:pPr>
        <w:spacing w:before="240"/>
        <w:ind w:firstLine="720"/>
        <w:jc w:val="both"/>
        <w:rPr>
          <w:sz w:val="24"/>
          <w:szCs w:val="24"/>
          <w:lang w:val="mk-MK"/>
        </w:rPr>
      </w:pPr>
      <w:r w:rsidRPr="00F53881">
        <w:rPr>
          <w:sz w:val="24"/>
          <w:szCs w:val="24"/>
          <w:lang w:val="mk-MK"/>
        </w:rPr>
        <w:t>Од посочената табела, очигледни се тектонските промени во сферата на корпоративното управување и растот на концептот во една од најважните „алатки“ за одржување,</w:t>
      </w:r>
      <w:r w:rsidRPr="00F53881">
        <w:rPr>
          <w:rStyle w:val="FootnoteReference"/>
          <w:sz w:val="24"/>
          <w:szCs w:val="24"/>
          <w:lang w:val="mk-MK"/>
        </w:rPr>
        <w:footnoteReference w:id="93"/>
      </w:r>
      <w:r w:rsidRPr="00F53881">
        <w:rPr>
          <w:sz w:val="24"/>
          <w:szCs w:val="24"/>
          <w:lang w:val="mk-MK"/>
        </w:rPr>
        <w:t xml:space="preserve"> раст и просперитет на компаниите денес.</w:t>
      </w:r>
      <w:r w:rsidRPr="00F53881">
        <w:rPr>
          <w:rStyle w:val="FootnoteReference"/>
          <w:sz w:val="24"/>
          <w:szCs w:val="24"/>
          <w:lang w:val="mk-MK"/>
        </w:rPr>
        <w:footnoteReference w:id="94"/>
      </w:r>
      <w:r w:rsidRPr="00F53881">
        <w:rPr>
          <w:sz w:val="24"/>
          <w:szCs w:val="24"/>
          <w:lang w:val="mk-MK"/>
        </w:rPr>
        <w:t xml:space="preserve"> Особено од почетокот на 90тите кога надворешниот и странскиот капитал станува сè позначаен извор на финансирање, доброто корпоративно управување има критична улога во заштитата на интересите на инвеститорите.</w:t>
      </w:r>
      <w:r w:rsidRPr="00F53881">
        <w:rPr>
          <w:rStyle w:val="FootnoteReference"/>
          <w:sz w:val="24"/>
          <w:szCs w:val="24"/>
          <w:lang w:val="mk-MK"/>
        </w:rPr>
        <w:footnoteReference w:id="95"/>
      </w:r>
      <w:r w:rsidRPr="00F53881">
        <w:rPr>
          <w:sz w:val="24"/>
          <w:szCs w:val="24"/>
          <w:lang w:val="mk-MK"/>
        </w:rPr>
        <w:t xml:space="preserve"> Без оглед на развојот на националната економија, недостатокот на информации за перформансите на компанијата или слабите практики на корпоративно управување често ги одвраќаат потенцијалните инвеститори.</w:t>
      </w:r>
      <w:r w:rsidRPr="00F53881">
        <w:rPr>
          <w:rStyle w:val="FootnoteReference"/>
          <w:sz w:val="24"/>
          <w:szCs w:val="24"/>
          <w:lang w:val="mk-MK"/>
        </w:rPr>
        <w:footnoteReference w:id="96"/>
      </w:r>
      <w:r w:rsidRPr="00F53881">
        <w:rPr>
          <w:sz w:val="24"/>
          <w:szCs w:val="24"/>
          <w:lang w:val="mk-MK"/>
        </w:rPr>
        <w:t xml:space="preserve"> Капиталот континуирано </w:t>
      </w:r>
      <w:r w:rsidRPr="00F53881">
        <w:rPr>
          <w:sz w:val="24"/>
          <w:szCs w:val="24"/>
          <w:lang w:val="mk-MK"/>
        </w:rPr>
        <w:lastRenderedPageBreak/>
        <w:t>ги одбегнува компаниите кои личат на затворени црни кутии и се насочува кон оние што ги почитуваат добрите практики.</w:t>
      </w:r>
      <w:r w:rsidRPr="00F53881">
        <w:rPr>
          <w:rStyle w:val="FootnoteReference"/>
          <w:sz w:val="24"/>
          <w:szCs w:val="24"/>
          <w:lang w:val="mk-MK"/>
        </w:rPr>
        <w:footnoteReference w:id="97"/>
      </w:r>
      <w:r w:rsidRPr="00F53881">
        <w:rPr>
          <w:sz w:val="24"/>
          <w:szCs w:val="24"/>
          <w:lang w:val="mk-MK"/>
        </w:rPr>
        <w:t xml:space="preserve"> Ова многу јасно посочува на важноста од транспарентноста за трговските друштва</w:t>
      </w:r>
      <w:r w:rsidR="00956976">
        <w:rPr>
          <w:sz w:val="24"/>
          <w:szCs w:val="24"/>
          <w:lang w:val="mk-MK"/>
        </w:rPr>
        <w:t>,</w:t>
      </w:r>
      <w:r w:rsidRPr="00F53881">
        <w:rPr>
          <w:rStyle w:val="FootnoteReference"/>
          <w:sz w:val="24"/>
          <w:szCs w:val="24"/>
          <w:lang w:val="mk-MK"/>
        </w:rPr>
        <w:footnoteReference w:id="98"/>
      </w:r>
      <w:r w:rsidRPr="00F53881">
        <w:rPr>
          <w:sz w:val="24"/>
          <w:szCs w:val="24"/>
          <w:lang w:val="mk-MK"/>
        </w:rPr>
        <w:t xml:space="preserve"> </w:t>
      </w:r>
      <w:r w:rsidR="00A82BFB">
        <w:rPr>
          <w:sz w:val="24"/>
          <w:szCs w:val="24"/>
          <w:lang w:val="mk-MK"/>
        </w:rPr>
        <w:t>и бара</w:t>
      </w:r>
      <w:r w:rsidRPr="00F53881">
        <w:rPr>
          <w:sz w:val="24"/>
          <w:szCs w:val="24"/>
          <w:lang w:val="mk-MK"/>
        </w:rPr>
        <w:t xml:space="preserve"> уште поголем фокус од 90тите.</w:t>
      </w:r>
      <w:r w:rsidRPr="00F53881">
        <w:rPr>
          <w:rStyle w:val="FootnoteReference"/>
          <w:sz w:val="24"/>
          <w:szCs w:val="24"/>
          <w:lang w:val="mk-MK"/>
        </w:rPr>
        <w:footnoteReference w:id="99"/>
      </w:r>
      <w:r w:rsidRPr="00F53881">
        <w:rPr>
          <w:sz w:val="24"/>
          <w:szCs w:val="24"/>
          <w:lang w:val="mk-MK"/>
        </w:rPr>
        <w:t xml:space="preserve">  </w:t>
      </w:r>
    </w:p>
    <w:p w14:paraId="15FF8CA5" w14:textId="4745B535" w:rsidR="00ED2B59" w:rsidRPr="00F53881" w:rsidRDefault="00ED2B59" w:rsidP="00A82BFB">
      <w:pPr>
        <w:spacing w:before="240"/>
        <w:jc w:val="center"/>
        <w:rPr>
          <w:i/>
          <w:iCs/>
          <w:lang w:val="mk-MK"/>
        </w:rPr>
      </w:pPr>
      <w:r w:rsidRPr="00F53881">
        <w:rPr>
          <w:i/>
          <w:iCs/>
          <w:lang w:val="mk-MK"/>
        </w:rPr>
        <w:t>Табела број 2: Календар на настани</w:t>
      </w:r>
      <w:r w:rsidR="00C03FDD" w:rsidRPr="00C03FDD">
        <w:rPr>
          <w:i/>
          <w:iCs/>
          <w:lang w:val="mk-MK"/>
        </w:rPr>
        <w:t xml:space="preserve"> </w:t>
      </w:r>
      <w:r w:rsidR="00C03FDD" w:rsidRPr="00F53881">
        <w:rPr>
          <w:i/>
          <w:iCs/>
          <w:lang w:val="mk-MK"/>
        </w:rPr>
        <w:t>значајни за развојот на корпоративното управување во периодот</w:t>
      </w:r>
      <w:r w:rsidRPr="00F53881">
        <w:rPr>
          <w:i/>
          <w:iCs/>
          <w:lang w:val="mk-MK"/>
        </w:rPr>
        <w:t xml:space="preserve"> од 1994</w:t>
      </w:r>
      <w:r w:rsidRPr="00F53881">
        <w:rPr>
          <w:i/>
          <w:iCs/>
          <w:lang w:val="en-US"/>
        </w:rPr>
        <w:t xml:space="preserve"> </w:t>
      </w:r>
      <w:r w:rsidRPr="00F53881">
        <w:rPr>
          <w:i/>
          <w:iCs/>
          <w:lang w:val="mk-MK"/>
        </w:rPr>
        <w:t>до 2010 година</w:t>
      </w:r>
      <w:r w:rsidR="001E2DA8">
        <w:rPr>
          <w:i/>
          <w:iCs/>
          <w:lang w:val="mk-MK"/>
        </w:rPr>
        <w:t>.</w:t>
      </w:r>
      <w:r w:rsidR="00055D10">
        <w:rPr>
          <w:i/>
          <w:iCs/>
          <w:lang w:val="mk-MK"/>
        </w:rPr>
        <w:t xml:space="preserve"> </w:t>
      </w:r>
      <w:r w:rsidR="00055D10" w:rsidRPr="00F53881">
        <w:rPr>
          <w:i/>
          <w:iCs/>
          <w:lang w:val="mk-MK"/>
        </w:rPr>
        <w:t>Извор: Коевски Г. (2011), стр</w:t>
      </w:r>
      <w:r w:rsidR="00322690">
        <w:rPr>
          <w:i/>
          <w:iCs/>
          <w:lang w:val="mk-MK"/>
        </w:rPr>
        <w:t>аница број</w:t>
      </w:r>
      <w:r w:rsidR="00055D10" w:rsidRPr="00F53881">
        <w:rPr>
          <w:i/>
          <w:iCs/>
          <w:lang w:val="mk-MK"/>
        </w:rPr>
        <w:t xml:space="preserve"> 22.</w:t>
      </w:r>
    </w:p>
    <w:p w14:paraId="07C34B38" w14:textId="77777777" w:rsidR="00ED2B59" w:rsidRPr="00F53881" w:rsidRDefault="00ED2B59" w:rsidP="00ED2B59">
      <w:pPr>
        <w:spacing w:before="240"/>
        <w:jc w:val="center"/>
        <w:rPr>
          <w:sz w:val="24"/>
          <w:szCs w:val="24"/>
          <w:lang w:val="mk-MK"/>
        </w:rPr>
      </w:pPr>
      <w:r w:rsidRPr="00F53881">
        <w:rPr>
          <w:noProof/>
          <w:sz w:val="24"/>
          <w:szCs w:val="24"/>
          <w:lang w:val="mk-MK"/>
        </w:rPr>
        <w:drawing>
          <wp:inline distT="0" distB="0" distL="0" distR="0" wp14:anchorId="017C16DE" wp14:editId="64C98B33">
            <wp:extent cx="3811815" cy="6229350"/>
            <wp:effectExtent l="0" t="0" r="0" b="0"/>
            <wp:docPr id="1345679640"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45679640" name=""/>
                    <pic:cNvPicPr/>
                  </pic:nvPicPr>
                  <pic:blipFill>
                    <a:blip r:embed="rId14"/>
                    <a:stretch>
                      <a:fillRect/>
                    </a:stretch>
                  </pic:blipFill>
                  <pic:spPr>
                    <a:xfrm>
                      <a:off x="0" y="0"/>
                      <a:ext cx="3836306" cy="6269373"/>
                    </a:xfrm>
                    <a:prstGeom prst="rect">
                      <a:avLst/>
                    </a:prstGeom>
                  </pic:spPr>
                </pic:pic>
              </a:graphicData>
            </a:graphic>
          </wp:inline>
        </w:drawing>
      </w:r>
    </w:p>
    <w:p w14:paraId="4FCC1E43" w14:textId="4148A686" w:rsidR="00ED2B59" w:rsidRPr="00F53881" w:rsidRDefault="00ED2B59" w:rsidP="00ED2B59">
      <w:pPr>
        <w:spacing w:before="240"/>
        <w:ind w:firstLine="720"/>
        <w:jc w:val="both"/>
        <w:rPr>
          <w:sz w:val="24"/>
          <w:szCs w:val="24"/>
          <w:lang w:val="mk-MK"/>
        </w:rPr>
      </w:pPr>
      <w:r w:rsidRPr="00F53881">
        <w:rPr>
          <w:sz w:val="24"/>
          <w:szCs w:val="24"/>
          <w:lang w:val="mk-MK"/>
        </w:rPr>
        <w:lastRenderedPageBreak/>
        <w:t>Наведените примери за големи корпорации кои банкротирале поради слабости во корпоративното управување, често придружени со скандали и мега-измами извршени од менаџерските структури, сведочат за важноста на доброто управување.</w:t>
      </w:r>
      <w:r w:rsidRPr="00F53881">
        <w:rPr>
          <w:rStyle w:val="FootnoteReference"/>
          <w:sz w:val="24"/>
          <w:szCs w:val="24"/>
          <w:lang w:val="mk-MK"/>
        </w:rPr>
        <w:footnoteReference w:id="100"/>
      </w:r>
      <w:r w:rsidRPr="00F53881">
        <w:rPr>
          <w:sz w:val="24"/>
          <w:szCs w:val="24"/>
          <w:lang w:val="mk-MK"/>
        </w:rPr>
        <w:t xml:space="preserve"> Од раѓањето на концептот низ клучните датуми во светската практика на корпоративно управување и познати афери кои покажуваат како слабата структура може да доведе до пропаѓање на компании, па се до денешните трендови и текови, јасно е дека транспарентноста и луѓето кои ги управуваат/работат во трговските друштва се клучни за нивниот развој, раст и успех.</w:t>
      </w:r>
      <w:r w:rsidRPr="00F53881">
        <w:rPr>
          <w:rStyle w:val="FootnoteReference"/>
          <w:sz w:val="24"/>
          <w:szCs w:val="24"/>
          <w:lang w:val="mk-MK"/>
        </w:rPr>
        <w:footnoteReference w:id="101"/>
      </w:r>
      <w:r w:rsidRPr="00F53881">
        <w:rPr>
          <w:sz w:val="24"/>
          <w:szCs w:val="24"/>
          <w:lang w:val="mk-MK"/>
        </w:rPr>
        <w:t xml:space="preserve"> </w:t>
      </w:r>
      <w:r w:rsidR="00232AA0">
        <w:rPr>
          <w:sz w:val="24"/>
          <w:szCs w:val="24"/>
          <w:lang w:val="mk-MK"/>
        </w:rPr>
        <w:t>Доказ за тоа се</w:t>
      </w:r>
      <w:r w:rsidRPr="00F53881">
        <w:rPr>
          <w:sz w:val="24"/>
          <w:szCs w:val="24"/>
          <w:lang w:val="mk-MK"/>
        </w:rPr>
        <w:t xml:space="preserve"> и последните развојни настани во областа.</w:t>
      </w:r>
      <w:r w:rsidRPr="00F53881">
        <w:rPr>
          <w:rStyle w:val="FootnoteReference"/>
          <w:sz w:val="24"/>
          <w:szCs w:val="24"/>
          <w:lang w:val="mk-MK"/>
        </w:rPr>
        <w:footnoteReference w:id="102"/>
      </w:r>
    </w:p>
    <w:p w14:paraId="64B1C78E" w14:textId="77777777" w:rsidR="00ED2B59" w:rsidRPr="00F53881" w:rsidRDefault="00ED2B59" w:rsidP="00ED2B59">
      <w:pPr>
        <w:spacing w:before="240" w:after="240"/>
        <w:ind w:firstLine="720"/>
        <w:jc w:val="center"/>
        <w:rPr>
          <w:i/>
          <w:iCs/>
          <w:lang w:val="mk-MK"/>
        </w:rPr>
      </w:pPr>
      <w:r w:rsidRPr="00F53881">
        <w:rPr>
          <w:i/>
          <w:iCs/>
          <w:lang w:val="mk-MK"/>
        </w:rPr>
        <w:t>Табела број 3: Календар на настани значајни за развојот на корпоративното управување во периодот од 2013</w:t>
      </w:r>
      <w:r w:rsidRPr="00F53881">
        <w:rPr>
          <w:i/>
          <w:iCs/>
          <w:lang w:val="en-US"/>
        </w:rPr>
        <w:t xml:space="preserve"> </w:t>
      </w:r>
      <w:r w:rsidRPr="00F53881">
        <w:rPr>
          <w:i/>
          <w:iCs/>
          <w:lang w:val="mk-MK"/>
        </w:rPr>
        <w:t>до 2024 година.</w:t>
      </w:r>
    </w:p>
    <w:tbl>
      <w:tblPr>
        <w:tblStyle w:val="TableGrid"/>
        <w:tblW w:w="0" w:type="auto"/>
        <w:tblLook w:val="04A0" w:firstRow="1" w:lastRow="0" w:firstColumn="1" w:lastColumn="0" w:noHBand="0" w:noVBand="1"/>
      </w:tblPr>
      <w:tblGrid>
        <w:gridCol w:w="1316"/>
        <w:gridCol w:w="7704"/>
      </w:tblGrid>
      <w:tr w:rsidR="00ED2B59" w:rsidRPr="00F53881" w14:paraId="0C152768" w14:textId="77777777" w:rsidTr="00E07240">
        <w:tc>
          <w:tcPr>
            <w:tcW w:w="1345" w:type="dxa"/>
            <w:shd w:val="clear" w:color="auto" w:fill="7B7B7B" w:themeFill="accent3" w:themeFillShade="BF"/>
          </w:tcPr>
          <w:p w14:paraId="13417CEA" w14:textId="77777777" w:rsidR="00ED2B59" w:rsidRPr="00F53881" w:rsidRDefault="00ED2B59" w:rsidP="00E07240">
            <w:pPr>
              <w:spacing w:before="240"/>
              <w:jc w:val="both"/>
              <w:rPr>
                <w:b/>
                <w:bCs/>
                <w:sz w:val="21"/>
                <w:szCs w:val="21"/>
                <w:lang w:val="mk-MK"/>
              </w:rPr>
            </w:pPr>
            <w:r w:rsidRPr="00F53881">
              <w:rPr>
                <w:b/>
                <w:bCs/>
                <w:sz w:val="21"/>
                <w:szCs w:val="21"/>
                <w:lang w:val="mk-MK"/>
              </w:rPr>
              <w:t>2013</w:t>
            </w:r>
          </w:p>
        </w:tc>
        <w:tc>
          <w:tcPr>
            <w:tcW w:w="7955" w:type="dxa"/>
            <w:shd w:val="clear" w:color="auto" w:fill="7B7B7B" w:themeFill="accent3" w:themeFillShade="BF"/>
          </w:tcPr>
          <w:p w14:paraId="5261C6D1" w14:textId="77777777" w:rsidR="00ED2B59" w:rsidRPr="00F53881" w:rsidRDefault="00ED2B59" w:rsidP="00E07240">
            <w:pPr>
              <w:jc w:val="both"/>
              <w:rPr>
                <w:sz w:val="21"/>
                <w:szCs w:val="21"/>
                <w:lang w:val="mk-MK"/>
              </w:rPr>
            </w:pPr>
            <w:r w:rsidRPr="00F53881">
              <w:rPr>
                <w:sz w:val="21"/>
                <w:szCs w:val="21"/>
                <w:lang w:val="mk-MK"/>
              </w:rPr>
              <w:t>Организацијата за економска соработка и развој (OECD) издава нови/ревидирани насоки кои промовираат одговорност и транспарентност во корпоративното управување, особено во однос на екологијата и човековите права.</w:t>
            </w:r>
          </w:p>
        </w:tc>
      </w:tr>
      <w:tr w:rsidR="00ED2B59" w:rsidRPr="00F53881" w14:paraId="5384E155" w14:textId="77777777" w:rsidTr="00E07240">
        <w:tc>
          <w:tcPr>
            <w:tcW w:w="1345" w:type="dxa"/>
            <w:shd w:val="clear" w:color="auto" w:fill="C9C9C9" w:themeFill="accent3" w:themeFillTint="99"/>
          </w:tcPr>
          <w:p w14:paraId="22956E57" w14:textId="77777777" w:rsidR="00ED2B59" w:rsidRPr="00F53881" w:rsidRDefault="00ED2B59" w:rsidP="00E07240">
            <w:pPr>
              <w:spacing w:before="240"/>
              <w:jc w:val="both"/>
              <w:rPr>
                <w:b/>
                <w:bCs/>
                <w:sz w:val="21"/>
                <w:szCs w:val="21"/>
                <w:lang w:val="mk-MK"/>
              </w:rPr>
            </w:pPr>
            <w:r w:rsidRPr="00F53881">
              <w:rPr>
                <w:b/>
                <w:bCs/>
                <w:sz w:val="21"/>
                <w:szCs w:val="21"/>
                <w:lang w:val="mk-MK"/>
              </w:rPr>
              <w:t>2015</w:t>
            </w:r>
          </w:p>
        </w:tc>
        <w:tc>
          <w:tcPr>
            <w:tcW w:w="7955" w:type="dxa"/>
            <w:shd w:val="clear" w:color="auto" w:fill="C9C9C9" w:themeFill="accent3" w:themeFillTint="99"/>
          </w:tcPr>
          <w:p w14:paraId="59B6C3DD" w14:textId="77777777" w:rsidR="00ED2B59" w:rsidRPr="00F53881" w:rsidRDefault="00ED2B59" w:rsidP="00E07240">
            <w:pPr>
              <w:jc w:val="both"/>
              <w:rPr>
                <w:sz w:val="21"/>
                <w:szCs w:val="21"/>
                <w:lang w:val="mk-MK"/>
              </w:rPr>
            </w:pPr>
            <w:r w:rsidRPr="00F53881">
              <w:rPr>
                <w:sz w:val="21"/>
                <w:szCs w:val="21"/>
                <w:lang w:val="mk-MK"/>
              </w:rPr>
              <w:t>Организацијата на Обединетите нации (ООН) ги воведува Целите за одржлив развој (SDGs), поттикнувајќи ги корпорациите да придонесат кон социјалниот и еколошкиот напредок преку етички практики и управување.</w:t>
            </w:r>
          </w:p>
        </w:tc>
      </w:tr>
      <w:tr w:rsidR="00ED2B59" w:rsidRPr="00F53881" w14:paraId="12666880" w14:textId="77777777" w:rsidTr="00E07240">
        <w:tc>
          <w:tcPr>
            <w:tcW w:w="1345" w:type="dxa"/>
            <w:shd w:val="clear" w:color="auto" w:fill="7B7B7B" w:themeFill="accent3" w:themeFillShade="BF"/>
          </w:tcPr>
          <w:p w14:paraId="2BC550DF" w14:textId="77777777" w:rsidR="00ED2B59" w:rsidRPr="00F53881" w:rsidRDefault="00ED2B59" w:rsidP="00E07240">
            <w:pPr>
              <w:spacing w:before="240"/>
              <w:jc w:val="both"/>
              <w:rPr>
                <w:b/>
                <w:bCs/>
                <w:sz w:val="21"/>
                <w:szCs w:val="21"/>
                <w:lang w:val="mk-MK"/>
              </w:rPr>
            </w:pPr>
            <w:r w:rsidRPr="00F53881">
              <w:rPr>
                <w:b/>
                <w:bCs/>
                <w:sz w:val="21"/>
                <w:szCs w:val="21"/>
                <w:lang w:val="mk-MK"/>
              </w:rPr>
              <w:t>2016</w:t>
            </w:r>
          </w:p>
        </w:tc>
        <w:tc>
          <w:tcPr>
            <w:tcW w:w="7955" w:type="dxa"/>
            <w:shd w:val="clear" w:color="auto" w:fill="7B7B7B" w:themeFill="accent3" w:themeFillShade="BF"/>
          </w:tcPr>
          <w:p w14:paraId="4BBC506E" w14:textId="77777777" w:rsidR="00ED2B59" w:rsidRPr="00F53881" w:rsidRDefault="00ED2B59" w:rsidP="00E07240">
            <w:pPr>
              <w:jc w:val="both"/>
              <w:rPr>
                <w:sz w:val="21"/>
                <w:szCs w:val="21"/>
                <w:lang w:val="mk-MK"/>
              </w:rPr>
            </w:pPr>
            <w:r w:rsidRPr="00F53881">
              <w:rPr>
                <w:sz w:val="21"/>
                <w:szCs w:val="21"/>
                <w:lang w:val="mk-MK"/>
              </w:rPr>
              <w:t>Европската унија донесува нови правила за извештаи на даночните обврзници со цел борба против даночните затајувања, вклучително и правилото за објавување на даночни податоци според земја.</w:t>
            </w:r>
          </w:p>
        </w:tc>
      </w:tr>
      <w:tr w:rsidR="00ED2B59" w:rsidRPr="00F53881" w14:paraId="2C67A7FB" w14:textId="77777777" w:rsidTr="00E07240">
        <w:tc>
          <w:tcPr>
            <w:tcW w:w="1345" w:type="dxa"/>
            <w:shd w:val="clear" w:color="auto" w:fill="C9C9C9" w:themeFill="accent3" w:themeFillTint="99"/>
          </w:tcPr>
          <w:p w14:paraId="7DC3B67C" w14:textId="77777777" w:rsidR="00ED2B59" w:rsidRPr="00F53881" w:rsidRDefault="00ED2B59" w:rsidP="00E07240">
            <w:pPr>
              <w:spacing w:before="240"/>
              <w:jc w:val="both"/>
              <w:rPr>
                <w:b/>
                <w:bCs/>
                <w:sz w:val="21"/>
                <w:szCs w:val="21"/>
                <w:lang w:val="mk-MK"/>
              </w:rPr>
            </w:pPr>
            <w:r w:rsidRPr="00F53881">
              <w:rPr>
                <w:b/>
                <w:bCs/>
                <w:sz w:val="21"/>
                <w:szCs w:val="21"/>
                <w:lang w:val="mk-MK"/>
              </w:rPr>
              <w:t>2018</w:t>
            </w:r>
          </w:p>
        </w:tc>
        <w:tc>
          <w:tcPr>
            <w:tcW w:w="7955" w:type="dxa"/>
            <w:shd w:val="clear" w:color="auto" w:fill="C9C9C9" w:themeFill="accent3" w:themeFillTint="99"/>
          </w:tcPr>
          <w:p w14:paraId="583CB7E5" w14:textId="77777777" w:rsidR="00ED2B59" w:rsidRPr="00F53881" w:rsidRDefault="00ED2B59" w:rsidP="00E07240">
            <w:pPr>
              <w:jc w:val="both"/>
              <w:rPr>
                <w:sz w:val="21"/>
                <w:szCs w:val="21"/>
                <w:lang w:val="mk-MK"/>
              </w:rPr>
            </w:pPr>
            <w:r w:rsidRPr="00F53881">
              <w:rPr>
                <w:sz w:val="21"/>
                <w:szCs w:val="21"/>
                <w:lang w:val="mk-MK"/>
              </w:rPr>
              <w:t>Излегувањето на скандалот со Cambridge Analytica поттикнува повисоки стандарди за заштита на личните податоци. Европската унија ја воведува Општата регулатива за заштита на податоците (GDPR), барајќи од компаниите поголема одговорност кон личните информации на клиентите.</w:t>
            </w:r>
          </w:p>
        </w:tc>
      </w:tr>
      <w:tr w:rsidR="00ED2B59" w:rsidRPr="00F53881" w14:paraId="3C41DF07" w14:textId="77777777" w:rsidTr="00E07240">
        <w:tc>
          <w:tcPr>
            <w:tcW w:w="1345" w:type="dxa"/>
            <w:shd w:val="clear" w:color="auto" w:fill="7B7B7B" w:themeFill="accent3" w:themeFillShade="BF"/>
          </w:tcPr>
          <w:p w14:paraId="1FA40F38" w14:textId="77777777" w:rsidR="00ED2B59" w:rsidRPr="00F53881" w:rsidRDefault="00ED2B59" w:rsidP="00E07240">
            <w:pPr>
              <w:spacing w:before="240"/>
              <w:jc w:val="both"/>
              <w:rPr>
                <w:b/>
                <w:bCs/>
                <w:sz w:val="21"/>
                <w:szCs w:val="21"/>
                <w:lang w:val="mk-MK"/>
              </w:rPr>
            </w:pPr>
            <w:r w:rsidRPr="00F53881">
              <w:rPr>
                <w:b/>
                <w:bCs/>
                <w:sz w:val="21"/>
                <w:szCs w:val="21"/>
                <w:lang w:val="mk-MK"/>
              </w:rPr>
              <w:t>2020</w:t>
            </w:r>
          </w:p>
        </w:tc>
        <w:tc>
          <w:tcPr>
            <w:tcW w:w="7955" w:type="dxa"/>
            <w:shd w:val="clear" w:color="auto" w:fill="7B7B7B" w:themeFill="accent3" w:themeFillShade="BF"/>
          </w:tcPr>
          <w:p w14:paraId="73E8924F" w14:textId="77777777" w:rsidR="00ED2B59" w:rsidRPr="00F53881" w:rsidRDefault="00ED2B59" w:rsidP="00E07240">
            <w:pPr>
              <w:jc w:val="both"/>
              <w:rPr>
                <w:sz w:val="21"/>
                <w:szCs w:val="21"/>
                <w:lang w:val="mk-MK"/>
              </w:rPr>
            </w:pPr>
            <w:r w:rsidRPr="00F53881">
              <w:rPr>
                <w:sz w:val="21"/>
                <w:szCs w:val="21"/>
                <w:lang w:val="mk-MK"/>
              </w:rPr>
              <w:t>Пандемијата COVID-19 го трансформира корпоративниот свет со зголемување на работата од далечина, дигитализацијата и фокусот на благосостојбата на вработените. Многу компании воведуваат нови политики за прилагодување на новите услови за работа.</w:t>
            </w:r>
          </w:p>
        </w:tc>
      </w:tr>
      <w:tr w:rsidR="00ED2B59" w:rsidRPr="00F53881" w14:paraId="37A916D3" w14:textId="77777777" w:rsidTr="00E07240">
        <w:tc>
          <w:tcPr>
            <w:tcW w:w="1345" w:type="dxa"/>
            <w:shd w:val="clear" w:color="auto" w:fill="C9C9C9" w:themeFill="accent3" w:themeFillTint="99"/>
          </w:tcPr>
          <w:p w14:paraId="4615F2F9" w14:textId="77777777" w:rsidR="00ED2B59" w:rsidRPr="00F53881" w:rsidRDefault="00ED2B59" w:rsidP="00E07240">
            <w:pPr>
              <w:spacing w:before="240"/>
              <w:jc w:val="both"/>
              <w:rPr>
                <w:b/>
                <w:bCs/>
                <w:sz w:val="21"/>
                <w:szCs w:val="21"/>
                <w:lang w:val="mk-MK"/>
              </w:rPr>
            </w:pPr>
            <w:r w:rsidRPr="00F53881">
              <w:rPr>
                <w:b/>
                <w:bCs/>
                <w:sz w:val="21"/>
                <w:szCs w:val="21"/>
                <w:lang w:val="mk-MK"/>
              </w:rPr>
              <w:t>2021</w:t>
            </w:r>
          </w:p>
        </w:tc>
        <w:tc>
          <w:tcPr>
            <w:tcW w:w="7955" w:type="dxa"/>
            <w:shd w:val="clear" w:color="auto" w:fill="C9C9C9" w:themeFill="accent3" w:themeFillTint="99"/>
          </w:tcPr>
          <w:p w14:paraId="531715B8" w14:textId="77777777" w:rsidR="00ED2B59" w:rsidRPr="00F53881" w:rsidRDefault="00ED2B59" w:rsidP="00E07240">
            <w:pPr>
              <w:jc w:val="both"/>
              <w:rPr>
                <w:sz w:val="21"/>
                <w:szCs w:val="21"/>
                <w:lang w:val="mk-MK"/>
              </w:rPr>
            </w:pPr>
            <w:r w:rsidRPr="00F53881">
              <w:rPr>
                <w:sz w:val="21"/>
                <w:szCs w:val="21"/>
                <w:lang w:val="mk-MK"/>
              </w:rPr>
              <w:t>Комисијата за хартија од вредност на САД воведува регулатива која бара поголема транспарентност и откривање на информации за влијанието на корпорациите врз животната средина и социјалните стандарди (ESG известување).</w:t>
            </w:r>
          </w:p>
        </w:tc>
      </w:tr>
      <w:tr w:rsidR="00ED2B59" w:rsidRPr="00F53881" w14:paraId="0CC670D6" w14:textId="77777777" w:rsidTr="00E07240">
        <w:tc>
          <w:tcPr>
            <w:tcW w:w="1345" w:type="dxa"/>
            <w:shd w:val="clear" w:color="auto" w:fill="7B7B7B" w:themeFill="accent3" w:themeFillShade="BF"/>
          </w:tcPr>
          <w:p w14:paraId="6CDD7477" w14:textId="77777777" w:rsidR="00ED2B59" w:rsidRPr="00F53881" w:rsidRDefault="00ED2B59" w:rsidP="00E07240">
            <w:pPr>
              <w:spacing w:before="240"/>
              <w:jc w:val="both"/>
              <w:rPr>
                <w:b/>
                <w:bCs/>
                <w:sz w:val="21"/>
                <w:szCs w:val="21"/>
                <w:lang w:val="mk-MK"/>
              </w:rPr>
            </w:pPr>
            <w:r w:rsidRPr="00F53881">
              <w:rPr>
                <w:b/>
                <w:bCs/>
                <w:sz w:val="21"/>
                <w:szCs w:val="21"/>
                <w:lang w:val="mk-MK"/>
              </w:rPr>
              <w:t>2022</w:t>
            </w:r>
          </w:p>
        </w:tc>
        <w:tc>
          <w:tcPr>
            <w:tcW w:w="7955" w:type="dxa"/>
            <w:shd w:val="clear" w:color="auto" w:fill="7B7B7B" w:themeFill="accent3" w:themeFillShade="BF"/>
          </w:tcPr>
          <w:p w14:paraId="06C9F4F1" w14:textId="77777777" w:rsidR="00ED2B59" w:rsidRPr="00F53881" w:rsidRDefault="00ED2B59" w:rsidP="00E07240">
            <w:pPr>
              <w:jc w:val="both"/>
              <w:rPr>
                <w:sz w:val="21"/>
                <w:szCs w:val="21"/>
                <w:lang w:val="mk-MK"/>
              </w:rPr>
            </w:pPr>
            <w:r w:rsidRPr="00F53881">
              <w:rPr>
                <w:sz w:val="21"/>
                <w:szCs w:val="21"/>
                <w:lang w:val="mk-MK"/>
              </w:rPr>
              <w:t>Акционерите на ExxonMobil и Shell избираат нови членови на управните одбори со цел да се поттикнат компаниите да вложуваат повеќе во одржливи енергетски извори, поставувајќи нов тренд на акционерска активност во полза на климатските промени.</w:t>
            </w:r>
          </w:p>
        </w:tc>
      </w:tr>
      <w:tr w:rsidR="00ED2B59" w:rsidRPr="00F53881" w14:paraId="318E7162" w14:textId="77777777" w:rsidTr="00E07240">
        <w:tc>
          <w:tcPr>
            <w:tcW w:w="1345" w:type="dxa"/>
            <w:shd w:val="clear" w:color="auto" w:fill="C9C9C9" w:themeFill="accent3" w:themeFillTint="99"/>
          </w:tcPr>
          <w:p w14:paraId="33E36675" w14:textId="77777777" w:rsidR="00ED2B59" w:rsidRPr="00F53881" w:rsidRDefault="00ED2B59" w:rsidP="00E07240">
            <w:pPr>
              <w:spacing w:before="240"/>
              <w:jc w:val="both"/>
              <w:rPr>
                <w:b/>
                <w:bCs/>
                <w:sz w:val="21"/>
                <w:szCs w:val="21"/>
                <w:lang w:val="en-US"/>
              </w:rPr>
            </w:pPr>
            <w:r w:rsidRPr="00F53881">
              <w:rPr>
                <w:b/>
                <w:bCs/>
                <w:sz w:val="21"/>
                <w:szCs w:val="21"/>
                <w:lang w:val="en-US"/>
              </w:rPr>
              <w:t>2022</w:t>
            </w:r>
          </w:p>
        </w:tc>
        <w:tc>
          <w:tcPr>
            <w:tcW w:w="7955" w:type="dxa"/>
            <w:shd w:val="clear" w:color="auto" w:fill="C9C9C9" w:themeFill="accent3" w:themeFillTint="99"/>
          </w:tcPr>
          <w:p w14:paraId="35DE707E" w14:textId="77777777" w:rsidR="00ED2B59" w:rsidRPr="00F53881" w:rsidRDefault="00ED2B59" w:rsidP="00E07240">
            <w:pPr>
              <w:jc w:val="both"/>
              <w:rPr>
                <w:sz w:val="21"/>
                <w:szCs w:val="21"/>
                <w:lang w:val="mk-MK"/>
              </w:rPr>
            </w:pPr>
            <w:r w:rsidRPr="00F53881">
              <w:rPr>
                <w:sz w:val="21"/>
                <w:szCs w:val="21"/>
                <w:lang w:val="mk-MK"/>
              </w:rPr>
              <w:t>Европската Унија ја донесува Директивата (ЕУ) 2022/2381 за подобрување на родовата рамнотежа помеѓу директорите на котирани друштва и сродни мерки со која директно се овозможува интервенција од страна на државите во составите на одборите.</w:t>
            </w:r>
          </w:p>
        </w:tc>
      </w:tr>
      <w:tr w:rsidR="00ED2B59" w:rsidRPr="00F53881" w14:paraId="1E631D48" w14:textId="77777777" w:rsidTr="00E07240">
        <w:tc>
          <w:tcPr>
            <w:tcW w:w="1345" w:type="dxa"/>
            <w:shd w:val="clear" w:color="auto" w:fill="7B7B7B" w:themeFill="accent3" w:themeFillShade="BF"/>
          </w:tcPr>
          <w:p w14:paraId="40A08DC0" w14:textId="77777777" w:rsidR="00ED2B59" w:rsidRPr="00F53881" w:rsidRDefault="00ED2B59" w:rsidP="00E07240">
            <w:pPr>
              <w:spacing w:before="240"/>
              <w:jc w:val="both"/>
              <w:rPr>
                <w:b/>
                <w:bCs/>
                <w:sz w:val="21"/>
                <w:szCs w:val="21"/>
                <w:lang w:val="mk-MK"/>
              </w:rPr>
            </w:pPr>
            <w:r w:rsidRPr="00F53881">
              <w:rPr>
                <w:b/>
                <w:bCs/>
                <w:sz w:val="21"/>
                <w:szCs w:val="21"/>
                <w:lang w:val="mk-MK"/>
              </w:rPr>
              <w:t>2023</w:t>
            </w:r>
          </w:p>
        </w:tc>
        <w:tc>
          <w:tcPr>
            <w:tcW w:w="7955" w:type="dxa"/>
            <w:shd w:val="clear" w:color="auto" w:fill="7B7B7B" w:themeFill="accent3" w:themeFillShade="BF"/>
          </w:tcPr>
          <w:p w14:paraId="6A6ACDB9" w14:textId="77777777" w:rsidR="00ED2B59" w:rsidRPr="00F53881" w:rsidRDefault="00ED2B59" w:rsidP="00E07240">
            <w:pPr>
              <w:jc w:val="both"/>
              <w:rPr>
                <w:sz w:val="21"/>
                <w:szCs w:val="21"/>
                <w:lang w:val="mk-MK"/>
              </w:rPr>
            </w:pPr>
            <w:r w:rsidRPr="00F53881">
              <w:rPr>
                <w:sz w:val="21"/>
                <w:szCs w:val="21"/>
                <w:lang w:val="mk-MK"/>
              </w:rPr>
              <w:t>Бумот на генеративната вештачка интелигенција ја трансформира корпоративната стратегија и речиси сите операции, со значителни етички предизвици и нови регулативи за безбедност, приватност и вклученост/права на работниците.</w:t>
            </w:r>
          </w:p>
        </w:tc>
      </w:tr>
      <w:tr w:rsidR="00ED2B59" w:rsidRPr="00F53881" w14:paraId="43F9E679" w14:textId="77777777" w:rsidTr="00E07240">
        <w:tc>
          <w:tcPr>
            <w:tcW w:w="1345" w:type="dxa"/>
            <w:shd w:val="clear" w:color="auto" w:fill="C9C9C9" w:themeFill="accent3" w:themeFillTint="99"/>
          </w:tcPr>
          <w:p w14:paraId="5B671C49" w14:textId="77777777" w:rsidR="00ED2B59" w:rsidRPr="00F53881" w:rsidRDefault="00ED2B59" w:rsidP="00E07240">
            <w:pPr>
              <w:spacing w:before="240"/>
              <w:jc w:val="both"/>
              <w:rPr>
                <w:b/>
                <w:bCs/>
                <w:sz w:val="21"/>
                <w:szCs w:val="21"/>
                <w:lang w:val="mk-MK"/>
              </w:rPr>
            </w:pPr>
            <w:r w:rsidRPr="00F53881">
              <w:rPr>
                <w:b/>
                <w:bCs/>
                <w:sz w:val="21"/>
                <w:szCs w:val="21"/>
                <w:lang w:val="mk-MK"/>
              </w:rPr>
              <w:t>2024</w:t>
            </w:r>
          </w:p>
        </w:tc>
        <w:tc>
          <w:tcPr>
            <w:tcW w:w="7955" w:type="dxa"/>
            <w:shd w:val="clear" w:color="auto" w:fill="C9C9C9" w:themeFill="accent3" w:themeFillTint="99"/>
          </w:tcPr>
          <w:p w14:paraId="1DB50127" w14:textId="77777777" w:rsidR="00ED2B59" w:rsidRPr="00F53881" w:rsidRDefault="00ED2B59" w:rsidP="00E07240">
            <w:pPr>
              <w:jc w:val="both"/>
              <w:rPr>
                <w:sz w:val="21"/>
                <w:szCs w:val="21"/>
                <w:lang w:val="mk-MK"/>
              </w:rPr>
            </w:pPr>
            <w:r w:rsidRPr="00F53881">
              <w:rPr>
                <w:sz w:val="21"/>
                <w:szCs w:val="21"/>
                <w:lang w:val="mk-MK"/>
              </w:rPr>
              <w:t>САД и Европската унија воведуваат нови регулативи за крипто и дигиталните валути на централните банки (CBDC), поттикнувајќи ги корпорациите да ги рефлектираат новите стандарди во своите стратегии и финансиски операции.</w:t>
            </w:r>
          </w:p>
        </w:tc>
      </w:tr>
    </w:tbl>
    <w:p w14:paraId="650B775D" w14:textId="43C844E5" w:rsidR="00ED2B59" w:rsidRPr="00F53881" w:rsidRDefault="00ED2B59" w:rsidP="008F3518">
      <w:pPr>
        <w:spacing w:after="240"/>
        <w:jc w:val="center"/>
        <w:rPr>
          <w:sz w:val="24"/>
          <w:szCs w:val="24"/>
          <w:lang w:val="mk-MK"/>
        </w:rPr>
      </w:pPr>
      <w:r w:rsidRPr="00F53881">
        <w:rPr>
          <w:i/>
          <w:iCs/>
          <w:lang w:val="mk-MK"/>
        </w:rPr>
        <w:t>Извор: Сопствени извадоци на авторот базирани на прегледаната литература и текови</w:t>
      </w:r>
      <w:r w:rsidR="008F3518">
        <w:rPr>
          <w:i/>
          <w:iCs/>
          <w:lang w:val="mk-MK"/>
        </w:rPr>
        <w:t>те</w:t>
      </w:r>
      <w:r w:rsidRPr="00F53881">
        <w:rPr>
          <w:i/>
          <w:iCs/>
          <w:lang w:val="mk-MK"/>
        </w:rPr>
        <w:t>.</w:t>
      </w:r>
    </w:p>
    <w:p w14:paraId="03EF0899" w14:textId="533EF2EC" w:rsidR="00ED2B59" w:rsidRPr="00F53881" w:rsidRDefault="00ED2B59" w:rsidP="009330C0">
      <w:pPr>
        <w:pStyle w:val="Heading1"/>
        <w:numPr>
          <w:ilvl w:val="0"/>
          <w:numId w:val="6"/>
        </w:numPr>
      </w:pPr>
      <w:bookmarkStart w:id="11" w:name="_Toc230523864"/>
      <w:r w:rsidRPr="00F53881">
        <w:rPr>
          <w:lang w:val="mk-MK"/>
        </w:rPr>
        <w:lastRenderedPageBreak/>
        <w:t>Вклученоста на вработените како дел од корпоративното уредување</w:t>
      </w:r>
      <w:bookmarkEnd w:id="11"/>
    </w:p>
    <w:p w14:paraId="042998F2" w14:textId="68F8BE67" w:rsidR="00ED2B59" w:rsidRPr="00F53881" w:rsidRDefault="008A6B8F" w:rsidP="00ED2B59">
      <w:pPr>
        <w:spacing w:before="240"/>
        <w:ind w:firstLine="720"/>
        <w:jc w:val="both"/>
        <w:rPr>
          <w:sz w:val="24"/>
          <w:szCs w:val="24"/>
          <w:lang w:val="mk-MK"/>
        </w:rPr>
      </w:pPr>
      <w:r>
        <w:rPr>
          <w:sz w:val="24"/>
          <w:szCs w:val="24"/>
          <w:lang w:val="mk-MK"/>
        </w:rPr>
        <w:t>Видлива</w:t>
      </w:r>
      <w:r w:rsidR="00ED2B59" w:rsidRPr="00F53881">
        <w:rPr>
          <w:sz w:val="24"/>
          <w:szCs w:val="24"/>
          <w:lang w:val="mk-MK"/>
        </w:rPr>
        <w:t xml:space="preserve"> е згуснатата агенда и брзината во развојот на корпоративното управување во последните две децении.</w:t>
      </w:r>
      <w:r w:rsidR="00ED2B59" w:rsidRPr="00F53881">
        <w:rPr>
          <w:rStyle w:val="FootnoteReference"/>
          <w:sz w:val="24"/>
          <w:szCs w:val="24"/>
          <w:lang w:val="mk-MK"/>
        </w:rPr>
        <w:footnoteReference w:id="103"/>
      </w:r>
      <w:r w:rsidR="00ED2B59" w:rsidRPr="00F53881">
        <w:rPr>
          <w:sz w:val="24"/>
          <w:szCs w:val="24"/>
          <w:lang w:val="mk-MK"/>
        </w:rPr>
        <w:t xml:space="preserve"> Не е тешко да се заклучи дека тоа е резултат на извонредно зголемената динамика на движење на капиталот во светски рамки како последица на глобализацијата,</w:t>
      </w:r>
      <w:r w:rsidR="00ED2B59" w:rsidRPr="00F53881">
        <w:rPr>
          <w:rStyle w:val="FootnoteReference"/>
          <w:sz w:val="24"/>
          <w:szCs w:val="24"/>
          <w:lang w:val="mk-MK"/>
        </w:rPr>
        <w:footnoteReference w:id="104"/>
      </w:r>
      <w:r w:rsidR="00ED2B59" w:rsidRPr="00F53881">
        <w:rPr>
          <w:sz w:val="24"/>
          <w:szCs w:val="24"/>
          <w:lang w:val="mk-MK"/>
        </w:rPr>
        <w:t xml:space="preserve"> како и на отворањето на пазарите во развој и економиите во транзиција.</w:t>
      </w:r>
      <w:r w:rsidR="00ED2B59" w:rsidRPr="00F53881">
        <w:rPr>
          <w:rStyle w:val="FootnoteReference"/>
          <w:sz w:val="24"/>
          <w:szCs w:val="24"/>
          <w:lang w:val="mk-MK"/>
        </w:rPr>
        <w:footnoteReference w:id="105"/>
      </w:r>
      <w:r w:rsidR="00ED2B59" w:rsidRPr="00F53881">
        <w:rPr>
          <w:sz w:val="24"/>
          <w:szCs w:val="24"/>
          <w:lang w:val="mk-MK"/>
        </w:rPr>
        <w:t xml:space="preserve"> Како што </w:t>
      </w:r>
      <w:r w:rsidR="008F380B">
        <w:rPr>
          <w:sz w:val="24"/>
          <w:szCs w:val="24"/>
          <w:lang w:val="mk-MK"/>
        </w:rPr>
        <w:t>е прикажано</w:t>
      </w:r>
      <w:r w:rsidR="00ED2B59" w:rsidRPr="00F53881">
        <w:rPr>
          <w:sz w:val="24"/>
          <w:szCs w:val="24"/>
          <w:lang w:val="mk-MK"/>
        </w:rPr>
        <w:t>, се поголем акцент на светската сцена, но и регионално и локално,</w:t>
      </w:r>
      <w:r w:rsidR="00ED2B59" w:rsidRPr="00F53881">
        <w:rPr>
          <w:rStyle w:val="FootnoteReference"/>
          <w:sz w:val="24"/>
          <w:szCs w:val="24"/>
          <w:lang w:val="mk-MK"/>
        </w:rPr>
        <w:footnoteReference w:id="106"/>
      </w:r>
      <w:r w:rsidR="00ED2B59" w:rsidRPr="00F53881">
        <w:rPr>
          <w:sz w:val="24"/>
          <w:szCs w:val="24"/>
          <w:lang w:val="mk-MK"/>
        </w:rPr>
        <w:t xml:space="preserve"> се става конкретно на транспарентноста.</w:t>
      </w:r>
      <w:r w:rsidR="00ED2B59" w:rsidRPr="00F53881">
        <w:rPr>
          <w:rStyle w:val="FootnoteReference"/>
          <w:sz w:val="24"/>
          <w:szCs w:val="24"/>
          <w:lang w:val="mk-MK"/>
        </w:rPr>
        <w:footnoteReference w:id="107"/>
      </w:r>
      <w:r w:rsidR="00ED2B59" w:rsidRPr="00F53881">
        <w:rPr>
          <w:sz w:val="24"/>
          <w:szCs w:val="24"/>
          <w:lang w:val="mk-MK"/>
        </w:rPr>
        <w:t xml:space="preserve"> Цел, која што е заедничка за вклученоста на вработените и останатите интереси на засегнатите страни на корпоративното управување,</w:t>
      </w:r>
      <w:r w:rsidR="00ED2B59" w:rsidRPr="00F53881">
        <w:rPr>
          <w:rStyle w:val="FootnoteReference"/>
          <w:sz w:val="24"/>
          <w:szCs w:val="24"/>
          <w:lang w:val="mk-MK"/>
        </w:rPr>
        <w:footnoteReference w:id="108"/>
      </w:r>
      <w:r w:rsidR="00ED2B59" w:rsidRPr="00F53881">
        <w:rPr>
          <w:sz w:val="24"/>
          <w:szCs w:val="24"/>
          <w:lang w:val="mk-MK"/>
        </w:rPr>
        <w:t xml:space="preserve"> односно сопствениците, директорите, менаџерите, кредиторите,</w:t>
      </w:r>
      <w:r w:rsidR="00C02BC7">
        <w:rPr>
          <w:rStyle w:val="FootnoteReference"/>
          <w:sz w:val="24"/>
          <w:szCs w:val="24"/>
          <w:lang w:val="mk-MK"/>
        </w:rPr>
        <w:footnoteReference w:id="109"/>
      </w:r>
      <w:r w:rsidR="00ED2B59" w:rsidRPr="00F53881">
        <w:rPr>
          <w:sz w:val="24"/>
          <w:szCs w:val="24"/>
          <w:lang w:val="mk-MK"/>
        </w:rPr>
        <w:t xml:space="preserve"> владите и инвеститорите.</w:t>
      </w:r>
      <w:r w:rsidR="00ED2B59" w:rsidRPr="00F53881">
        <w:rPr>
          <w:rStyle w:val="FootnoteReference"/>
          <w:sz w:val="24"/>
          <w:szCs w:val="24"/>
          <w:lang w:val="mk-MK"/>
        </w:rPr>
        <w:footnoteReference w:id="110"/>
      </w:r>
      <w:r w:rsidR="00ED2B59" w:rsidRPr="00F53881">
        <w:rPr>
          <w:sz w:val="24"/>
          <w:szCs w:val="24"/>
          <w:lang w:val="mk-MK"/>
        </w:rPr>
        <w:t xml:space="preserve">  </w:t>
      </w:r>
    </w:p>
    <w:p w14:paraId="4ADD3AB4" w14:textId="67B1B9A1" w:rsidR="00ED2B59" w:rsidRPr="00F53881" w:rsidRDefault="00ED2B59" w:rsidP="00ED2B59">
      <w:pPr>
        <w:spacing w:before="240"/>
        <w:ind w:firstLine="720"/>
        <w:jc w:val="both"/>
        <w:rPr>
          <w:sz w:val="24"/>
          <w:szCs w:val="24"/>
          <w:lang w:val="mk-MK"/>
        </w:rPr>
      </w:pPr>
      <w:r w:rsidRPr="00F53881">
        <w:rPr>
          <w:sz w:val="24"/>
          <w:szCs w:val="24"/>
          <w:lang w:val="mk-MK"/>
        </w:rPr>
        <w:t>Вклученоста на вработените во трговските друштва подразбира директно или индиректно учество на работниците во процесите на одлучување, надзор или финансиски интерес во компанијата во која работат.</w:t>
      </w:r>
      <w:r w:rsidRPr="00F53881">
        <w:rPr>
          <w:rStyle w:val="FootnoteReference"/>
          <w:sz w:val="24"/>
          <w:szCs w:val="24"/>
          <w:lang w:val="mk-MK"/>
        </w:rPr>
        <w:footnoteReference w:id="111"/>
      </w:r>
      <w:r w:rsidRPr="00F53881">
        <w:rPr>
          <w:sz w:val="24"/>
          <w:szCs w:val="24"/>
          <w:lang w:val="mk-MK"/>
        </w:rPr>
        <w:t xml:space="preserve"> Во овој контекст, постојат неколку основни форми на вклученост на вработените, секоја со своја цел и механизам на функционирање</w:t>
      </w:r>
      <w:r w:rsidRPr="00F53881">
        <w:rPr>
          <w:sz w:val="24"/>
          <w:szCs w:val="24"/>
          <w:lang w:val="en-US"/>
        </w:rPr>
        <w:t>.</w:t>
      </w:r>
      <w:r w:rsidRPr="00F53881">
        <w:rPr>
          <w:rStyle w:val="FootnoteReference"/>
          <w:sz w:val="24"/>
          <w:szCs w:val="24"/>
          <w:lang w:val="en-US"/>
        </w:rPr>
        <w:footnoteReference w:id="112"/>
      </w:r>
      <w:r w:rsidRPr="00F53881">
        <w:rPr>
          <w:sz w:val="24"/>
          <w:szCs w:val="24"/>
          <w:lang w:val="mk-MK"/>
        </w:rPr>
        <w:t xml:space="preserve"> (1) Учеството во органите на управување (соодлучување) вклучува назначување на претставници на вработените во управните или надзорните органи на компанијата,</w:t>
      </w:r>
      <w:r w:rsidRPr="00F53881">
        <w:rPr>
          <w:rStyle w:val="FootnoteReference"/>
          <w:sz w:val="24"/>
          <w:szCs w:val="24"/>
          <w:lang w:val="mk-MK"/>
        </w:rPr>
        <w:footnoteReference w:id="113"/>
      </w:r>
      <w:r w:rsidRPr="00F53881">
        <w:rPr>
          <w:sz w:val="24"/>
          <w:szCs w:val="24"/>
          <w:lang w:val="mk-MK"/>
        </w:rPr>
        <w:t xml:space="preserve"> како што се одборите на директори или надзорните одбори.</w:t>
      </w:r>
      <w:r w:rsidRPr="00F53881">
        <w:rPr>
          <w:rStyle w:val="FootnoteReference"/>
          <w:sz w:val="24"/>
          <w:szCs w:val="24"/>
          <w:lang w:val="mk-MK"/>
        </w:rPr>
        <w:footnoteReference w:id="114"/>
      </w:r>
      <w:r w:rsidRPr="00F53881">
        <w:rPr>
          <w:sz w:val="24"/>
          <w:szCs w:val="24"/>
          <w:lang w:val="mk-MK"/>
        </w:rPr>
        <w:t xml:space="preserve"> Ова значи дека работниците имаат право да присуствуваат на седниците и да гласаат/учествуваат во одлуките кои влијаат на работењето на компанијата,</w:t>
      </w:r>
      <w:r w:rsidRPr="00F53881">
        <w:rPr>
          <w:rStyle w:val="FootnoteReference"/>
          <w:sz w:val="24"/>
          <w:szCs w:val="24"/>
          <w:lang w:val="mk-MK"/>
        </w:rPr>
        <w:footnoteReference w:id="115"/>
      </w:r>
      <w:r w:rsidRPr="00F53881">
        <w:rPr>
          <w:sz w:val="24"/>
          <w:szCs w:val="24"/>
          <w:lang w:val="mk-MK"/>
        </w:rPr>
        <w:t xml:space="preserve"> што го зголемува нивото на транспарентност и ги заштитува нивните интереси.</w:t>
      </w:r>
      <w:r w:rsidRPr="00F53881">
        <w:rPr>
          <w:rStyle w:val="FootnoteReference"/>
          <w:sz w:val="24"/>
          <w:szCs w:val="24"/>
          <w:lang w:val="mk-MK"/>
        </w:rPr>
        <w:footnoteReference w:id="116"/>
      </w:r>
      <w:r w:rsidRPr="00F53881">
        <w:rPr>
          <w:sz w:val="24"/>
          <w:szCs w:val="24"/>
          <w:lang w:val="mk-MK"/>
        </w:rPr>
        <w:t xml:space="preserve"> (2) Работничкото акционерство како форма на вклученост им овозможува на вработените да поседуваат акции или удели во компанијата каде што работат,</w:t>
      </w:r>
      <w:r w:rsidRPr="00F53881">
        <w:rPr>
          <w:rStyle w:val="FootnoteReference"/>
          <w:sz w:val="24"/>
          <w:szCs w:val="24"/>
          <w:lang w:val="mk-MK"/>
        </w:rPr>
        <w:footnoteReference w:id="117"/>
      </w:r>
      <w:r w:rsidRPr="00F53881">
        <w:rPr>
          <w:sz w:val="24"/>
          <w:szCs w:val="24"/>
          <w:lang w:val="mk-MK"/>
        </w:rPr>
        <w:t xml:space="preserve"> што ги мотивира да </w:t>
      </w:r>
      <w:r w:rsidRPr="00F53881">
        <w:rPr>
          <w:sz w:val="24"/>
          <w:szCs w:val="24"/>
          <w:lang w:val="mk-MK"/>
        </w:rPr>
        <w:lastRenderedPageBreak/>
        <w:t>ги усогласат своите интереси со оние на компанијата.</w:t>
      </w:r>
      <w:r w:rsidRPr="00F53881">
        <w:rPr>
          <w:rStyle w:val="FootnoteReference"/>
          <w:sz w:val="24"/>
          <w:szCs w:val="24"/>
          <w:lang w:val="mk-MK"/>
        </w:rPr>
        <w:footnoteReference w:id="118"/>
      </w:r>
      <w:r w:rsidRPr="00F53881">
        <w:rPr>
          <w:sz w:val="24"/>
          <w:szCs w:val="24"/>
          <w:lang w:val="mk-MK"/>
        </w:rPr>
        <w:t xml:space="preserve"> Преку овој модел, вработените се стимулирани да придонесуваат кон успехот на трговското друштво бидејќи и тие имаат директен финансиски интерес.</w:t>
      </w:r>
      <w:r w:rsidRPr="00F53881">
        <w:rPr>
          <w:rStyle w:val="FootnoteReference"/>
          <w:sz w:val="24"/>
          <w:szCs w:val="24"/>
          <w:lang w:val="mk-MK"/>
        </w:rPr>
        <w:footnoteReference w:id="119"/>
      </w:r>
      <w:r w:rsidRPr="00F53881">
        <w:rPr>
          <w:sz w:val="24"/>
          <w:szCs w:val="24"/>
          <w:lang w:val="mk-MK"/>
        </w:rPr>
        <w:t xml:space="preserve"> (3) Консултативните и советодавни тела во многу компании, се создаваат како специјализирани тела во форма на синдикати или работнички совети кои учествуваат во донесувањето на одлуки од значење за вработените, како што се работните услови, платите и безбедноста на работа.</w:t>
      </w:r>
      <w:r w:rsidRPr="00F53881">
        <w:rPr>
          <w:rStyle w:val="FootnoteReference"/>
          <w:sz w:val="24"/>
          <w:szCs w:val="24"/>
          <w:lang w:val="mk-MK"/>
        </w:rPr>
        <w:footnoteReference w:id="120"/>
      </w:r>
      <w:r w:rsidRPr="00F53881">
        <w:rPr>
          <w:sz w:val="24"/>
          <w:szCs w:val="24"/>
          <w:lang w:val="mk-MK"/>
        </w:rPr>
        <w:t xml:space="preserve"> Овие совети или тела обично имаат улога на советодавци или претставници на вработените во преговорите со раководството, па оттука и не претставуваат вистинска вклученост како што е тоа случај со првите два модели.</w:t>
      </w:r>
      <w:r w:rsidRPr="00F53881">
        <w:rPr>
          <w:rStyle w:val="FootnoteReference"/>
          <w:sz w:val="24"/>
          <w:szCs w:val="24"/>
          <w:lang w:val="mk-MK"/>
        </w:rPr>
        <w:footnoteReference w:id="121"/>
      </w:r>
      <w:r w:rsidRPr="00F53881">
        <w:rPr>
          <w:sz w:val="24"/>
          <w:szCs w:val="24"/>
          <w:lang w:val="mk-MK"/>
        </w:rPr>
        <w:t xml:space="preserve"> (4) Формите на вклученост преку внатрешна комуникација и транспарентност подразбираат редовно информирање на вработените за стратешките одлуки, финансиската состојба и идните планови на компанијата.</w:t>
      </w:r>
      <w:r w:rsidRPr="00F53881">
        <w:rPr>
          <w:rStyle w:val="FootnoteReference"/>
          <w:sz w:val="24"/>
          <w:szCs w:val="24"/>
          <w:lang w:val="mk-MK"/>
        </w:rPr>
        <w:footnoteReference w:id="122"/>
      </w:r>
      <w:r w:rsidRPr="00F53881">
        <w:rPr>
          <w:sz w:val="24"/>
          <w:szCs w:val="24"/>
          <w:lang w:val="mk-MK"/>
        </w:rPr>
        <w:t xml:space="preserve"> Оваа форма на вклученост не подразбира директно учество во управувањето и иако го зголемува нивото на доверба и поддршка помеѓу вработените и раководството,</w:t>
      </w:r>
      <w:r w:rsidRPr="00F53881">
        <w:rPr>
          <w:rStyle w:val="FootnoteReference"/>
          <w:sz w:val="24"/>
          <w:szCs w:val="24"/>
          <w:lang w:val="mk-MK"/>
        </w:rPr>
        <w:footnoteReference w:id="123"/>
      </w:r>
      <w:r w:rsidRPr="00F53881">
        <w:rPr>
          <w:sz w:val="24"/>
          <w:szCs w:val="24"/>
          <w:lang w:val="mk-MK"/>
        </w:rPr>
        <w:t xml:space="preserve"> генерално не потпаѓа под опсегот на истражувачкото прашање. (5) Правото на вето или одлучувачка моќ за одредени прашања значи дека во некои компании, вработените имаат право да се изјаснат или поретко, дури имаат право на вето за одредени одлуки кои би имале сериозно влијание на нивната работа,</w:t>
      </w:r>
      <w:r w:rsidRPr="00F53881">
        <w:rPr>
          <w:rStyle w:val="FootnoteReference"/>
          <w:sz w:val="24"/>
          <w:szCs w:val="24"/>
          <w:lang w:val="mk-MK"/>
        </w:rPr>
        <w:footnoteReference w:id="124"/>
      </w:r>
      <w:r w:rsidRPr="00F53881">
        <w:rPr>
          <w:sz w:val="24"/>
          <w:szCs w:val="24"/>
          <w:lang w:val="mk-MK"/>
        </w:rPr>
        <w:t xml:space="preserve"> како на пример во случаи на отпуштања, промена на работни услови, или други важни прашања.</w:t>
      </w:r>
      <w:r w:rsidRPr="00F53881">
        <w:rPr>
          <w:rStyle w:val="FootnoteReference"/>
          <w:sz w:val="24"/>
          <w:szCs w:val="24"/>
          <w:lang w:val="mk-MK"/>
        </w:rPr>
        <w:footnoteReference w:id="125"/>
      </w:r>
      <w:r w:rsidRPr="00F53881">
        <w:rPr>
          <w:sz w:val="24"/>
          <w:szCs w:val="24"/>
          <w:lang w:val="mk-MK"/>
        </w:rPr>
        <w:t xml:space="preserve"> Како и претходните </w:t>
      </w:r>
      <w:r w:rsidR="00A033A7">
        <w:rPr>
          <w:sz w:val="24"/>
          <w:szCs w:val="24"/>
          <w:lang w:val="mk-MK"/>
        </w:rPr>
        <w:t>две</w:t>
      </w:r>
      <w:r w:rsidRPr="00F53881">
        <w:rPr>
          <w:sz w:val="24"/>
          <w:szCs w:val="24"/>
          <w:lang w:val="mk-MK"/>
        </w:rPr>
        <w:t>, овој модел не потпаѓа под оспегот на истражувањето бидејќи</w:t>
      </w:r>
      <w:r w:rsidR="000E37A2">
        <w:rPr>
          <w:sz w:val="24"/>
          <w:szCs w:val="24"/>
          <w:lang w:val="mk-MK"/>
        </w:rPr>
        <w:t xml:space="preserve"> фактички</w:t>
      </w:r>
      <w:r w:rsidRPr="00F53881">
        <w:rPr>
          <w:sz w:val="24"/>
          <w:szCs w:val="24"/>
          <w:lang w:val="mk-MK"/>
        </w:rPr>
        <w:t xml:space="preserve"> не ги вклучува вработените во процесот на носење одлуки.</w:t>
      </w:r>
      <w:r w:rsidR="000E37A2">
        <w:rPr>
          <w:rStyle w:val="FootnoteReference"/>
          <w:sz w:val="24"/>
          <w:szCs w:val="24"/>
          <w:lang w:val="mk-MK"/>
        </w:rPr>
        <w:footnoteReference w:id="126"/>
      </w:r>
      <w:r w:rsidRPr="00F53881">
        <w:rPr>
          <w:sz w:val="24"/>
          <w:szCs w:val="24"/>
          <w:lang w:val="mk-MK"/>
        </w:rPr>
        <w:t xml:space="preserve"> </w:t>
      </w:r>
    </w:p>
    <w:p w14:paraId="3F04A10F" w14:textId="15D8528A" w:rsidR="00FD2E8C" w:rsidRDefault="00ED2B59" w:rsidP="00FD2E8C">
      <w:pPr>
        <w:spacing w:before="240"/>
        <w:ind w:firstLine="720"/>
        <w:jc w:val="both"/>
        <w:rPr>
          <w:sz w:val="24"/>
          <w:szCs w:val="24"/>
          <w:lang w:val="mk-MK"/>
        </w:rPr>
      </w:pPr>
      <w:r w:rsidRPr="00F53881">
        <w:rPr>
          <w:sz w:val="24"/>
          <w:szCs w:val="24"/>
          <w:lang w:val="mk-MK"/>
        </w:rPr>
        <w:t xml:space="preserve">Имајќи ги предвид изложените модели и нивната компатибилност со истражувачкото прашање, </w:t>
      </w:r>
      <w:r w:rsidR="00FF5573">
        <w:rPr>
          <w:sz w:val="24"/>
          <w:szCs w:val="24"/>
          <w:lang w:val="mk-MK"/>
        </w:rPr>
        <w:t>дисертацијата ќе се фокусира на</w:t>
      </w:r>
      <w:r w:rsidRPr="00F53881">
        <w:rPr>
          <w:sz w:val="24"/>
          <w:szCs w:val="24"/>
          <w:lang w:val="mk-MK"/>
        </w:rPr>
        <w:t xml:space="preserve"> детална анализа само на првите два модели како единствени соодветни за вклучување на вработените во трговските друштва.</w:t>
      </w:r>
      <w:r w:rsidRPr="00F53881">
        <w:rPr>
          <w:rStyle w:val="FootnoteReference"/>
          <w:sz w:val="24"/>
          <w:szCs w:val="24"/>
          <w:lang w:val="mk-MK"/>
        </w:rPr>
        <w:footnoteReference w:id="127"/>
      </w:r>
      <w:r w:rsidRPr="00F53881">
        <w:rPr>
          <w:sz w:val="24"/>
          <w:szCs w:val="24"/>
          <w:lang w:val="mk-MK"/>
        </w:rPr>
        <w:t xml:space="preserve"> Со оглед на тоа што Директивата 2022/2381 за подобрување на родовата рамнотежа помеѓу директорите на котирани друштва и сродни мерки директно овозможува интервенција од страна на државите во составите на одборите,</w:t>
      </w:r>
      <w:r w:rsidRPr="00F53881">
        <w:rPr>
          <w:rStyle w:val="FootnoteReference"/>
          <w:sz w:val="24"/>
          <w:szCs w:val="24"/>
          <w:lang w:val="mk-MK"/>
        </w:rPr>
        <w:footnoteReference w:id="128"/>
      </w:r>
      <w:r w:rsidRPr="00F53881">
        <w:rPr>
          <w:sz w:val="24"/>
          <w:szCs w:val="24"/>
          <w:lang w:val="mk-MK"/>
        </w:rPr>
        <w:t xml:space="preserve"> јасно е дека двата модели се возможни, реални и остварливи доколку државата сака да ги спроведе. Како што беше наведено, </w:t>
      </w:r>
      <w:r w:rsidR="00F169B3">
        <w:rPr>
          <w:sz w:val="24"/>
          <w:szCs w:val="24"/>
          <w:lang w:val="mk-MK"/>
        </w:rPr>
        <w:t>в</w:t>
      </w:r>
      <w:r w:rsidRPr="00F53881">
        <w:rPr>
          <w:sz w:val="24"/>
          <w:szCs w:val="24"/>
          <w:lang w:val="mk-MK"/>
        </w:rPr>
        <w:t>клученоста на вработените во трговските друштва има за цел не само да го подобри квалитетот на одлучување</w:t>
      </w:r>
      <w:r w:rsidR="00F169B3">
        <w:rPr>
          <w:sz w:val="24"/>
          <w:szCs w:val="24"/>
          <w:lang w:val="mk-MK"/>
        </w:rPr>
        <w:t>, задоволството</w:t>
      </w:r>
      <w:r w:rsidRPr="00F53881">
        <w:rPr>
          <w:sz w:val="24"/>
          <w:szCs w:val="24"/>
          <w:lang w:val="mk-MK"/>
        </w:rPr>
        <w:t xml:space="preserve"> и транспарентноста во компанијата,</w:t>
      </w:r>
      <w:r w:rsidR="009B7F81">
        <w:rPr>
          <w:rStyle w:val="FootnoteReference"/>
          <w:sz w:val="24"/>
          <w:szCs w:val="24"/>
          <w:lang w:val="mk-MK"/>
        </w:rPr>
        <w:footnoteReference w:id="129"/>
      </w:r>
      <w:r w:rsidRPr="00F53881">
        <w:rPr>
          <w:sz w:val="24"/>
          <w:szCs w:val="24"/>
          <w:lang w:val="mk-MK"/>
        </w:rPr>
        <w:t xml:space="preserve"> туку и да создаде култура на доверба и меѓусебна </w:t>
      </w:r>
      <w:r w:rsidRPr="00F53881">
        <w:rPr>
          <w:sz w:val="24"/>
          <w:szCs w:val="24"/>
          <w:lang w:val="mk-MK"/>
        </w:rPr>
        <w:lastRenderedPageBreak/>
        <w:t xml:space="preserve">поддршка помеѓу менаџментот и работниците. Во таа линија, вклученоста на вработените во корпоративното управување може значително да придонесе за транспарентноста во компаниите на неколку начини преку: </w:t>
      </w:r>
    </w:p>
    <w:p w14:paraId="79B69B39" w14:textId="77777777" w:rsidR="009A26FD" w:rsidRDefault="00ED2B59" w:rsidP="009A26FD">
      <w:pPr>
        <w:spacing w:before="240"/>
        <w:ind w:firstLine="720"/>
        <w:jc w:val="both"/>
        <w:rPr>
          <w:sz w:val="24"/>
          <w:szCs w:val="24"/>
          <w:lang w:val="mk-MK"/>
        </w:rPr>
      </w:pPr>
      <w:r w:rsidRPr="009A26FD">
        <w:rPr>
          <w:sz w:val="24"/>
          <w:szCs w:val="24"/>
          <w:lang w:val="mk-MK"/>
        </w:rPr>
        <w:t>Подобрена комуникација и известување</w:t>
      </w:r>
      <w:r w:rsidR="009A26FD">
        <w:rPr>
          <w:sz w:val="24"/>
          <w:szCs w:val="24"/>
          <w:lang w:val="mk-MK"/>
        </w:rPr>
        <w:t>: к</w:t>
      </w:r>
      <w:r w:rsidRPr="00F53881">
        <w:rPr>
          <w:sz w:val="24"/>
          <w:szCs w:val="24"/>
          <w:lang w:val="mk-MK"/>
        </w:rPr>
        <w:t>ога вработените се дел од процесот на донесување одлуки или се застапени во одборите на компаниите, тие имаат подобар пристап до критични информации за работењето на компанијата. Ова поттикнува појасно разбирање на корпоративните цели, финансиската состојба и потенцијалните ризици и придобивки, што води кон пообјективно и поточно известување за корпоративните активности.</w:t>
      </w:r>
      <w:r w:rsidRPr="00F53881">
        <w:rPr>
          <w:rStyle w:val="FootnoteReference"/>
          <w:sz w:val="24"/>
          <w:szCs w:val="24"/>
          <w:lang w:val="mk-MK"/>
        </w:rPr>
        <w:footnoteReference w:id="130"/>
      </w:r>
      <w:r w:rsidRPr="00F53881">
        <w:rPr>
          <w:sz w:val="24"/>
          <w:szCs w:val="24"/>
          <w:lang w:val="mk-MK"/>
        </w:rPr>
        <w:t xml:space="preserve"> </w:t>
      </w:r>
    </w:p>
    <w:p w14:paraId="6937BB74" w14:textId="1B4F8FA6" w:rsidR="00ED2B59" w:rsidRPr="00F53881" w:rsidRDefault="00ED2B59" w:rsidP="009A26FD">
      <w:pPr>
        <w:spacing w:before="240"/>
        <w:ind w:firstLine="720"/>
        <w:jc w:val="both"/>
        <w:rPr>
          <w:sz w:val="24"/>
          <w:szCs w:val="24"/>
          <w:lang w:val="mk-MK"/>
        </w:rPr>
      </w:pPr>
      <w:r w:rsidRPr="009A26FD">
        <w:rPr>
          <w:sz w:val="24"/>
          <w:szCs w:val="24"/>
          <w:lang w:val="mk-MK"/>
        </w:rPr>
        <w:t>Навремено откривање</w:t>
      </w:r>
      <w:r w:rsidR="00F958B2" w:rsidRPr="009A26FD">
        <w:rPr>
          <w:sz w:val="24"/>
          <w:szCs w:val="24"/>
          <w:lang w:val="en-US"/>
        </w:rPr>
        <w:t xml:space="preserve"> </w:t>
      </w:r>
      <w:r w:rsidRPr="009A26FD">
        <w:rPr>
          <w:sz w:val="24"/>
          <w:szCs w:val="24"/>
          <w:lang w:val="mk-MK"/>
        </w:rPr>
        <w:t>ризици</w:t>
      </w:r>
      <w:r w:rsidR="009A26FD">
        <w:rPr>
          <w:sz w:val="24"/>
          <w:szCs w:val="24"/>
          <w:lang w:val="mk-MK"/>
        </w:rPr>
        <w:t>: в</w:t>
      </w:r>
      <w:r w:rsidRPr="00F53881">
        <w:rPr>
          <w:sz w:val="24"/>
          <w:szCs w:val="24"/>
          <w:lang w:val="mk-MK"/>
        </w:rPr>
        <w:t>работените кои учествуваат во управувањето се чувствуваат одговорни за состојбата на компанијата. Тие имаат пристап до информации од секојдневното работење и со тоа можат да идентификуваат потенцијални финансиски или етички ризици пред тие да станат сериозен проблем. Ова придонесува за проактивен пристап во адресирање на проблемите и поотворен начин на управување со истите.</w:t>
      </w:r>
      <w:r w:rsidRPr="00F53881">
        <w:rPr>
          <w:rStyle w:val="FootnoteReference"/>
          <w:sz w:val="24"/>
          <w:szCs w:val="24"/>
          <w:lang w:val="mk-MK"/>
        </w:rPr>
        <w:footnoteReference w:id="131"/>
      </w:r>
      <w:r w:rsidRPr="00F53881">
        <w:rPr>
          <w:sz w:val="24"/>
          <w:szCs w:val="24"/>
          <w:lang w:val="mk-MK"/>
        </w:rPr>
        <w:t xml:space="preserve"> </w:t>
      </w:r>
    </w:p>
    <w:p w14:paraId="3BF3EC00" w14:textId="6CE42DA3" w:rsidR="00ED2B59" w:rsidRPr="00FA2BC0" w:rsidRDefault="00ED2B59" w:rsidP="00FA2BC0">
      <w:pPr>
        <w:spacing w:before="240"/>
        <w:ind w:firstLine="720"/>
        <w:jc w:val="both"/>
        <w:rPr>
          <w:sz w:val="24"/>
          <w:szCs w:val="24"/>
          <w:lang w:val="mk-MK"/>
        </w:rPr>
      </w:pPr>
      <w:r w:rsidRPr="00FA2BC0">
        <w:rPr>
          <w:sz w:val="24"/>
          <w:szCs w:val="24"/>
          <w:lang w:val="mk-MK"/>
        </w:rPr>
        <w:t>Спречување на конфликт на интереси</w:t>
      </w:r>
      <w:r w:rsidR="00FA2BC0">
        <w:rPr>
          <w:sz w:val="24"/>
          <w:szCs w:val="24"/>
          <w:lang w:val="mk-MK"/>
        </w:rPr>
        <w:t>: з</w:t>
      </w:r>
      <w:r w:rsidRPr="00FA2BC0">
        <w:rPr>
          <w:sz w:val="24"/>
          <w:szCs w:val="24"/>
          <w:lang w:val="mk-MK"/>
        </w:rPr>
        <w:t xml:space="preserve">астапеноста на вработените помага да се намалат злоупотребите на довербата и на позициите од страна на </w:t>
      </w:r>
      <w:r w:rsidR="005B4D63" w:rsidRPr="00FA2BC0">
        <w:rPr>
          <w:sz w:val="24"/>
          <w:szCs w:val="24"/>
          <w:lang w:val="mk-MK"/>
        </w:rPr>
        <w:t>управувачките</w:t>
      </w:r>
      <w:r w:rsidRPr="00FA2BC0">
        <w:rPr>
          <w:sz w:val="24"/>
          <w:szCs w:val="24"/>
          <w:lang w:val="mk-MK"/>
        </w:rPr>
        <w:t xml:space="preserve"> структури.</w:t>
      </w:r>
      <w:r w:rsidRPr="00F53881">
        <w:rPr>
          <w:rStyle w:val="FootnoteReference"/>
          <w:sz w:val="24"/>
          <w:szCs w:val="24"/>
          <w:lang w:val="mk-MK"/>
        </w:rPr>
        <w:footnoteReference w:id="132"/>
      </w:r>
      <w:r w:rsidRPr="00FA2BC0">
        <w:rPr>
          <w:sz w:val="24"/>
          <w:szCs w:val="24"/>
          <w:lang w:val="mk-MK"/>
        </w:rPr>
        <w:t xml:space="preserve"> Со вработени</w:t>
      </w:r>
      <w:r w:rsidR="005B4D63" w:rsidRPr="00FA2BC0">
        <w:rPr>
          <w:sz w:val="24"/>
          <w:szCs w:val="24"/>
          <w:lang w:val="mk-MK"/>
        </w:rPr>
        <w:t>те</w:t>
      </w:r>
      <w:r w:rsidRPr="00FA2BC0">
        <w:rPr>
          <w:sz w:val="24"/>
          <w:szCs w:val="24"/>
          <w:lang w:val="mk-MK"/>
        </w:rPr>
        <w:t xml:space="preserve"> како членови или набљудувачи во одборите, веројатноста за пр</w:t>
      </w:r>
      <w:r w:rsidR="007F2B24" w:rsidRPr="00FA2BC0">
        <w:rPr>
          <w:sz w:val="24"/>
          <w:szCs w:val="24"/>
          <w:lang w:val="mk-MK"/>
        </w:rPr>
        <w:t>и</w:t>
      </w:r>
      <w:r w:rsidRPr="00FA2BC0">
        <w:rPr>
          <w:sz w:val="24"/>
          <w:szCs w:val="24"/>
          <w:lang w:val="mk-MK"/>
        </w:rPr>
        <w:t>кривање на информации или за носење одлуки во полза на мал број лица е намалена, што води кон почитување на корпоративната етика и транспарентноста.</w:t>
      </w:r>
      <w:r w:rsidRPr="00F53881">
        <w:rPr>
          <w:rStyle w:val="FootnoteReference"/>
          <w:sz w:val="24"/>
          <w:szCs w:val="24"/>
          <w:lang w:val="mk-MK"/>
        </w:rPr>
        <w:footnoteReference w:id="133"/>
      </w:r>
      <w:r w:rsidRPr="00FA2BC0">
        <w:rPr>
          <w:sz w:val="24"/>
          <w:szCs w:val="24"/>
          <w:lang w:val="mk-MK"/>
        </w:rPr>
        <w:t xml:space="preserve"> </w:t>
      </w:r>
    </w:p>
    <w:p w14:paraId="0F33744B" w14:textId="78AA7EDA" w:rsidR="00ED2B59" w:rsidRPr="00FA2BC0" w:rsidRDefault="00ED2B59" w:rsidP="00FA2BC0">
      <w:pPr>
        <w:spacing w:before="240"/>
        <w:ind w:firstLine="720"/>
        <w:jc w:val="both"/>
        <w:rPr>
          <w:sz w:val="24"/>
          <w:szCs w:val="24"/>
          <w:lang w:val="mk-MK"/>
        </w:rPr>
      </w:pPr>
      <w:r w:rsidRPr="00FA2BC0">
        <w:rPr>
          <w:sz w:val="24"/>
          <w:szCs w:val="24"/>
          <w:lang w:val="mk-MK"/>
        </w:rPr>
        <w:t>Одржливост и прифаќање на етички практики</w:t>
      </w:r>
      <w:r w:rsidR="00FA2BC0" w:rsidRPr="00FA2BC0">
        <w:rPr>
          <w:sz w:val="24"/>
          <w:szCs w:val="24"/>
          <w:lang w:val="mk-MK"/>
        </w:rPr>
        <w:t xml:space="preserve">: </w:t>
      </w:r>
      <w:r w:rsidR="00FA2BC0">
        <w:rPr>
          <w:sz w:val="24"/>
          <w:szCs w:val="24"/>
          <w:lang w:val="mk-MK"/>
        </w:rPr>
        <w:t>в</w:t>
      </w:r>
      <w:r w:rsidRPr="00FA2BC0">
        <w:rPr>
          <w:sz w:val="24"/>
          <w:szCs w:val="24"/>
          <w:lang w:val="mk-MK"/>
        </w:rPr>
        <w:t>клученоста на вработените значи дека етичките и социјално одговорни практики стануваат дел од компанијата бидејќи работниците активно учествуваат во обезбедување</w:t>
      </w:r>
      <w:r w:rsidR="007F2B24" w:rsidRPr="00FA2BC0">
        <w:rPr>
          <w:sz w:val="24"/>
          <w:szCs w:val="24"/>
          <w:lang w:val="mk-MK"/>
        </w:rPr>
        <w:t>то</w:t>
      </w:r>
      <w:r w:rsidRPr="00FA2BC0">
        <w:rPr>
          <w:sz w:val="24"/>
          <w:szCs w:val="24"/>
          <w:lang w:val="mk-MK"/>
        </w:rPr>
        <w:t xml:space="preserve"> на доброто име и репутацијата на компанијата.</w:t>
      </w:r>
      <w:r w:rsidRPr="00F53881">
        <w:rPr>
          <w:rStyle w:val="FootnoteReference"/>
          <w:sz w:val="24"/>
          <w:szCs w:val="24"/>
          <w:lang w:val="mk-MK"/>
        </w:rPr>
        <w:footnoteReference w:id="134"/>
      </w:r>
      <w:r w:rsidRPr="00FA2BC0">
        <w:rPr>
          <w:sz w:val="24"/>
          <w:szCs w:val="24"/>
          <w:lang w:val="mk-MK"/>
        </w:rPr>
        <w:t xml:space="preserve"> Ова дополнително ги привлекува инвеститорите, особено во светло на новите глобални стандарди за ESG и заштита на правата на вработените.</w:t>
      </w:r>
      <w:r w:rsidRPr="00F53881">
        <w:rPr>
          <w:rStyle w:val="FootnoteReference"/>
          <w:sz w:val="24"/>
          <w:szCs w:val="24"/>
          <w:lang w:val="mk-MK"/>
        </w:rPr>
        <w:footnoteReference w:id="135"/>
      </w:r>
      <w:r w:rsidRPr="00FA2BC0">
        <w:rPr>
          <w:sz w:val="24"/>
          <w:szCs w:val="24"/>
          <w:lang w:val="mk-MK"/>
        </w:rPr>
        <w:t xml:space="preserve"> </w:t>
      </w:r>
    </w:p>
    <w:p w14:paraId="7B398FB5" w14:textId="50EBCF27" w:rsidR="00ED2B59" w:rsidRPr="00F53881" w:rsidRDefault="00ED2B59" w:rsidP="00FA2BC0">
      <w:pPr>
        <w:spacing w:before="240"/>
        <w:ind w:firstLine="720"/>
        <w:jc w:val="both"/>
        <w:rPr>
          <w:sz w:val="24"/>
          <w:szCs w:val="24"/>
          <w:lang w:val="mk-MK"/>
        </w:rPr>
      </w:pPr>
      <w:r w:rsidRPr="00FA2BC0">
        <w:rPr>
          <w:sz w:val="24"/>
          <w:szCs w:val="24"/>
          <w:lang w:val="mk-MK"/>
        </w:rPr>
        <w:t>Градење на култура на доверба</w:t>
      </w:r>
      <w:r w:rsidR="00FA2BC0">
        <w:rPr>
          <w:sz w:val="24"/>
          <w:szCs w:val="24"/>
          <w:lang w:val="mk-MK"/>
        </w:rPr>
        <w:t>: п</w:t>
      </w:r>
      <w:r w:rsidRPr="00F53881">
        <w:rPr>
          <w:sz w:val="24"/>
          <w:szCs w:val="24"/>
          <w:lang w:val="mk-MK"/>
        </w:rPr>
        <w:t>реку активно учество во управувањето, вработените се чувствуваат вреднувани и нивната улога станува поважна за успехот на компанијата.</w:t>
      </w:r>
      <w:r w:rsidRPr="00F53881">
        <w:rPr>
          <w:rStyle w:val="FootnoteReference"/>
          <w:sz w:val="24"/>
          <w:szCs w:val="24"/>
          <w:lang w:val="mk-MK"/>
        </w:rPr>
        <w:footnoteReference w:id="136"/>
      </w:r>
      <w:r w:rsidRPr="00F53881">
        <w:rPr>
          <w:sz w:val="24"/>
          <w:szCs w:val="24"/>
          <w:lang w:val="mk-MK"/>
        </w:rPr>
        <w:t xml:space="preserve"> Кога информациите се споделуваат отворено</w:t>
      </w:r>
      <w:r w:rsidR="00E24905">
        <w:rPr>
          <w:sz w:val="24"/>
          <w:szCs w:val="24"/>
          <w:lang w:val="mk-MK"/>
        </w:rPr>
        <w:t xml:space="preserve"> и</w:t>
      </w:r>
      <w:r w:rsidRPr="00F53881">
        <w:rPr>
          <w:sz w:val="24"/>
          <w:szCs w:val="24"/>
          <w:lang w:val="mk-MK"/>
        </w:rPr>
        <w:t xml:space="preserve"> без прикривање, културата на доверба станува основа за транспарентноста на компанијата.</w:t>
      </w:r>
      <w:r w:rsidRPr="00F53881">
        <w:rPr>
          <w:rStyle w:val="FootnoteReference"/>
          <w:sz w:val="24"/>
          <w:szCs w:val="24"/>
          <w:lang w:val="mk-MK"/>
        </w:rPr>
        <w:footnoteReference w:id="137"/>
      </w:r>
      <w:r w:rsidRPr="00F53881">
        <w:rPr>
          <w:sz w:val="24"/>
          <w:szCs w:val="24"/>
          <w:lang w:val="mk-MK"/>
        </w:rPr>
        <w:t xml:space="preserve"> </w:t>
      </w:r>
    </w:p>
    <w:p w14:paraId="6A4B16C6" w14:textId="4A81140D" w:rsidR="00ED2B59" w:rsidRPr="00F53881" w:rsidRDefault="00E24905" w:rsidP="00990F00">
      <w:pPr>
        <w:spacing w:before="240" w:after="240"/>
        <w:ind w:firstLine="720"/>
        <w:jc w:val="both"/>
        <w:rPr>
          <w:sz w:val="24"/>
          <w:szCs w:val="24"/>
          <w:lang w:val="mk-MK"/>
        </w:rPr>
      </w:pPr>
      <w:r>
        <w:rPr>
          <w:sz w:val="24"/>
          <w:szCs w:val="24"/>
          <w:lang w:val="mk-MK"/>
        </w:rPr>
        <w:t>Сумацијата на досегашните истражувања покажува</w:t>
      </w:r>
      <w:r w:rsidR="00ED2B59" w:rsidRPr="00F53881">
        <w:rPr>
          <w:sz w:val="24"/>
          <w:szCs w:val="24"/>
          <w:lang w:val="mk-MK"/>
        </w:rPr>
        <w:t xml:space="preserve"> дека воведувањето на структури за вклучување на вработените како дел од корпоративното управување не само што ги зајакнува интерните односи, туку и испраќа јасна порака до инвеститорите и јавноста дека компанијата се стреми кон транспарентност и етичко работење. Во тој смисол, концептите на соодлучување и вработени-акционери претставуваат предизвик </w:t>
      </w:r>
      <w:r w:rsidR="00ED2B59" w:rsidRPr="00F53881">
        <w:rPr>
          <w:sz w:val="24"/>
          <w:szCs w:val="24"/>
          <w:lang w:val="mk-MK"/>
        </w:rPr>
        <w:lastRenderedPageBreak/>
        <w:t xml:space="preserve">кој останува подеднакво актуелен денес, како и во времето на неговото настанување. Откако </w:t>
      </w:r>
      <w:r w:rsidR="00452819">
        <w:rPr>
          <w:sz w:val="24"/>
          <w:szCs w:val="24"/>
          <w:lang w:val="mk-MK"/>
        </w:rPr>
        <w:t>било</w:t>
      </w:r>
      <w:r w:rsidR="00ED2B59" w:rsidRPr="00F53881">
        <w:rPr>
          <w:sz w:val="24"/>
          <w:szCs w:val="24"/>
          <w:lang w:val="mk-MK"/>
        </w:rPr>
        <w:t xml:space="preserve"> воведен</w:t>
      </w:r>
      <w:r w:rsidR="00452819">
        <w:rPr>
          <w:sz w:val="24"/>
          <w:szCs w:val="24"/>
          <w:lang w:val="mk-MK"/>
        </w:rPr>
        <w:t>о</w:t>
      </w:r>
      <w:r w:rsidR="00ED2B59" w:rsidRPr="00F53881">
        <w:rPr>
          <w:sz w:val="24"/>
          <w:szCs w:val="24"/>
          <w:lang w:val="mk-MK"/>
        </w:rPr>
        <w:t xml:space="preserve"> во Германија во 1952 година, а потврден</w:t>
      </w:r>
      <w:r w:rsidR="00452819">
        <w:rPr>
          <w:sz w:val="24"/>
          <w:szCs w:val="24"/>
          <w:lang w:val="mk-MK"/>
        </w:rPr>
        <w:t>о</w:t>
      </w:r>
      <w:r w:rsidR="00ED2B59" w:rsidRPr="00F53881">
        <w:rPr>
          <w:sz w:val="24"/>
          <w:szCs w:val="24"/>
          <w:lang w:val="mk-MK"/>
        </w:rPr>
        <w:t xml:space="preserve"> и проширен</w:t>
      </w:r>
      <w:r w:rsidR="00452819">
        <w:rPr>
          <w:sz w:val="24"/>
          <w:szCs w:val="24"/>
          <w:lang w:val="mk-MK"/>
        </w:rPr>
        <w:t>о</w:t>
      </w:r>
      <w:r w:rsidR="00ED2B59" w:rsidRPr="00F53881">
        <w:rPr>
          <w:sz w:val="24"/>
          <w:szCs w:val="24"/>
          <w:lang w:val="mk-MK"/>
        </w:rPr>
        <w:t xml:space="preserve"> со Законот за кодетерминација од 1976 година, работничкото соодлучување се развива паралелно со моделот на работничко акционерство, кој е карактеристичен пред сѐ за Соединетите Американски Држави. Иако овие два модели честопати се доживуваат како конкурентски, сепак во најголем дел тие можат да бидат и комплементарни,</w:t>
      </w:r>
      <w:r w:rsidR="006E3387">
        <w:rPr>
          <w:rStyle w:val="FootnoteReference"/>
          <w:sz w:val="24"/>
          <w:szCs w:val="24"/>
          <w:lang w:val="mk-MK"/>
        </w:rPr>
        <w:footnoteReference w:id="138"/>
      </w:r>
      <w:r w:rsidR="00ED2B59" w:rsidRPr="00F53881">
        <w:rPr>
          <w:sz w:val="24"/>
          <w:szCs w:val="24"/>
          <w:lang w:val="mk-MK"/>
        </w:rPr>
        <w:t xml:space="preserve"> што ќе биде предмет на конкретна анализа низ истражувачкото прашање.</w:t>
      </w:r>
    </w:p>
    <w:p w14:paraId="5DB5AC3A" w14:textId="3278F735" w:rsidR="00ED2B59" w:rsidRPr="00A7235A" w:rsidRDefault="007903A6" w:rsidP="009330C0">
      <w:pPr>
        <w:pStyle w:val="Heading2"/>
        <w:numPr>
          <w:ilvl w:val="1"/>
          <w:numId w:val="11"/>
        </w:numPr>
        <w:rPr>
          <w:rFonts w:ascii="Times New Roman" w:hAnsi="Times New Roman" w:cs="Times New Roman"/>
          <w:b w:val="0"/>
          <w:bCs w:val="0"/>
          <w:i w:val="0"/>
          <w:iCs w:val="0"/>
          <w:sz w:val="24"/>
          <w:szCs w:val="24"/>
        </w:rPr>
      </w:pPr>
      <w:r>
        <w:rPr>
          <w:rFonts w:ascii="Times New Roman" w:hAnsi="Times New Roman" w:cs="Times New Roman"/>
          <w:b w:val="0"/>
          <w:bCs w:val="0"/>
          <w:color w:val="000000" w:themeColor="text1"/>
          <w:sz w:val="24"/>
          <w:szCs w:val="24"/>
          <w:lang w:val="en-US"/>
        </w:rPr>
        <w:t xml:space="preserve"> </w:t>
      </w:r>
      <w:bookmarkStart w:id="12" w:name="_Toc230523865"/>
      <w:r w:rsidR="00ED2B59" w:rsidRPr="00A7235A">
        <w:rPr>
          <w:rFonts w:ascii="Times New Roman" w:hAnsi="Times New Roman" w:cs="Times New Roman"/>
          <w:b w:val="0"/>
          <w:bCs w:val="0"/>
          <w:color w:val="000000" w:themeColor="text1"/>
          <w:sz w:val="24"/>
          <w:szCs w:val="24"/>
          <w:lang w:val="mk-MK"/>
        </w:rPr>
        <w:t>Доминантни модели за вклученост на вработените</w:t>
      </w:r>
      <w:bookmarkEnd w:id="12"/>
    </w:p>
    <w:p w14:paraId="1D9D2868" w14:textId="3ADBB55C" w:rsidR="00ED2B59" w:rsidRPr="00F53881" w:rsidRDefault="00ED2B59" w:rsidP="00ED2B59">
      <w:pPr>
        <w:pStyle w:val="BodyText"/>
        <w:spacing w:before="240"/>
        <w:ind w:firstLine="720"/>
        <w:jc w:val="both"/>
        <w:rPr>
          <w:lang w:val="mk-MK"/>
        </w:rPr>
      </w:pPr>
      <w:r w:rsidRPr="00F53881">
        <w:rPr>
          <w:lang w:val="mk-MK"/>
        </w:rPr>
        <w:t>Досегашното научно истражување на моделите за ангажирање на вработени, со особен фокус на споредбата помеѓу учеството на вработените во корпоративното управување преку застапување во органите на компанијата и стекнувањето акции од страна на вработените, јасно ги дефинира и поставува основите на академската дебата.</w:t>
      </w:r>
      <w:r w:rsidRPr="00F53881">
        <w:rPr>
          <w:rStyle w:val="FootnoteReference"/>
          <w:lang w:val="mk-MK"/>
        </w:rPr>
        <w:footnoteReference w:id="139"/>
      </w:r>
      <w:r w:rsidRPr="00F53881">
        <w:rPr>
          <w:lang w:val="mk-MK"/>
        </w:rPr>
        <w:t xml:space="preserve"> Притоа, </w:t>
      </w:r>
      <w:r w:rsidR="00A2116A">
        <w:rPr>
          <w:lang w:val="mk-MK"/>
        </w:rPr>
        <w:t>познато</w:t>
      </w:r>
      <w:r w:rsidRPr="00F53881">
        <w:rPr>
          <w:lang w:val="mk-MK"/>
        </w:rPr>
        <w:t xml:space="preserve"> е дека друштвата со ова можат да поттикнат поголема лојалност, посветеност, </w:t>
      </w:r>
      <w:r w:rsidR="00937DE1">
        <w:rPr>
          <w:lang w:val="mk-MK"/>
        </w:rPr>
        <w:t xml:space="preserve">задоволство, </w:t>
      </w:r>
      <w:r w:rsidRPr="00F53881">
        <w:rPr>
          <w:lang w:val="mk-MK"/>
        </w:rPr>
        <w:t>мотивација и перформанси на вработените.</w:t>
      </w:r>
      <w:r w:rsidRPr="00F53881">
        <w:rPr>
          <w:rStyle w:val="FootnoteReference"/>
          <w:lang w:val="mk-MK"/>
        </w:rPr>
        <w:footnoteReference w:id="140"/>
      </w:r>
      <w:r w:rsidRPr="00F53881">
        <w:rPr>
          <w:lang w:val="mk-MK"/>
        </w:rPr>
        <w:t xml:space="preserve"> Ова е и причината зошто двата модели кои се предмет на истражување често се анализираат низ призмата на корпоративното управување, трудовото право и учеството на вработените, нудејќи различни предности и предизвици врз основа на нивните основни механизми за поттикнување на ангажманот.</w:t>
      </w:r>
      <w:r w:rsidRPr="00F53881">
        <w:rPr>
          <w:rStyle w:val="FootnoteReference"/>
          <w:lang w:val="mk-MK"/>
        </w:rPr>
        <w:footnoteReference w:id="141"/>
      </w:r>
    </w:p>
    <w:p w14:paraId="3123D082" w14:textId="77777777" w:rsidR="00ED2B59" w:rsidRPr="00F53881" w:rsidRDefault="00ED2B59" w:rsidP="00ED2B59">
      <w:pPr>
        <w:pStyle w:val="BodyText"/>
        <w:spacing w:before="240"/>
        <w:ind w:firstLine="720"/>
        <w:jc w:val="both"/>
        <w:rPr>
          <w:lang w:val="mk-MK"/>
        </w:rPr>
      </w:pPr>
      <w:r w:rsidRPr="00F53881">
        <w:rPr>
          <w:lang w:val="mk-MK"/>
        </w:rPr>
        <w:t>Како што беше наведено, учеството на вработените во управувањето е замислено со цел тие од прва рака да добиваат релевантни информации, да можат да одлучуваат и да бидат консултирани за работењето на трговското друштво.</w:t>
      </w:r>
      <w:r w:rsidRPr="00F53881">
        <w:rPr>
          <w:rStyle w:val="FootnoteReference"/>
          <w:lang w:val="mk-MK"/>
        </w:rPr>
        <w:footnoteReference w:id="142"/>
      </w:r>
      <w:r w:rsidRPr="00F53881">
        <w:rPr>
          <w:lang w:val="mk-MK"/>
        </w:rPr>
        <w:t xml:space="preserve"> Ова им овозможува на вработените да оценат кои се перспективите на друштвото, кое е нивното место во развојните деловни политики и дали, како и колку, трговското друштво ги исполнува, или ќе може да ги исполнува, законските, зацртаните или договорените обврски кон нив.</w:t>
      </w:r>
      <w:r w:rsidRPr="00F53881">
        <w:rPr>
          <w:rStyle w:val="FootnoteReference"/>
          <w:lang w:val="mk-MK"/>
        </w:rPr>
        <w:footnoteReference w:id="143"/>
      </w:r>
      <w:r w:rsidRPr="00F53881">
        <w:rPr>
          <w:lang w:val="mk-MK"/>
        </w:rPr>
        <w:t xml:space="preserve"> Врз основа на</w:t>
      </w:r>
      <w:r w:rsidRPr="00F53881">
        <w:rPr>
          <w:lang w:val="en-US"/>
        </w:rPr>
        <w:t xml:space="preserve"> </w:t>
      </w:r>
      <w:r w:rsidRPr="00F53881">
        <w:rPr>
          <w:lang w:val="mk-MK"/>
        </w:rPr>
        <w:t>класификацијата на Коевски и Спасевски,</w:t>
      </w:r>
      <w:r w:rsidRPr="00F53881">
        <w:rPr>
          <w:rStyle w:val="FootnoteReference"/>
          <w:lang w:val="mk-MK"/>
        </w:rPr>
        <w:footnoteReference w:id="144"/>
      </w:r>
      <w:r w:rsidRPr="00F53881">
        <w:rPr>
          <w:lang w:val="mk-MK"/>
        </w:rPr>
        <w:t xml:space="preserve"> разликуваме три вида учество на вработените во управувањето: </w:t>
      </w:r>
    </w:p>
    <w:p w14:paraId="4602E3F1" w14:textId="77777777" w:rsidR="00ED2B59" w:rsidRPr="00F53881" w:rsidRDefault="00ED2B59" w:rsidP="009330C0">
      <w:pPr>
        <w:pStyle w:val="BodyText"/>
        <w:numPr>
          <w:ilvl w:val="0"/>
          <w:numId w:val="3"/>
        </w:numPr>
        <w:spacing w:before="240"/>
        <w:jc w:val="both"/>
        <w:rPr>
          <w:lang w:val="mk-MK"/>
        </w:rPr>
      </w:pPr>
      <w:r w:rsidRPr="00F53881">
        <w:rPr>
          <w:lang w:val="mk-MK"/>
        </w:rPr>
        <w:t xml:space="preserve">„Тврдо учество”, каде со закон се наложува учество на вработените во управувањето со одредени трговски друштва, за што најзначаен пример е Германија; </w:t>
      </w:r>
    </w:p>
    <w:p w14:paraId="77EF70C9" w14:textId="77777777" w:rsidR="00ED2B59" w:rsidRPr="00F53881" w:rsidRDefault="00ED2B59" w:rsidP="009330C0">
      <w:pPr>
        <w:pStyle w:val="BodyText"/>
        <w:numPr>
          <w:ilvl w:val="0"/>
          <w:numId w:val="3"/>
        </w:numPr>
        <w:spacing w:before="240"/>
        <w:jc w:val="both"/>
        <w:rPr>
          <w:lang w:val="mk-MK"/>
        </w:rPr>
      </w:pPr>
      <w:r w:rsidRPr="00F53881">
        <w:rPr>
          <w:lang w:val="mk-MK"/>
        </w:rPr>
        <w:t>„Меко или неформално учество”, каде законот не наложува учество и нема посебни санкции доколку вработените не учествуваат во управувањето, но во практиката кодетерминацијата често се застапува на статутарно ниво, за што пример е Јапонија</w:t>
      </w:r>
      <w:r w:rsidRPr="00F53881">
        <w:rPr>
          <w:lang w:val="en-US"/>
        </w:rPr>
        <w:t>;</w:t>
      </w:r>
    </w:p>
    <w:p w14:paraId="37C6BFDD" w14:textId="77777777" w:rsidR="00ED2B59" w:rsidRPr="00F53881" w:rsidRDefault="00ED2B59" w:rsidP="009330C0">
      <w:pPr>
        <w:pStyle w:val="BodyText"/>
        <w:numPr>
          <w:ilvl w:val="0"/>
          <w:numId w:val="3"/>
        </w:numPr>
        <w:spacing w:before="240"/>
        <w:jc w:val="both"/>
        <w:rPr>
          <w:lang w:val="mk-MK"/>
        </w:rPr>
      </w:pPr>
      <w:r w:rsidRPr="00F53881">
        <w:rPr>
          <w:lang w:val="mk-MK"/>
        </w:rPr>
        <w:lastRenderedPageBreak/>
        <w:t>„Непартиципирачки систем”, каде партиципацијата на вработените е вистинска реткост и се среќава во мал број компании, а најважен претставник на овој модел се Соединетите Американски Држави. Во практиката, ова учество на вработените може да се јави само кај помалите, затворени компании каде што вработените учествуваат со извесен дел во акционерската сопственост.</w:t>
      </w:r>
      <w:r w:rsidRPr="00F53881">
        <w:rPr>
          <w:rStyle w:val="FootnoteReference"/>
          <w:lang w:val="mk-MK"/>
        </w:rPr>
        <w:footnoteReference w:id="145"/>
      </w:r>
      <w:r w:rsidRPr="00F53881">
        <w:rPr>
          <w:lang w:val="mk-MK"/>
        </w:rPr>
        <w:t xml:space="preserve"> </w:t>
      </w:r>
    </w:p>
    <w:p w14:paraId="5EBB4A0A" w14:textId="77777777" w:rsidR="00ED2B59" w:rsidRPr="00F53881" w:rsidRDefault="00ED2B59" w:rsidP="00ED2B59">
      <w:pPr>
        <w:pStyle w:val="BodyText"/>
        <w:spacing w:before="240"/>
        <w:ind w:firstLine="720"/>
        <w:jc w:val="both"/>
        <w:rPr>
          <w:lang w:val="mk-MK"/>
        </w:rPr>
      </w:pPr>
      <w:r w:rsidRPr="00F53881">
        <w:rPr>
          <w:lang w:val="mk-MK"/>
        </w:rPr>
        <w:t>Понатаму, класифкацијата вели дека кога работничката партиципација е дел од практиката на корпоративното управување во одредена земја, без разлика дали е наложена со закон или е етичка норма, таа може да се јави на неколку нивоа: (1) на најниско, производно ниво, односно на ниво на работна единица, каде вработените имаат пристап само до информации за непосредниот производствен процес; (2) на ниво на колективно договарање; и (3) како учество на вработените во донесувањето на стратешки одлуки на највисоко ниво на управување. Овие модели на партиципација претставуваат важен дел од современото корпоративно управување, со значајни придобивки за вработените и стабилноста на компанијата.</w:t>
      </w:r>
      <w:r w:rsidRPr="00F53881">
        <w:rPr>
          <w:rStyle w:val="FootnoteReference"/>
          <w:lang w:val="mk-MK"/>
        </w:rPr>
        <w:footnoteReference w:id="146"/>
      </w:r>
    </w:p>
    <w:p w14:paraId="521449C8" w14:textId="0801FF4E" w:rsidR="00ED2B59" w:rsidRPr="00F53881" w:rsidRDefault="00ED2B59" w:rsidP="00ED2B59">
      <w:pPr>
        <w:pStyle w:val="BodyText"/>
        <w:spacing w:before="240"/>
        <w:ind w:firstLine="720"/>
        <w:jc w:val="both"/>
        <w:rPr>
          <w:lang w:val="mk-MK"/>
        </w:rPr>
      </w:pPr>
      <w:r w:rsidRPr="00F53881">
        <w:rPr>
          <w:lang w:val="mk-MK"/>
        </w:rPr>
        <w:t>Компаративно, европските земји во поглед на работничката партиципација се делат во следните групи: Германија, Австрија, Словенија, Хрватска, Луксембург и Холандија предвидуваат директна законска застапеност на вработените во одлучувањето на трговското друштво.</w:t>
      </w:r>
      <w:r w:rsidRPr="00F53881">
        <w:rPr>
          <w:rStyle w:val="FootnoteReference"/>
          <w:lang w:val="mk-MK"/>
        </w:rPr>
        <w:footnoteReference w:id="147"/>
      </w:r>
      <w:r w:rsidRPr="00F53881">
        <w:rPr>
          <w:lang w:val="mk-MK"/>
        </w:rPr>
        <w:t xml:space="preserve"> Португалија, Белгија, Италија</w:t>
      </w:r>
      <w:r w:rsidRPr="00F53881">
        <w:rPr>
          <w:lang w:val="en-US"/>
        </w:rPr>
        <w:t>,</w:t>
      </w:r>
      <w:r w:rsidRPr="00F53881">
        <w:rPr>
          <w:rStyle w:val="FootnoteReference"/>
          <w:lang w:val="en-US"/>
        </w:rPr>
        <w:footnoteReference w:id="148"/>
      </w:r>
      <w:r w:rsidRPr="00F53881">
        <w:rPr>
          <w:lang w:val="en-US"/>
        </w:rPr>
        <w:t xml:space="preserve"> </w:t>
      </w:r>
      <w:r w:rsidRPr="00F53881">
        <w:rPr>
          <w:lang w:val="mk-MK"/>
        </w:rPr>
        <w:t>САД и Велика Британија никогаш со закон не предвиделе работничка партиципација на вработените во управувањето со компаниите. Ирска, Шпанија и Грција предвидуваат кодетерминациија само кај државните претпријатија. Франција, иако навидум заинтересирана, е доста конзервативна во овој поглед. Таа предвидува во компании со повеќе од 50 вработени на седниците на одборот да присуствуваат двајца претставници од вработените, но без право на глас. Сепак, остава со компаниските статути да се предвиди можност вработените да изберат до 1/3 од вкупниот број членови на одборот на директори. Понатаму, интересно е искуството и на скандинавските земји. Имено, таму законот бара задолжително присуство на три директори што ќе ги застапуваат интересите на вработените, а избрани од синдикатот, но со обврска за нивна задолжителна апстиненција од точките на дневен ред кои содржат спротивставени интереси помеѓу трудот и капиталот.</w:t>
      </w:r>
      <w:r w:rsidRPr="00F53881">
        <w:rPr>
          <w:rStyle w:val="FootnoteReference"/>
          <w:lang w:val="mk-MK"/>
        </w:rPr>
        <w:footnoteReference w:id="149"/>
      </w:r>
      <w:r w:rsidRPr="00F53881">
        <w:rPr>
          <w:lang w:val="mk-MK"/>
        </w:rPr>
        <w:t xml:space="preserve"> Конечно, заради неможноста да станат директни учесници во управувањето со компаниите врз основа на трудот, работниците во САД го насочиле својот фокус во подобрување на своите права преку учество во управувањето,</w:t>
      </w:r>
      <w:r w:rsidR="009652DC">
        <w:rPr>
          <w:rStyle w:val="FootnoteReference"/>
          <w:lang w:val="mk-MK"/>
        </w:rPr>
        <w:footnoteReference w:id="150"/>
      </w:r>
      <w:r w:rsidRPr="00F53881">
        <w:rPr>
          <w:lang w:val="mk-MK"/>
        </w:rPr>
        <w:t xml:space="preserve"> но овој пат врз основа на акционерска сопственост, односно преку работничкото акционерство и пензиските фондови.</w:t>
      </w:r>
      <w:r w:rsidRPr="00F53881">
        <w:rPr>
          <w:rStyle w:val="FootnoteReference"/>
          <w:lang w:val="mk-MK"/>
        </w:rPr>
        <w:footnoteReference w:id="151"/>
      </w:r>
    </w:p>
    <w:p w14:paraId="6F5F69ED" w14:textId="77777777" w:rsidR="00ED2B59" w:rsidRPr="00F53881" w:rsidRDefault="00ED2B59" w:rsidP="008841D2">
      <w:pPr>
        <w:pStyle w:val="BodyText"/>
        <w:spacing w:before="240" w:after="240"/>
        <w:ind w:firstLine="720"/>
        <w:jc w:val="both"/>
        <w:rPr>
          <w:lang w:val="en-US"/>
        </w:rPr>
      </w:pPr>
      <w:r w:rsidRPr="00F53881">
        <w:rPr>
          <w:lang w:val="mk-MK"/>
        </w:rPr>
        <w:t xml:space="preserve">Имајќи ја предвид специфичната положба во која се наоѓа Македонија и сегашната ситуација што посочува дека државата не може да се подведе под ниту еден </w:t>
      </w:r>
      <w:r w:rsidRPr="00F53881">
        <w:rPr>
          <w:lang w:val="mk-MK"/>
        </w:rPr>
        <w:lastRenderedPageBreak/>
        <w:t>режим бидејќи материјата едноставно не е регулирана,</w:t>
      </w:r>
      <w:r w:rsidRPr="00F53881">
        <w:rPr>
          <w:rStyle w:val="FootnoteReference"/>
          <w:lang w:val="mk-MK"/>
        </w:rPr>
        <w:footnoteReference w:id="152"/>
      </w:r>
      <w:r w:rsidRPr="00F53881">
        <w:rPr>
          <w:lang w:val="mk-MK"/>
        </w:rPr>
        <w:t xml:space="preserve"> дури ни во земјите со непартиципирачки систем, најважните модели за разгледување се германскиот и американскиот.</w:t>
      </w:r>
      <w:r w:rsidRPr="00F53881">
        <w:rPr>
          <w:rStyle w:val="FootnoteReference"/>
          <w:lang w:val="mk-MK"/>
        </w:rPr>
        <w:footnoteReference w:id="153"/>
      </w:r>
      <w:r w:rsidRPr="00F53881">
        <w:rPr>
          <w:lang w:val="mk-MK"/>
        </w:rPr>
        <w:t xml:space="preserve"> Во секој случај, примената на управувачки практики засновани на интегритет; практики кои се во интерес на сите засегнати лица, вклучувајќи ги акционерите, вработените, клиентите, добавувачите, потенцијалните инвеститори и општествената средина во која компанијата ја врши својата дејност, се апсолутен приоритет во текот на целото истражување.</w:t>
      </w:r>
      <w:r w:rsidRPr="00F53881">
        <w:rPr>
          <w:rStyle w:val="FootnoteReference"/>
          <w:lang w:val="mk-MK"/>
        </w:rPr>
        <w:footnoteReference w:id="154"/>
      </w:r>
      <w:r w:rsidRPr="00F53881">
        <w:rPr>
          <w:lang w:val="mk-MK"/>
        </w:rPr>
        <w:t xml:space="preserve"> Моделите на застапеност на вработените во телата на друштвото, како што се одборите на директори, како и вработените-акционери се опширно истражувани и јасно можат да се издвојат предностите и слабостите. Двете форми на учество им овозможуваат на вработените да имаат глас во процесите на донесување одлуки во организацијата, придонесувајќи за транспарентност, отчетност и подобрена организациска култура, но во различни облици. </w:t>
      </w:r>
    </w:p>
    <w:p w14:paraId="3A6F94FF" w14:textId="65B089EA" w:rsidR="00ED2B59" w:rsidRPr="00A26F48" w:rsidRDefault="007903A6" w:rsidP="009330C0">
      <w:pPr>
        <w:pStyle w:val="Heading2"/>
        <w:numPr>
          <w:ilvl w:val="1"/>
          <w:numId w:val="11"/>
        </w:numPr>
        <w:rPr>
          <w:rFonts w:ascii="Times New Roman" w:hAnsi="Times New Roman" w:cs="Times New Roman"/>
          <w:b w:val="0"/>
          <w:bCs w:val="0"/>
          <w:i w:val="0"/>
          <w:iCs w:val="0"/>
          <w:color w:val="000000" w:themeColor="text1"/>
          <w:sz w:val="24"/>
          <w:szCs w:val="24"/>
        </w:rPr>
      </w:pPr>
      <w:r>
        <w:rPr>
          <w:rFonts w:ascii="Times New Roman" w:hAnsi="Times New Roman" w:cs="Times New Roman"/>
          <w:b w:val="0"/>
          <w:bCs w:val="0"/>
          <w:color w:val="000000" w:themeColor="text1"/>
          <w:sz w:val="24"/>
          <w:szCs w:val="24"/>
          <w:lang w:val="en-US"/>
        </w:rPr>
        <w:t xml:space="preserve"> </w:t>
      </w:r>
      <w:bookmarkStart w:id="13" w:name="_Toc230523866"/>
      <w:r w:rsidR="00ED2B59" w:rsidRPr="00A26F48">
        <w:rPr>
          <w:rFonts w:ascii="Times New Roman" w:hAnsi="Times New Roman" w:cs="Times New Roman"/>
          <w:b w:val="0"/>
          <w:bCs w:val="0"/>
          <w:color w:val="000000" w:themeColor="text1"/>
          <w:sz w:val="24"/>
          <w:szCs w:val="24"/>
          <w:lang w:val="mk-MK"/>
        </w:rPr>
        <w:t>Предности и предизвици на двата доминантни модели</w:t>
      </w:r>
      <w:bookmarkEnd w:id="13"/>
    </w:p>
    <w:p w14:paraId="65B3C3B1" w14:textId="77777777" w:rsidR="00ED2B59" w:rsidRPr="00F53881" w:rsidRDefault="00ED2B59" w:rsidP="00ED2B59">
      <w:pPr>
        <w:pStyle w:val="BodyText"/>
        <w:spacing w:before="240"/>
        <w:ind w:firstLine="720"/>
        <w:jc w:val="both"/>
        <w:rPr>
          <w:lang w:val="mk-MK"/>
        </w:rPr>
      </w:pPr>
      <w:r w:rsidRPr="00F53881">
        <w:rPr>
          <w:lang w:val="mk-MK"/>
        </w:rPr>
        <w:t xml:space="preserve">Моделите за вклученост на работниците во управувањето нудат значајни предности, но носат и одредени предизвици кои можат да влијаат врз нивната ефективност и практична примена. Во однос на предностите, тие влијаат на: </w:t>
      </w:r>
    </w:p>
    <w:p w14:paraId="05050AF1" w14:textId="77777777" w:rsidR="00E37219" w:rsidRPr="002F0303" w:rsidRDefault="00ED2B59" w:rsidP="009330C0">
      <w:pPr>
        <w:pStyle w:val="BodyText"/>
        <w:numPr>
          <w:ilvl w:val="0"/>
          <w:numId w:val="8"/>
        </w:numPr>
        <w:jc w:val="both"/>
        <w:rPr>
          <w:lang w:val="en-US"/>
        </w:rPr>
      </w:pPr>
      <w:r w:rsidRPr="002F0303">
        <w:rPr>
          <w:lang w:val="mk-MK"/>
        </w:rPr>
        <w:t>Подобрување на транспарентноста: вклученоста на работниците им овозможува да добиваат навремени и точни информации за состојбата на компанијата, што помага во зголемување</w:t>
      </w:r>
      <w:r w:rsidR="00C32A16" w:rsidRPr="002F0303">
        <w:rPr>
          <w:lang w:val="mk-MK"/>
        </w:rPr>
        <w:t>то</w:t>
      </w:r>
      <w:r w:rsidRPr="002F0303">
        <w:rPr>
          <w:lang w:val="mk-MK"/>
        </w:rPr>
        <w:t xml:space="preserve"> на довербата и транспарентноста.</w:t>
      </w:r>
      <w:r w:rsidRPr="002F0303">
        <w:rPr>
          <w:rStyle w:val="FootnoteReference"/>
          <w:lang w:val="mk-MK"/>
        </w:rPr>
        <w:footnoteReference w:id="155"/>
      </w:r>
      <w:r w:rsidRPr="002F0303">
        <w:rPr>
          <w:lang w:val="mk-MK"/>
        </w:rPr>
        <w:t xml:space="preserve"> </w:t>
      </w:r>
    </w:p>
    <w:p w14:paraId="3CFE9191" w14:textId="77777777" w:rsidR="00E37219" w:rsidRPr="002F0303" w:rsidRDefault="00ED2B59" w:rsidP="009330C0">
      <w:pPr>
        <w:pStyle w:val="BodyText"/>
        <w:numPr>
          <w:ilvl w:val="0"/>
          <w:numId w:val="8"/>
        </w:numPr>
        <w:jc w:val="both"/>
        <w:rPr>
          <w:lang w:val="en-US"/>
        </w:rPr>
      </w:pPr>
      <w:r w:rsidRPr="002F0303">
        <w:rPr>
          <w:lang w:val="mk-MK"/>
        </w:rPr>
        <w:t>Зголемен</w:t>
      </w:r>
      <w:r w:rsidR="003C59B2" w:rsidRPr="002F0303">
        <w:rPr>
          <w:lang w:val="mk-MK"/>
        </w:rPr>
        <w:t>и</w:t>
      </w:r>
      <w:r w:rsidRPr="002F0303">
        <w:rPr>
          <w:lang w:val="mk-MK"/>
        </w:rPr>
        <w:t xml:space="preserve"> </w:t>
      </w:r>
      <w:r w:rsidR="003C59B2" w:rsidRPr="002F0303">
        <w:rPr>
          <w:lang w:val="mk-MK"/>
        </w:rPr>
        <w:t xml:space="preserve">задоволство, </w:t>
      </w:r>
      <w:r w:rsidRPr="002F0303">
        <w:rPr>
          <w:lang w:val="mk-MK"/>
        </w:rPr>
        <w:t>лојалност и мотивација: работниците кои учествуваат во процесите на донесување одлуки чувствуваат дека се вреднувани и дел од компанијата, што може да ја зголеми нивната лојалност и посветеност.</w:t>
      </w:r>
      <w:r w:rsidRPr="002F0303">
        <w:rPr>
          <w:rStyle w:val="FootnoteReference"/>
          <w:lang w:val="mk-MK"/>
        </w:rPr>
        <w:footnoteReference w:id="156"/>
      </w:r>
      <w:r w:rsidRPr="002F0303">
        <w:rPr>
          <w:lang w:val="mk-MK"/>
        </w:rPr>
        <w:t xml:space="preserve"> </w:t>
      </w:r>
    </w:p>
    <w:p w14:paraId="0F0D9F58" w14:textId="77777777" w:rsidR="00E37219" w:rsidRPr="002F0303" w:rsidRDefault="00ED2B59" w:rsidP="009330C0">
      <w:pPr>
        <w:pStyle w:val="BodyText"/>
        <w:numPr>
          <w:ilvl w:val="0"/>
          <w:numId w:val="8"/>
        </w:numPr>
        <w:jc w:val="both"/>
        <w:rPr>
          <w:lang w:val="en-US"/>
        </w:rPr>
      </w:pPr>
      <w:r w:rsidRPr="002F0303">
        <w:rPr>
          <w:lang w:val="mk-MK"/>
        </w:rPr>
        <w:t>Подобрени односи и продуктивност: овие модели можат да доведат до подобрување на односите помеѓу менаџментот и вработените, со што се намалуваат можностите за конфликти и се поттикнуваат позитивни работни практики, а тоа може да придонесе за повисока продуктивност.</w:t>
      </w:r>
      <w:r w:rsidRPr="002F0303">
        <w:rPr>
          <w:rStyle w:val="FootnoteReference"/>
          <w:lang w:val="mk-MK"/>
        </w:rPr>
        <w:footnoteReference w:id="157"/>
      </w:r>
      <w:r w:rsidRPr="002F0303">
        <w:rPr>
          <w:lang w:val="mk-MK"/>
        </w:rPr>
        <w:t xml:space="preserve"> </w:t>
      </w:r>
    </w:p>
    <w:p w14:paraId="4CF3A967" w14:textId="77777777" w:rsidR="00E37219" w:rsidRPr="002F0303" w:rsidRDefault="00ED2B59" w:rsidP="009330C0">
      <w:pPr>
        <w:pStyle w:val="BodyText"/>
        <w:numPr>
          <w:ilvl w:val="0"/>
          <w:numId w:val="8"/>
        </w:numPr>
        <w:jc w:val="both"/>
        <w:rPr>
          <w:lang w:val="en-US"/>
        </w:rPr>
      </w:pPr>
      <w:r w:rsidRPr="002F0303">
        <w:rPr>
          <w:lang w:val="mk-MK"/>
        </w:rPr>
        <w:t>Поголема стабилност на компанијата: вклученоста на работниците придонесува за стабилност на компанијата, особено во кризни времиња, бидејќи вработените можат да понудат практични решенија и нови перспективи за деловни предизвици.</w:t>
      </w:r>
      <w:r w:rsidRPr="002F0303">
        <w:rPr>
          <w:rStyle w:val="FootnoteReference"/>
          <w:lang w:val="mk-MK"/>
        </w:rPr>
        <w:footnoteReference w:id="158"/>
      </w:r>
      <w:r w:rsidRPr="002F0303">
        <w:rPr>
          <w:lang w:val="mk-MK"/>
        </w:rPr>
        <w:t xml:space="preserve"> </w:t>
      </w:r>
    </w:p>
    <w:p w14:paraId="2052B6E9" w14:textId="62B821C0" w:rsidR="00ED2B59" w:rsidRPr="002F0303" w:rsidRDefault="00ED2B59" w:rsidP="009330C0">
      <w:pPr>
        <w:pStyle w:val="BodyText"/>
        <w:numPr>
          <w:ilvl w:val="0"/>
          <w:numId w:val="8"/>
        </w:numPr>
        <w:jc w:val="both"/>
        <w:rPr>
          <w:lang w:val="en-US"/>
        </w:rPr>
      </w:pPr>
      <w:r w:rsidRPr="002F0303">
        <w:rPr>
          <w:lang w:val="mk-MK"/>
        </w:rPr>
        <w:t>Поддршка за иновации: Кога работниците активно учествуваат во управувањето, тие се поттикнати да придонесат со нови идеи и предлози кои можат да ја подобрат иновативноста на компанијата.</w:t>
      </w:r>
      <w:r w:rsidRPr="002F0303">
        <w:rPr>
          <w:rStyle w:val="FootnoteReference"/>
          <w:lang w:val="mk-MK"/>
        </w:rPr>
        <w:footnoteReference w:id="159"/>
      </w:r>
      <w:r w:rsidRPr="002F0303">
        <w:rPr>
          <w:lang w:val="mk-MK"/>
        </w:rPr>
        <w:t xml:space="preserve"> </w:t>
      </w:r>
    </w:p>
    <w:p w14:paraId="203FC5B7" w14:textId="77777777" w:rsidR="00ED2B59" w:rsidRPr="002F0303" w:rsidRDefault="00ED2B59" w:rsidP="00ED2B59">
      <w:pPr>
        <w:pStyle w:val="BodyText"/>
        <w:spacing w:before="240"/>
        <w:ind w:firstLine="720"/>
        <w:jc w:val="both"/>
        <w:rPr>
          <w:lang w:val="mk-MK"/>
        </w:rPr>
      </w:pPr>
      <w:r w:rsidRPr="002F0303">
        <w:rPr>
          <w:lang w:val="mk-MK"/>
        </w:rPr>
        <w:t>Во однос на главните предизвици, тие се однесуваат на:</w:t>
      </w:r>
    </w:p>
    <w:p w14:paraId="2C45DC5E" w14:textId="77777777" w:rsidR="004D0A50" w:rsidRPr="002F0303" w:rsidRDefault="00ED2B59" w:rsidP="009330C0">
      <w:pPr>
        <w:pStyle w:val="BodyText"/>
        <w:numPr>
          <w:ilvl w:val="0"/>
          <w:numId w:val="9"/>
        </w:numPr>
        <w:jc w:val="both"/>
        <w:rPr>
          <w:lang w:val="en-US"/>
        </w:rPr>
      </w:pPr>
      <w:r w:rsidRPr="002F0303">
        <w:rPr>
          <w:lang w:val="mk-MK"/>
        </w:rPr>
        <w:t>Потенцијална бавност во донесувањето одлуки: партиципативните модели мож</w:t>
      </w:r>
      <w:r w:rsidR="00C81FC8" w:rsidRPr="002F0303">
        <w:rPr>
          <w:lang w:val="mk-MK"/>
        </w:rPr>
        <w:t>ат</w:t>
      </w:r>
      <w:r w:rsidRPr="002F0303">
        <w:rPr>
          <w:lang w:val="mk-MK"/>
        </w:rPr>
        <w:t xml:space="preserve"> </w:t>
      </w:r>
      <w:r w:rsidRPr="002F0303">
        <w:rPr>
          <w:lang w:val="mk-MK"/>
        </w:rPr>
        <w:lastRenderedPageBreak/>
        <w:t>да доведат до побавно донесување на одлуки бидејќи е потребно да се вклучат повеќе страни и мислења, што може да ја намали агилноста на компанијата.</w:t>
      </w:r>
      <w:r w:rsidRPr="002F0303">
        <w:rPr>
          <w:rStyle w:val="FootnoteReference"/>
          <w:lang w:val="mk-MK"/>
        </w:rPr>
        <w:footnoteReference w:id="160"/>
      </w:r>
      <w:r w:rsidRPr="002F0303">
        <w:rPr>
          <w:lang w:val="mk-MK"/>
        </w:rPr>
        <w:t xml:space="preserve"> </w:t>
      </w:r>
    </w:p>
    <w:p w14:paraId="58D29D5C" w14:textId="77777777" w:rsidR="004D0A50" w:rsidRPr="002F0303" w:rsidRDefault="00ED2B59" w:rsidP="009330C0">
      <w:pPr>
        <w:pStyle w:val="BodyText"/>
        <w:numPr>
          <w:ilvl w:val="0"/>
          <w:numId w:val="9"/>
        </w:numPr>
        <w:jc w:val="both"/>
        <w:rPr>
          <w:lang w:val="en-US"/>
        </w:rPr>
      </w:pPr>
      <w:r w:rsidRPr="002F0303">
        <w:rPr>
          <w:lang w:val="mk-MK"/>
        </w:rPr>
        <w:t>Недостаток на експертиза: доколку не</w:t>
      </w:r>
      <w:r w:rsidR="00C81FC8" w:rsidRPr="002F0303">
        <w:rPr>
          <w:lang w:val="mk-MK"/>
        </w:rPr>
        <w:t xml:space="preserve"> се</w:t>
      </w:r>
      <w:r w:rsidRPr="002F0303">
        <w:rPr>
          <w:lang w:val="mk-MK"/>
        </w:rPr>
        <w:t xml:space="preserve"> обучени, возможно е работниците да немаат доволно експертиза или знаење за да учествуваат во стратешките одлуки, што може да влијае негативно на квалитетот на донесените одлуки. </w:t>
      </w:r>
    </w:p>
    <w:p w14:paraId="351CA5ED" w14:textId="77777777" w:rsidR="004D0A50" w:rsidRPr="002F0303" w:rsidRDefault="00ED2B59" w:rsidP="009330C0">
      <w:pPr>
        <w:pStyle w:val="BodyText"/>
        <w:numPr>
          <w:ilvl w:val="0"/>
          <w:numId w:val="9"/>
        </w:numPr>
        <w:jc w:val="both"/>
        <w:rPr>
          <w:lang w:val="en-US"/>
        </w:rPr>
      </w:pPr>
      <w:r w:rsidRPr="002F0303">
        <w:rPr>
          <w:lang w:val="mk-MK"/>
        </w:rPr>
        <w:t>Конфликт на интереси: Вклучувањето на работниците во управувањето може да доведе до конфликти на интереси, особено ако нивните лични интереси не се усогласени со стратешките цели на компанијата, но ова е генерално ризик што важи за речиси секоја индивидуа вклучена во било кој капацитет во друштвото.</w:t>
      </w:r>
      <w:r w:rsidRPr="002F0303">
        <w:rPr>
          <w:rStyle w:val="FootnoteReference"/>
          <w:lang w:val="mk-MK"/>
        </w:rPr>
        <w:footnoteReference w:id="161"/>
      </w:r>
      <w:r w:rsidRPr="002F0303">
        <w:rPr>
          <w:lang w:val="mk-MK"/>
        </w:rPr>
        <w:t xml:space="preserve"> </w:t>
      </w:r>
    </w:p>
    <w:p w14:paraId="4AC9AFF9" w14:textId="77777777" w:rsidR="004D0A50" w:rsidRPr="002F0303" w:rsidRDefault="00ED2B59" w:rsidP="009330C0">
      <w:pPr>
        <w:pStyle w:val="BodyText"/>
        <w:numPr>
          <w:ilvl w:val="0"/>
          <w:numId w:val="9"/>
        </w:numPr>
        <w:jc w:val="both"/>
        <w:rPr>
          <w:lang w:val="en-US"/>
        </w:rPr>
      </w:pPr>
      <w:r w:rsidRPr="002F0303">
        <w:rPr>
          <w:lang w:val="mk-MK"/>
        </w:rPr>
        <w:t>Високи трошоци за имплементација: за трговските друштва, а особено за помалите, воведувањето на формални системи за партиципација може да претставува значителен трошок во однос на време и ресурси.</w:t>
      </w:r>
      <w:r w:rsidRPr="002F0303">
        <w:rPr>
          <w:rStyle w:val="FootnoteReference"/>
          <w:lang w:val="mk-MK"/>
        </w:rPr>
        <w:footnoteReference w:id="162"/>
      </w:r>
      <w:r w:rsidRPr="002F0303">
        <w:rPr>
          <w:lang w:val="mk-MK"/>
        </w:rPr>
        <w:t xml:space="preserve"> </w:t>
      </w:r>
    </w:p>
    <w:p w14:paraId="75B755BA" w14:textId="30446454" w:rsidR="00ED2B59" w:rsidRPr="002F0303" w:rsidRDefault="00ED2B59" w:rsidP="009330C0">
      <w:pPr>
        <w:pStyle w:val="BodyText"/>
        <w:numPr>
          <w:ilvl w:val="0"/>
          <w:numId w:val="9"/>
        </w:numPr>
        <w:spacing w:after="240"/>
        <w:jc w:val="both"/>
        <w:rPr>
          <w:lang w:val="en-US"/>
        </w:rPr>
      </w:pPr>
      <w:r w:rsidRPr="002F0303">
        <w:rPr>
          <w:lang w:val="mk-MK"/>
        </w:rPr>
        <w:t>Можност за отпор од менаџментот: постарите и традиционалните менаџерски структури можат да пружат отпор кон воведувањето на партиципативните модели, бидејќи го доживуваат како губење на контрола или авторитет.</w:t>
      </w:r>
      <w:r w:rsidRPr="002F0303">
        <w:rPr>
          <w:rStyle w:val="FootnoteReference"/>
          <w:lang w:val="mk-MK"/>
        </w:rPr>
        <w:footnoteReference w:id="163"/>
      </w:r>
      <w:r w:rsidRPr="002F0303">
        <w:rPr>
          <w:lang w:val="mk-MK"/>
        </w:rPr>
        <w:t xml:space="preserve"> </w:t>
      </w:r>
    </w:p>
    <w:p w14:paraId="1560AB0C" w14:textId="19838FA6" w:rsidR="00ED2B59" w:rsidRPr="00A26F48" w:rsidRDefault="00292196" w:rsidP="009330C0">
      <w:pPr>
        <w:pStyle w:val="Heading2"/>
        <w:numPr>
          <w:ilvl w:val="1"/>
          <w:numId w:val="11"/>
        </w:numPr>
        <w:rPr>
          <w:rFonts w:ascii="Times New Roman" w:hAnsi="Times New Roman" w:cs="Times New Roman"/>
          <w:b w:val="0"/>
          <w:bCs w:val="0"/>
          <w:i w:val="0"/>
          <w:iCs w:val="0"/>
          <w:color w:val="000000" w:themeColor="text1"/>
          <w:sz w:val="24"/>
          <w:szCs w:val="24"/>
        </w:rPr>
      </w:pPr>
      <w:r w:rsidRPr="00A26F48">
        <w:rPr>
          <w:rFonts w:ascii="Times New Roman" w:hAnsi="Times New Roman" w:cs="Times New Roman"/>
          <w:b w:val="0"/>
          <w:bCs w:val="0"/>
          <w:i w:val="0"/>
          <w:iCs w:val="0"/>
          <w:color w:val="000000" w:themeColor="text1"/>
          <w:sz w:val="24"/>
          <w:szCs w:val="24"/>
          <w:lang w:val="mk-MK"/>
        </w:rPr>
        <w:t xml:space="preserve"> </w:t>
      </w:r>
      <w:bookmarkStart w:id="14" w:name="_Toc230523867"/>
      <w:r w:rsidR="00ED2B59" w:rsidRPr="00A26F48">
        <w:rPr>
          <w:rFonts w:ascii="Times New Roman" w:hAnsi="Times New Roman" w:cs="Times New Roman"/>
          <w:b w:val="0"/>
          <w:bCs w:val="0"/>
          <w:color w:val="000000" w:themeColor="text1"/>
          <w:sz w:val="24"/>
          <w:szCs w:val="24"/>
          <w:lang w:val="mk-MK"/>
        </w:rPr>
        <w:t>Моделот на работничка кодетерминација</w:t>
      </w:r>
      <w:bookmarkEnd w:id="14"/>
    </w:p>
    <w:p w14:paraId="388EA32F" w14:textId="57BA50AE" w:rsidR="00ED2B59" w:rsidRPr="00F53881" w:rsidRDefault="00ED2B59" w:rsidP="00ED2B59">
      <w:pPr>
        <w:pStyle w:val="BodyText"/>
        <w:spacing w:before="240"/>
        <w:ind w:firstLine="720"/>
        <w:jc w:val="both"/>
        <w:rPr>
          <w:lang w:val="mk-MK"/>
        </w:rPr>
      </w:pPr>
      <w:r w:rsidRPr="00F53881">
        <w:rPr>
          <w:lang w:val="mk-MK"/>
        </w:rPr>
        <w:t>Видливо од приложеното е дека предностите на вклученоста на работниците далекусежно ги надминуваат многу од предизвиците до таму што според некои мислења и автори, учеството на вработените и други интересовни групи во управувањето со компаниите е едно од најголемите достигнувања во модерниот капиталистичкиот свет.</w:t>
      </w:r>
      <w:r w:rsidRPr="00F53881">
        <w:rPr>
          <w:rStyle w:val="FootnoteReference"/>
          <w:lang w:val="mk-MK"/>
        </w:rPr>
        <w:footnoteReference w:id="164"/>
      </w:r>
      <w:r w:rsidRPr="00F53881">
        <w:rPr>
          <w:lang w:val="mk-MK"/>
        </w:rPr>
        <w:t xml:space="preserve"> Вработените, како интересовна група, имаат силен мотив да ја спречат можната кражба или намалувањето на вредноста на имотот на трговското друштво од страна на контролните акционери или од директорите и/или менаџерите.</w:t>
      </w:r>
      <w:r w:rsidRPr="00F53881">
        <w:rPr>
          <w:rStyle w:val="FootnoteReference"/>
          <w:lang w:val="mk-MK"/>
        </w:rPr>
        <w:footnoteReference w:id="165"/>
      </w:r>
      <w:r w:rsidRPr="00F53881">
        <w:rPr>
          <w:lang w:val="mk-MK"/>
        </w:rPr>
        <w:t xml:space="preserve"> Дури, некои </w:t>
      </w:r>
      <w:r w:rsidR="00DA1F6F">
        <w:rPr>
          <w:lang w:val="mk-MK"/>
        </w:rPr>
        <w:t xml:space="preserve">конзервативни автори </w:t>
      </w:r>
      <w:r w:rsidRPr="00F53881">
        <w:rPr>
          <w:lang w:val="mk-MK"/>
        </w:rPr>
        <w:t>предвидуваат дека ако не се вклучат работниците во управувањето тие ќе се синдикализираат и ќе ги радикализираат своите барања, а потоа ќе биде донесена каква-таква одлука, ама со многу поголеми трошоци.</w:t>
      </w:r>
      <w:r w:rsidRPr="00F53881">
        <w:rPr>
          <w:rStyle w:val="FootnoteReference"/>
          <w:lang w:val="mk-MK"/>
        </w:rPr>
        <w:footnoteReference w:id="166"/>
      </w:r>
      <w:r w:rsidRPr="00F53881">
        <w:rPr>
          <w:lang w:val="mk-MK"/>
        </w:rPr>
        <w:t xml:space="preserve"> Сепак, јасно е дека успешната имплементација зависи од прилагодувањето на моделите на корпоративната култура, менаџментот и специфичните цели на друштвото.</w:t>
      </w:r>
      <w:r w:rsidRPr="00F53881">
        <w:rPr>
          <w:rStyle w:val="FootnoteReference"/>
          <w:lang w:val="mk-MK"/>
        </w:rPr>
        <w:footnoteReference w:id="167"/>
      </w:r>
      <w:r w:rsidRPr="00F53881">
        <w:rPr>
          <w:lang w:val="mk-MK"/>
        </w:rPr>
        <w:t xml:space="preserve"> Во однос на работничката кодетерминација, теоретски се развиени неколку академски правци. </w:t>
      </w:r>
    </w:p>
    <w:p w14:paraId="531701EA" w14:textId="77777777" w:rsidR="00ED2B59" w:rsidRPr="00F53881" w:rsidRDefault="00ED2B59" w:rsidP="00ED2B59">
      <w:pPr>
        <w:pStyle w:val="BodyText"/>
        <w:spacing w:before="240"/>
        <w:ind w:firstLine="720"/>
        <w:jc w:val="both"/>
        <w:rPr>
          <w:lang w:val="mk-MK"/>
        </w:rPr>
      </w:pPr>
      <w:r w:rsidRPr="00F53881">
        <w:rPr>
          <w:lang w:val="mk-MK"/>
        </w:rPr>
        <w:t>На пример, во САД се развиле неколку теории за учеството на работниците во корпоративното управување. Првенствено, теоријата за демократија на работното место тргнува од тоа дека при дискусија за учество на вработените во корпоративното управување, треба да се истакне дека директорите и менаџерите ги избираат акционерите, додека од вработените се очекува да ги почитуваат правилата и наредбите во чие создавање тие не учествувале.</w:t>
      </w:r>
      <w:r w:rsidRPr="00F53881">
        <w:rPr>
          <w:rStyle w:val="FootnoteReference"/>
          <w:lang w:val="mk-MK"/>
        </w:rPr>
        <w:footnoteReference w:id="168"/>
      </w:r>
      <w:r w:rsidRPr="00F53881">
        <w:rPr>
          <w:lang w:val="mk-MK"/>
        </w:rPr>
        <w:t xml:space="preserve"> Концептот на „демократија на работно место“ </w:t>
      </w:r>
      <w:r w:rsidRPr="00F53881">
        <w:rPr>
          <w:lang w:val="mk-MK"/>
        </w:rPr>
        <w:lastRenderedPageBreak/>
        <w:t>(workplace democracy) смета дека корпоративните одлуки би требало да ги носат сите кои вложуваат труд во компанијата.</w:t>
      </w:r>
      <w:r w:rsidRPr="00F53881">
        <w:rPr>
          <w:rStyle w:val="FootnoteReference"/>
          <w:lang w:val="mk-MK"/>
        </w:rPr>
        <w:footnoteReference w:id="169"/>
      </w:r>
      <w:r w:rsidRPr="00F53881">
        <w:rPr>
          <w:lang w:val="mk-MK"/>
        </w:rPr>
        <w:t xml:space="preserve"> Ако поединците се должни да ги почитуваат правилата, тогаш би требало да имаат право на учество во нивното создавање.</w:t>
      </w:r>
      <w:r w:rsidRPr="00F53881">
        <w:rPr>
          <w:rStyle w:val="FootnoteReference"/>
          <w:lang w:val="mk-MK"/>
        </w:rPr>
        <w:footnoteReference w:id="170"/>
      </w:r>
      <w:r w:rsidRPr="00F53881">
        <w:rPr>
          <w:lang w:val="mk-MK"/>
        </w:rPr>
        <w:t xml:space="preserve"> </w:t>
      </w:r>
    </w:p>
    <w:p w14:paraId="34B13E8F" w14:textId="66A0D8A5" w:rsidR="00ED2B59" w:rsidRPr="00F53881" w:rsidRDefault="00ED2B59" w:rsidP="00ED2B59">
      <w:pPr>
        <w:pStyle w:val="BodyText"/>
        <w:spacing w:before="240"/>
        <w:ind w:firstLine="720"/>
        <w:jc w:val="both"/>
        <w:rPr>
          <w:lang w:val="mk-MK"/>
        </w:rPr>
      </w:pPr>
      <w:r w:rsidRPr="00F53881">
        <w:rPr>
          <w:lang w:val="mk-MK"/>
        </w:rPr>
        <w:t>Понатаму, плуралистичката теорија за работничка партиципација се појавува во раниот 20-ти век и на работниците не гледа како на посебна класа со антагонистички цели против капиталистите, туку како на неутрална, доброволна група чиј состав постојано се менува.</w:t>
      </w:r>
      <w:r w:rsidRPr="00F53881">
        <w:rPr>
          <w:rStyle w:val="FootnoteReference"/>
          <w:lang w:val="mk-MK"/>
        </w:rPr>
        <w:footnoteReference w:id="171"/>
      </w:r>
      <w:r w:rsidRPr="00F53881">
        <w:rPr>
          <w:lang w:val="mk-MK"/>
        </w:rPr>
        <w:t xml:space="preserve"> Според плуралистичката теорија, мултигрупноста, а не класниот антагонизам, е основата на модерната држава.</w:t>
      </w:r>
      <w:r w:rsidRPr="00F53881">
        <w:rPr>
          <w:rStyle w:val="FootnoteReference"/>
          <w:lang w:val="mk-MK"/>
        </w:rPr>
        <w:footnoteReference w:id="172"/>
      </w:r>
      <w:r w:rsidRPr="00F53881">
        <w:rPr>
          <w:lang w:val="mk-MK"/>
        </w:rPr>
        <w:t xml:space="preserve"> Затоа, плуралистите не гледаат на вработените како група која треба да добие посебен третман во споредба со другите.</w:t>
      </w:r>
      <w:r w:rsidRPr="00F53881">
        <w:rPr>
          <w:rStyle w:val="FootnoteReference"/>
          <w:lang w:val="mk-MK"/>
        </w:rPr>
        <w:footnoteReference w:id="173"/>
      </w:r>
      <w:r w:rsidRPr="00F53881">
        <w:rPr>
          <w:lang w:val="mk-MK"/>
        </w:rPr>
        <w:t xml:space="preserve">  </w:t>
      </w:r>
    </w:p>
    <w:p w14:paraId="0EB9B18B" w14:textId="77777777" w:rsidR="00ED2B59" w:rsidRPr="00F53881" w:rsidRDefault="00ED2B59" w:rsidP="00ED2B59">
      <w:pPr>
        <w:pStyle w:val="BodyText"/>
        <w:spacing w:before="240"/>
        <w:ind w:firstLine="720"/>
        <w:jc w:val="both"/>
        <w:rPr>
          <w:lang w:val="mk-MK"/>
        </w:rPr>
      </w:pPr>
      <w:r w:rsidRPr="00F53881">
        <w:rPr>
          <w:lang w:val="mk-MK"/>
        </w:rPr>
        <w:t>Прогресивната или комунитаријанска теорија за работничката кодетерминација или моделот на неутрален арбитер во корпоративното управување се потпира на верувањето дека со делегирањето на надлежност на одборот на директори да делува како неутрален арбитер при распределбата на ресурсите за тимска работа, се обезбедува добар простор за интегрирање на интересите на вработените во корпоративната структура. Овој пристап овозможува директорите да инвестираат во специфичен човечки капитал за трговското друштво, наместо постојано и ексклузивно да се фокусираат на краткорочните интереси на сопствениците.</w:t>
      </w:r>
      <w:r w:rsidRPr="00F53881">
        <w:rPr>
          <w:rStyle w:val="FootnoteReference"/>
          <w:lang w:val="mk-MK"/>
        </w:rPr>
        <w:footnoteReference w:id="174"/>
      </w:r>
      <w:r w:rsidRPr="00F53881">
        <w:rPr>
          <w:lang w:val="mk-MK"/>
        </w:rPr>
        <w:t xml:space="preserve"> </w:t>
      </w:r>
    </w:p>
    <w:p w14:paraId="04DCE0D0" w14:textId="77777777" w:rsidR="00ED2B59" w:rsidRPr="00F53881" w:rsidRDefault="00ED2B59" w:rsidP="00ED2B59">
      <w:pPr>
        <w:pStyle w:val="BodyText"/>
        <w:spacing w:before="240"/>
        <w:ind w:firstLine="720"/>
        <w:jc w:val="both"/>
        <w:rPr>
          <w:lang w:val="mk-MK"/>
        </w:rPr>
      </w:pPr>
      <w:r w:rsidRPr="00F53881">
        <w:rPr>
          <w:lang w:val="mk-MK"/>
        </w:rPr>
        <w:t>Фидуцијарната теорија за работничка партиципација предлага односите помеѓу директорите и вработените, покрај аспектот на договорното право, да се разгледуваат и преку призмата на фидуцијарната обврска, која подразбира долгогодишна доверба помеѓу две страни. На пример, според оваа теорија при определен спор, судот би требало да ги штити интересите на послабата страна.</w:t>
      </w:r>
      <w:r w:rsidRPr="00F53881">
        <w:rPr>
          <w:rStyle w:val="FootnoteReference"/>
          <w:lang w:val="mk-MK"/>
        </w:rPr>
        <w:footnoteReference w:id="175"/>
      </w:r>
      <w:r w:rsidRPr="00F53881">
        <w:rPr>
          <w:lang w:val="mk-MK"/>
        </w:rPr>
        <w:t xml:space="preserve"> </w:t>
      </w:r>
    </w:p>
    <w:p w14:paraId="28A951B2" w14:textId="06A70B49" w:rsidR="00ED2B59" w:rsidRPr="00F53881" w:rsidRDefault="00ED2B59" w:rsidP="00ED2B59">
      <w:pPr>
        <w:pStyle w:val="BodyText"/>
        <w:spacing w:before="240"/>
        <w:ind w:firstLine="720"/>
        <w:jc w:val="both"/>
        <w:rPr>
          <w:lang w:val="mk-MK"/>
        </w:rPr>
      </w:pPr>
      <w:r w:rsidRPr="00F53881">
        <w:rPr>
          <w:lang w:val="mk-MK"/>
        </w:rPr>
        <w:t xml:space="preserve">Петтата американска теорија се темели на човечкиот капитал и се води од прашањето што се може да се смета за вложување во трговското друштво за носителот на тоа вложување да добие право на надзор врз менаџментот. Теоријата смета дека вложувањето во специфичен </w:t>
      </w:r>
      <w:r w:rsidR="008976DA">
        <w:rPr>
          <w:lang w:val="mk-MK"/>
        </w:rPr>
        <w:t>човечки</w:t>
      </w:r>
      <w:r w:rsidRPr="00F53881">
        <w:rPr>
          <w:lang w:val="mk-MK"/>
        </w:rPr>
        <w:t xml:space="preserve"> капитал може да се смета за посебен вид на вложување и дека компаниите често вложуваат во специјализирани вештини на вработените или пак самите вработени вложуваат во себе, со што долгорочниот однос станува од взаемен интерес.</w:t>
      </w:r>
      <w:r w:rsidRPr="00F53881">
        <w:rPr>
          <w:rStyle w:val="FootnoteReference"/>
          <w:lang w:val="mk-MK"/>
        </w:rPr>
        <w:footnoteReference w:id="176"/>
      </w:r>
      <w:r w:rsidRPr="00F53881">
        <w:rPr>
          <w:lang w:val="mk-MK"/>
        </w:rPr>
        <w:t xml:space="preserve"> </w:t>
      </w:r>
    </w:p>
    <w:p w14:paraId="02AFF41B" w14:textId="77777777" w:rsidR="00ED2B59" w:rsidRPr="00F53881" w:rsidRDefault="00ED2B59" w:rsidP="00ED2B59">
      <w:pPr>
        <w:pStyle w:val="BodyText"/>
        <w:spacing w:before="240"/>
        <w:ind w:firstLine="720"/>
        <w:jc w:val="both"/>
        <w:rPr>
          <w:lang w:val="mk-MK"/>
        </w:rPr>
      </w:pPr>
      <w:r w:rsidRPr="00F53881">
        <w:rPr>
          <w:lang w:val="mk-MK"/>
        </w:rPr>
        <w:t>Сепак, ниту една од овие теории не добиле посебна поддршка во САД, ниту пак пошироко од теоријата или од практиката.</w:t>
      </w:r>
      <w:r w:rsidRPr="00F53881">
        <w:rPr>
          <w:rStyle w:val="FootnoteReference"/>
          <w:lang w:val="mk-MK"/>
        </w:rPr>
        <w:footnoteReference w:id="177"/>
      </w:r>
      <w:r w:rsidRPr="00F53881">
        <w:rPr>
          <w:lang w:val="mk-MK"/>
        </w:rPr>
        <w:t xml:space="preserve"> Ова се должи на фактот што во англо-американскиот модел на корпоративно управување директорите и/или менаџерите им одговараат исклучиво на сопствениците, односно акционерите и не постои друг релевантен конституент во претпријатието на трговското друштво кој би се замешал во </w:t>
      </w:r>
      <w:r w:rsidRPr="00F53881">
        <w:rPr>
          <w:lang w:val="mk-MK"/>
        </w:rPr>
        <w:lastRenderedPageBreak/>
        <w:t>поставениот застапнички однос, што не е случај во најголем дел од европските држави и толкувањето на трговското право на овој континент.</w:t>
      </w:r>
      <w:r w:rsidRPr="00F53881">
        <w:rPr>
          <w:rStyle w:val="FootnoteReference"/>
          <w:lang w:val="mk-MK"/>
        </w:rPr>
        <w:footnoteReference w:id="178"/>
      </w:r>
    </w:p>
    <w:p w14:paraId="33346C80" w14:textId="503B7C95" w:rsidR="00ED2B59" w:rsidRPr="00F53881" w:rsidRDefault="00ED2B59" w:rsidP="00ED2B59">
      <w:pPr>
        <w:pStyle w:val="BodyText"/>
        <w:spacing w:before="240"/>
        <w:ind w:firstLine="720"/>
        <w:jc w:val="both"/>
        <w:rPr>
          <w:lang w:val="mk-MK"/>
        </w:rPr>
      </w:pPr>
      <w:r w:rsidRPr="00F53881">
        <w:rPr>
          <w:lang w:val="mk-MK"/>
        </w:rPr>
        <w:t>За разлика од САД, континентално-европскиот модел на корпоративно управување вклучува поширок пристап кон работничката партиципација, заснован на принципите на социјална демократија.</w:t>
      </w:r>
      <w:r w:rsidRPr="00F53881">
        <w:rPr>
          <w:rStyle w:val="FootnoteReference"/>
          <w:lang w:val="mk-MK"/>
        </w:rPr>
        <w:footnoteReference w:id="179"/>
      </w:r>
      <w:r w:rsidRPr="00F53881">
        <w:rPr>
          <w:lang w:val="mk-MK"/>
        </w:rPr>
        <w:t xml:space="preserve"> Овој модел ги зема предвид интересите на повеќе конституенти, нагласувајќи ја важноста на социјалниот дијалог. На пример, Директивата за европските работнички совети наметнува на земјите членки да обезбедат постапки за информирање и консултирање на вработените. Сепак, таа не </w:t>
      </w:r>
      <w:r w:rsidR="00E01E4F">
        <w:rPr>
          <w:lang w:val="en-US"/>
        </w:rPr>
        <w:t xml:space="preserve">ja </w:t>
      </w:r>
      <w:r w:rsidRPr="00F53881">
        <w:rPr>
          <w:lang w:val="mk-MK"/>
        </w:rPr>
        <w:t xml:space="preserve">регулира структурата на одборот или начинот на консултации со вработените. Петтата нацрт директива на ЕУ предложена во 1972 година, предвидуваше учество на вработените преку именување во надзорни или управни одбори или преку консултативни совети на вработени. Меѓутоа, оваа директива беше повлечена во 2001 година, што укажува дека често теоретските разлики помеѓу континентите се повеќе на хартија отколку во пракса. </w:t>
      </w:r>
    </w:p>
    <w:p w14:paraId="7D334949" w14:textId="77777777" w:rsidR="00ED2B59" w:rsidRPr="00F53881" w:rsidRDefault="00ED2B59" w:rsidP="00ED2B59">
      <w:pPr>
        <w:pStyle w:val="BodyText"/>
        <w:spacing w:before="240"/>
        <w:ind w:firstLine="720"/>
        <w:jc w:val="both"/>
        <w:rPr>
          <w:lang w:val="mk-MK"/>
        </w:rPr>
      </w:pPr>
      <w:r w:rsidRPr="00F53881">
        <w:rPr>
          <w:lang w:val="mk-MK"/>
        </w:rPr>
        <w:t>И покрај повлекувањето на легислативата како документ кој не може да се усвои на ниво на ЕУ, во рамките на концептот за корпоративна социјална одговорност, Европската комисија подготви Зелена книга во 2001 година за промоција на европска рамка за корпоративна социјална одговорност, која предлага заштита на правата на работниците при масовни отпуштања и признавање на улогата на другите конституенти во компаниите.</w:t>
      </w:r>
      <w:r w:rsidRPr="00F53881">
        <w:rPr>
          <w:rStyle w:val="FootnoteReference"/>
          <w:lang w:val="mk-MK"/>
        </w:rPr>
        <w:footnoteReference w:id="180"/>
      </w:r>
      <w:r w:rsidRPr="00F53881">
        <w:rPr>
          <w:lang w:val="mk-MK"/>
        </w:rPr>
        <w:t xml:space="preserve"> Понатаму, во рамките на Светската банка постои посебен Институт за корпоративно управување и програма за корпоративна социјална одговорност според кои социјалната одговорност на компаниите претпоставува посветување на деловниот потфат кон одржлив развој, намалување на корупцијата, вградување и промовирање на правични трудови стандарди, зголемување на заштитата на животната средина, промовирање на развој на заедницата и обезбедување вистинитост во рекламирањето.</w:t>
      </w:r>
      <w:r w:rsidRPr="00F53881">
        <w:rPr>
          <w:rStyle w:val="FootnoteReference"/>
          <w:lang w:val="mk-MK"/>
        </w:rPr>
        <w:footnoteReference w:id="181"/>
      </w:r>
      <w:r w:rsidRPr="00F53881">
        <w:rPr>
          <w:lang w:val="mk-MK"/>
        </w:rPr>
        <w:t xml:space="preserve"> </w:t>
      </w:r>
    </w:p>
    <w:p w14:paraId="338F5DBF" w14:textId="7C8CFE8D" w:rsidR="00ED2B59" w:rsidRPr="00F53881" w:rsidRDefault="00ED2B59" w:rsidP="00ED2B59">
      <w:pPr>
        <w:pStyle w:val="BodyText"/>
        <w:spacing w:before="240"/>
        <w:ind w:firstLine="720"/>
        <w:jc w:val="both"/>
        <w:rPr>
          <w:lang w:val="mk-MK"/>
        </w:rPr>
      </w:pPr>
      <w:r w:rsidRPr="00F53881">
        <w:rPr>
          <w:lang w:val="mk-MK"/>
        </w:rPr>
        <w:t>Конфедерацијата на европски синдикати</w:t>
      </w:r>
      <w:r w:rsidRPr="00F53881">
        <w:rPr>
          <w:rStyle w:val="FootnoteReference"/>
          <w:lang w:val="mk-MK"/>
        </w:rPr>
        <w:footnoteReference w:id="182"/>
      </w:r>
      <w:r w:rsidRPr="00F53881">
        <w:rPr>
          <w:lang w:val="mk-MK"/>
        </w:rPr>
        <w:t xml:space="preserve"> во своите Упатства за примена на Директивата 2019/1151 на Европскиот парламент и на Советот од 20 јуни 2019 година за изменување и дополнување на Директивата 2017/1132 за употреба на дигитални алатки и постапки во правото на трговски друштва – систем на меѓусебно поврзување на трговските регистри, покрај останатото, бара и ревидирање на условите и постапките за дисквалификација на директорите или согласно терминологијата усвоена во македонскиот Закон за трговските друштва,</w:t>
      </w:r>
      <w:r w:rsidRPr="00F53881">
        <w:rPr>
          <w:rStyle w:val="FootnoteReference"/>
          <w:lang w:val="mk-MK"/>
        </w:rPr>
        <w:footnoteReference w:id="183"/>
      </w:r>
      <w:r w:rsidRPr="00F53881">
        <w:rPr>
          <w:lang w:val="mk-MK"/>
        </w:rPr>
        <w:t xml:space="preserve"> ревидирање на условите за лица кои не можат да управуваат со трговски друштва.</w:t>
      </w:r>
      <w:r w:rsidRPr="00F53881">
        <w:rPr>
          <w:rStyle w:val="FootnoteReference"/>
          <w:lang w:val="mk-MK"/>
        </w:rPr>
        <w:footnoteReference w:id="184"/>
      </w:r>
      <w:r w:rsidRPr="00F53881">
        <w:rPr>
          <w:lang w:val="mk-MK"/>
        </w:rPr>
        <w:t xml:space="preserve"> Од друга страна, во делот на европското компаниско право големи напори се посветуваат како да се поттикне долгорочно учество на акционерите во работењето на акционерското друштво. Заштитата на правата на вработените по основ на договори за работа е императив и од аспект на компаниското право на Европската Унија. Така, во т.н. кодифицирачка Директивата на ЕУ 2017/1132 на Европскиот парламент и Советот од 14 јуни 2017 година за одредени аспекти на правото за трговски друштва се обезбедуваат нормативни услови за заштита на </w:t>
      </w:r>
      <w:r w:rsidRPr="00F53881">
        <w:rPr>
          <w:lang w:val="mk-MK"/>
        </w:rPr>
        <w:lastRenderedPageBreak/>
        <w:t>стекнатите права на вработените при статусни промени,</w:t>
      </w:r>
      <w:r w:rsidRPr="00F53881">
        <w:rPr>
          <w:rStyle w:val="FootnoteReference"/>
          <w:lang w:val="mk-MK"/>
        </w:rPr>
        <w:footnoteReference w:id="185"/>
      </w:r>
      <w:r w:rsidRPr="00F53881">
        <w:rPr>
          <w:lang w:val="mk-MK"/>
        </w:rPr>
        <w:t xml:space="preserve"> особено во прекуграничен контекст, кога таквите статусни промени може да резултираат со (зло)употреба и изигрување на правата на вработените. Големо влијание во рамките на европското компаниско право се посветува и на известувањата од компаниите поврзани со т.н. нефинансиски податоци.</w:t>
      </w:r>
      <w:r w:rsidRPr="00F53881">
        <w:rPr>
          <w:rStyle w:val="FootnoteReference"/>
          <w:lang w:val="mk-MK"/>
        </w:rPr>
        <w:footnoteReference w:id="186"/>
      </w:r>
      <w:r w:rsidRPr="00F53881">
        <w:rPr>
          <w:lang w:val="mk-MK"/>
        </w:rPr>
        <w:t xml:space="preserve"> Се работи за т.н. Директива за нефинансиско известување и за информации кои треба да се обелоденат од големите деловни субјекти и групи на поврзани субјекти</w:t>
      </w:r>
      <w:r w:rsidR="007A3122">
        <w:rPr>
          <w:lang w:val="en-US"/>
        </w:rPr>
        <w:t xml:space="preserve">, </w:t>
      </w:r>
      <w:r w:rsidR="007A3122">
        <w:rPr>
          <w:lang w:val="mk-MK"/>
        </w:rPr>
        <w:t xml:space="preserve">односно друштва </w:t>
      </w:r>
      <w:r w:rsidRPr="00F53881">
        <w:rPr>
          <w:lang w:val="mk-MK"/>
        </w:rPr>
        <w:t>со 500 и повеќе вработени.</w:t>
      </w:r>
    </w:p>
    <w:p w14:paraId="1E0C3557" w14:textId="364ED16A" w:rsidR="00ED2B59" w:rsidRPr="00F53881" w:rsidRDefault="00ED2B59" w:rsidP="00A965CA">
      <w:pPr>
        <w:pStyle w:val="BodyText"/>
        <w:spacing w:before="240" w:after="240"/>
        <w:ind w:firstLine="720"/>
        <w:jc w:val="both"/>
        <w:rPr>
          <w:lang w:val="mk-MK"/>
        </w:rPr>
      </w:pPr>
      <w:r w:rsidRPr="00F53881">
        <w:rPr>
          <w:lang w:val="mk-MK"/>
        </w:rPr>
        <w:t xml:space="preserve">  Конечно, не треба да се занемари и дека одредени автори сметаат дека кодетерминацијата негативно влијае на положбата на малцинските акционери во рамките на друштвото, а во делот на органот на надзор.</w:t>
      </w:r>
      <w:r w:rsidR="006037E3">
        <w:rPr>
          <w:rStyle w:val="FootnoteReference"/>
          <w:lang w:val="mk-MK"/>
        </w:rPr>
        <w:footnoteReference w:id="187"/>
      </w:r>
      <w:r w:rsidRPr="00F53881">
        <w:rPr>
          <w:lang w:val="mk-MK"/>
        </w:rPr>
        <w:t xml:space="preserve"> Имено, овие автори нагласуваат дека кога мнозинскиот акционер ќе ги распредели местата во надзорниот орган заедно со работниците, нема да има желба да одвои </w:t>
      </w:r>
      <w:r w:rsidR="00BA77DE" w:rsidRPr="00F53881">
        <w:rPr>
          <w:lang w:val="mk-MK"/>
        </w:rPr>
        <w:t xml:space="preserve">други позиции </w:t>
      </w:r>
      <w:r w:rsidRPr="00F53881">
        <w:rPr>
          <w:lang w:val="mk-MK"/>
        </w:rPr>
        <w:t>за малцинските акционери.</w:t>
      </w:r>
      <w:r w:rsidRPr="00F53881">
        <w:rPr>
          <w:rStyle w:val="FootnoteReference"/>
          <w:lang w:val="mk-MK"/>
        </w:rPr>
        <w:footnoteReference w:id="188"/>
      </w:r>
      <w:r w:rsidRPr="00F53881">
        <w:rPr>
          <w:lang w:val="mk-MK"/>
        </w:rPr>
        <w:t xml:space="preserve"> Ова и верувањата дека кодетерминацијата ги зголемува трошоците на надзорот и контролата и со тоа негативно влијае врз продуктивноста на трговското друштво ќе бидат адресирани во поширок контекст во дисертацијата. Вториот дел ги вклучува и аргументите дека активното учество на вработените во управувањето со компаниите може да придонесе и за одвраќање на заинтересирани надворешни инвеститори од вложувања во вакви компании, како и дека учеството на вработените во управувањето негативно влијае врз профитабилноста бидејќи се очекува тие да бараат поголеми плати врз основа на информациите за остварената добивка добиени преку членувањето во одборот.</w:t>
      </w:r>
      <w:r w:rsidR="00BA77DE">
        <w:rPr>
          <w:lang w:val="mk-MK"/>
        </w:rPr>
        <w:t xml:space="preserve"> </w:t>
      </w:r>
    </w:p>
    <w:p w14:paraId="556712FC" w14:textId="2A1D54E2" w:rsidR="00ED2B59" w:rsidRPr="007903A6" w:rsidRDefault="00292196" w:rsidP="009330C0">
      <w:pPr>
        <w:pStyle w:val="Heading2"/>
        <w:numPr>
          <w:ilvl w:val="1"/>
          <w:numId w:val="11"/>
        </w:numPr>
        <w:rPr>
          <w:rFonts w:ascii="Times New Roman" w:hAnsi="Times New Roman" w:cs="Times New Roman"/>
          <w:b w:val="0"/>
          <w:bCs w:val="0"/>
          <w:i w:val="0"/>
          <w:iCs w:val="0"/>
          <w:color w:val="000000" w:themeColor="text1"/>
          <w:sz w:val="24"/>
          <w:szCs w:val="24"/>
        </w:rPr>
      </w:pPr>
      <w:r w:rsidRPr="007903A6">
        <w:rPr>
          <w:rFonts w:ascii="Times New Roman" w:hAnsi="Times New Roman" w:cs="Times New Roman"/>
          <w:b w:val="0"/>
          <w:bCs w:val="0"/>
          <w:i w:val="0"/>
          <w:iCs w:val="0"/>
          <w:color w:val="000000" w:themeColor="text1"/>
          <w:sz w:val="24"/>
          <w:szCs w:val="24"/>
          <w:lang w:val="mk-MK"/>
        </w:rPr>
        <w:t xml:space="preserve"> </w:t>
      </w:r>
      <w:bookmarkStart w:id="15" w:name="_Toc230523868"/>
      <w:r w:rsidR="00ED2B59" w:rsidRPr="007903A6">
        <w:rPr>
          <w:rFonts w:ascii="Times New Roman" w:hAnsi="Times New Roman" w:cs="Times New Roman"/>
          <w:b w:val="0"/>
          <w:bCs w:val="0"/>
          <w:color w:val="000000" w:themeColor="text1"/>
          <w:sz w:val="24"/>
          <w:szCs w:val="24"/>
          <w:lang w:val="mk-MK"/>
        </w:rPr>
        <w:t>Германскиот модел на работничко со-одлучување</w:t>
      </w:r>
      <w:bookmarkEnd w:id="15"/>
    </w:p>
    <w:p w14:paraId="6E503937" w14:textId="7D130D15" w:rsidR="00ED2B59" w:rsidRPr="00F53881" w:rsidRDefault="00ED2B59" w:rsidP="00ED2B59">
      <w:pPr>
        <w:pStyle w:val="BodyText"/>
        <w:spacing w:before="240"/>
        <w:ind w:firstLine="720"/>
        <w:jc w:val="both"/>
        <w:rPr>
          <w:lang w:val="mk-MK"/>
        </w:rPr>
      </w:pPr>
      <w:r w:rsidRPr="00F53881">
        <w:rPr>
          <w:lang w:val="mk-MK"/>
        </w:rPr>
        <w:t xml:space="preserve">Германскиот систем на </w:t>
      </w:r>
      <w:r w:rsidR="00450B09">
        <w:rPr>
          <w:lang w:val="mk-MK"/>
        </w:rPr>
        <w:t>с</w:t>
      </w:r>
      <w:r w:rsidRPr="00F53881">
        <w:rPr>
          <w:lang w:val="mk-MK"/>
        </w:rPr>
        <w:t>о-одлучување (</w:t>
      </w:r>
      <w:r w:rsidRPr="00F53881">
        <w:rPr>
          <w:lang w:val="en-US"/>
        </w:rPr>
        <w:t>co-determination)</w:t>
      </w:r>
      <w:r w:rsidRPr="00F53881">
        <w:rPr>
          <w:lang w:val="mk-MK"/>
        </w:rPr>
        <w:t>, каде што вработените се претставени во надзорните одбори во големите корпорации</w:t>
      </w:r>
      <w:r w:rsidRPr="00F53881">
        <w:rPr>
          <w:lang w:val="en-US"/>
        </w:rPr>
        <w:t>,</w:t>
      </w:r>
      <w:r w:rsidRPr="00F53881">
        <w:rPr>
          <w:lang w:val="mk-MK"/>
        </w:rPr>
        <w:t xml:space="preserve"> </w:t>
      </w:r>
      <w:r w:rsidRPr="00F53881">
        <w:rPr>
          <w:i/>
          <w:iCs/>
          <w:lang w:val="en-US"/>
        </w:rPr>
        <w:t>m</w:t>
      </w:r>
      <w:r w:rsidRPr="00F53881">
        <w:rPr>
          <w:i/>
          <w:iCs/>
          <w:lang w:val="mk-MK"/>
        </w:rPr>
        <w:t>itbestimmungsgesetz</w:t>
      </w:r>
      <w:r w:rsidRPr="00F53881">
        <w:rPr>
          <w:lang w:val="mk-MK"/>
        </w:rPr>
        <w:t>,</w:t>
      </w:r>
      <w:r w:rsidRPr="00F53881">
        <w:rPr>
          <w:rStyle w:val="FootnoteReference"/>
          <w:lang w:val="mk-MK"/>
        </w:rPr>
        <w:footnoteReference w:id="189"/>
      </w:r>
      <w:r w:rsidRPr="00F53881">
        <w:rPr>
          <w:lang w:val="en-US"/>
        </w:rPr>
        <w:t xml:space="preserve"> </w:t>
      </w:r>
      <w:r w:rsidRPr="00F53881">
        <w:rPr>
          <w:lang w:val="mk-MK"/>
        </w:rPr>
        <w:t>се однесува на компаниите со повеќе од 2.000 вработени кои се обврзани да имаат надзорен одбор во кој половина од членовите се претставници на вработените</w:t>
      </w:r>
      <w:r w:rsidRPr="00F53881">
        <w:rPr>
          <w:lang w:val="en-US"/>
        </w:rPr>
        <w:t xml:space="preserve">, </w:t>
      </w:r>
      <w:r w:rsidRPr="00F53881">
        <w:rPr>
          <w:lang w:val="mk-MK"/>
        </w:rPr>
        <w:t>односно се од редот на вработениот персонал.</w:t>
      </w:r>
      <w:r w:rsidRPr="00F53881">
        <w:rPr>
          <w:rStyle w:val="FootnoteReference"/>
          <w:lang w:val="mk-MK"/>
        </w:rPr>
        <w:footnoteReference w:id="190"/>
      </w:r>
      <w:r w:rsidRPr="00F53881">
        <w:rPr>
          <w:lang w:val="mk-MK"/>
        </w:rPr>
        <w:t xml:space="preserve"> Во овој случај компензацијата за извршната власт ги вклучува и финансискиот надоместок (извршна плата) и другите нефинансиски бенефиции што ги добива извршниот директор од нивната фирма.</w:t>
      </w:r>
      <w:r w:rsidRPr="00F53881">
        <w:rPr>
          <w:rStyle w:val="FootnoteReference"/>
          <w:lang w:val="mk-MK"/>
        </w:rPr>
        <w:footnoteReference w:id="191"/>
      </w:r>
      <w:r w:rsidRPr="00F53881">
        <w:rPr>
          <w:lang w:val="mk-MK"/>
        </w:rPr>
        <w:t xml:space="preserve"> Кодетерминацијата се јавува како резултат на постигнатиот политички мир помеѓу капиталот и трудот во ситуација кога синдикатите биле мошне активни во управувањето со фондовите за осигурување во случај на невработеност уште од времето на Ото фон Бизмарк.</w:t>
      </w:r>
      <w:r w:rsidRPr="00F53881">
        <w:rPr>
          <w:rStyle w:val="FootnoteReference"/>
          <w:lang w:val="mk-MK"/>
        </w:rPr>
        <w:footnoteReference w:id="192"/>
      </w:r>
      <w:r w:rsidRPr="00F53881">
        <w:rPr>
          <w:lang w:val="mk-MK"/>
        </w:rPr>
        <w:t xml:space="preserve"> Оттука, идеите за кодетерминизам во овој контекст се засноваат на надзорниот одбор, кој е задолжителен за сите акционерски друштва, без оглед дали се јавно котирани на берзата или не.</w:t>
      </w:r>
      <w:r w:rsidRPr="00F53881">
        <w:rPr>
          <w:rStyle w:val="FootnoteReference"/>
          <w:lang w:val="mk-MK"/>
        </w:rPr>
        <w:footnoteReference w:id="193"/>
      </w:r>
      <w:r w:rsidRPr="00F53881">
        <w:rPr>
          <w:lang w:val="mk-MK"/>
        </w:rPr>
        <w:t xml:space="preserve"> </w:t>
      </w:r>
    </w:p>
    <w:p w14:paraId="16AFF3DC" w14:textId="77777777" w:rsidR="00ED2B59" w:rsidRPr="00F53881" w:rsidRDefault="00ED2B59" w:rsidP="00ED2B59">
      <w:pPr>
        <w:pStyle w:val="BodyText"/>
        <w:spacing w:before="240"/>
        <w:ind w:firstLine="720"/>
        <w:jc w:val="both"/>
        <w:rPr>
          <w:lang w:val="en-US"/>
        </w:rPr>
      </w:pPr>
      <w:r w:rsidRPr="00F53881">
        <w:rPr>
          <w:lang w:val="mk-MK"/>
        </w:rPr>
        <w:lastRenderedPageBreak/>
        <w:t>Токму во делот на управувањето на огромните индустриски капацитети за јаглен и челик, во 1951 и 1952 година во Германија се усвоени посебни закони за работничко соодлучување во управувањето, односно за еднаква застапеност на работниците во надзорните одбори.</w:t>
      </w:r>
      <w:r w:rsidRPr="00F53881">
        <w:rPr>
          <w:rStyle w:val="FootnoteReference"/>
          <w:lang w:val="mk-MK"/>
        </w:rPr>
        <w:footnoteReference w:id="194"/>
      </w:r>
      <w:r w:rsidRPr="00F53881">
        <w:rPr>
          <w:lang w:val="mk-MK"/>
        </w:rPr>
        <w:t xml:space="preserve"> Со Законот за кодетерминација од 1976 година, еднаквата застапеност на вработените во надзорните одбори е проширена на сите големи компании, без оглед на стопанската гранка во која ја вршеле својата дејност.</w:t>
      </w:r>
      <w:r w:rsidRPr="00F53881">
        <w:rPr>
          <w:rStyle w:val="FootnoteReference"/>
          <w:lang w:val="mk-MK"/>
        </w:rPr>
        <w:footnoteReference w:id="195"/>
      </w:r>
      <w:r w:rsidRPr="00F53881">
        <w:rPr>
          <w:lang w:val="mk-MK"/>
        </w:rPr>
        <w:t xml:space="preserve"> Во тоа време, се работело за политичка одлука на четирите најважни политички фактори во тоа време: демохристијаните, социјалдемократите, либералите и националната федерација на работнички синдикати. Во зависност од бројот на вработените, надзорниот одбор броел 12 членови за компании до 10.000 вработени, 16 членови за компании од 10.000 до 20.000 вработени и дваесет членови за компании над 20.000 вработени.</w:t>
      </w:r>
      <w:r w:rsidRPr="00F53881">
        <w:rPr>
          <w:rStyle w:val="FootnoteReference"/>
          <w:lang w:val="mk-MK"/>
        </w:rPr>
        <w:footnoteReference w:id="196"/>
      </w:r>
      <w:r w:rsidRPr="00F53881">
        <w:rPr>
          <w:lang w:val="mk-MK"/>
        </w:rPr>
        <w:t xml:space="preserve"> Кодетерминацијата била поставена на две нивоа: првото, на ниво на најниски организациони работни единици преку создавање на посебни работнички совети, кои на работниците им давале информации и можност да учествуваат во донесувањето на одлуките што директно влијаат на нивните работни места; и второто, на ниво на компанија или корпорација, преку застапеност на вработените и синдикатот во надзорните одбори.</w:t>
      </w:r>
      <w:r w:rsidRPr="00F53881">
        <w:rPr>
          <w:rStyle w:val="FootnoteReference"/>
          <w:lang w:val="mk-MK"/>
        </w:rPr>
        <w:footnoteReference w:id="197"/>
      </w:r>
      <w:r w:rsidRPr="00F53881">
        <w:rPr>
          <w:lang w:val="mk-MK"/>
        </w:rPr>
        <w:t xml:space="preserve"> </w:t>
      </w:r>
    </w:p>
    <w:p w14:paraId="772B0294" w14:textId="77777777" w:rsidR="00ED2B59" w:rsidRPr="00F53881" w:rsidRDefault="00ED2B59" w:rsidP="00ED2B59">
      <w:pPr>
        <w:pStyle w:val="BodyText"/>
        <w:spacing w:before="240"/>
        <w:ind w:firstLine="720"/>
        <w:jc w:val="both"/>
        <w:rPr>
          <w:lang w:val="en-US"/>
        </w:rPr>
      </w:pPr>
      <w:r w:rsidRPr="00F53881">
        <w:rPr>
          <w:lang w:val="mk-MK"/>
        </w:rPr>
        <w:t>Законот од 1976 година имал два главни резултати: првиот, се зголемиле трошоците во процесот на носење одлуки, поради хетерогеноста на интересите застапени во надзорниот одбор; и вториот, наместо биполарен однос во динамиката на контрола на надзорниот одбор врз управниот одбор на страната на надзорот се воспоставил мултиполарен интерес, кој се карактеризира помалку со контролна моќ, а повеќе со можност за градење разновидни коалиции, со тоа што центарот на моќта во компаниите станува непостојан</w:t>
      </w:r>
      <w:r w:rsidRPr="00F53881">
        <w:rPr>
          <w:lang w:val="en-US"/>
        </w:rPr>
        <w:t xml:space="preserve">, </w:t>
      </w:r>
      <w:r w:rsidRPr="00F53881">
        <w:rPr>
          <w:lang w:val="mk-MK"/>
        </w:rPr>
        <w:t>што не мора да е неизбежно лоша работа. Во практиката, по усвојувањето на законот, многу компании се реорганизирале со статусни промени во помали компании, како не би биле опфатени со примената на законот.</w:t>
      </w:r>
      <w:r w:rsidRPr="00F53881">
        <w:rPr>
          <w:rStyle w:val="FootnoteReference"/>
          <w:lang w:val="mk-MK"/>
        </w:rPr>
        <w:footnoteReference w:id="198"/>
      </w:r>
      <w:r w:rsidRPr="00F53881">
        <w:rPr>
          <w:lang w:val="mk-MK"/>
        </w:rPr>
        <w:t xml:space="preserve"> Практиката покажала дека претставниците на трудот секогаш се сретнувале посебно на одвоени седници кои им претходеле на седниците на надзорниот одбор, за да обезбедат единство во гласањето. Во спротивно, ако се поделеле, капиталот секогаш ќе ги надгласал.</w:t>
      </w:r>
    </w:p>
    <w:p w14:paraId="480EE8CB" w14:textId="57093811" w:rsidR="00ED2B59" w:rsidRPr="00F53881" w:rsidRDefault="00ED2B59" w:rsidP="00ED2B59">
      <w:pPr>
        <w:pStyle w:val="BodyText"/>
        <w:spacing w:before="240"/>
        <w:ind w:firstLine="720"/>
        <w:jc w:val="both"/>
        <w:rPr>
          <w:lang w:val="mk-MK"/>
        </w:rPr>
      </w:pPr>
      <w:r w:rsidRPr="00F53881">
        <w:rPr>
          <w:lang w:val="mk-MK"/>
        </w:rPr>
        <w:t>Во 2004 година е донесен таканаречениот Закон за учество од една третина.</w:t>
      </w:r>
      <w:r w:rsidRPr="00F53881">
        <w:rPr>
          <w:rStyle w:val="FootnoteReference"/>
          <w:lang w:val="mk-MK"/>
        </w:rPr>
        <w:footnoteReference w:id="199"/>
      </w:r>
      <w:r w:rsidRPr="00F53881">
        <w:rPr>
          <w:lang w:val="mk-MK"/>
        </w:rPr>
        <w:t xml:space="preserve"> Во основа, со овој закон се уредува прашањето за учество на вработените во органите на надзор на акционерски друштва и на друштва со ограничена одговорност кои имаат најмалку 500 вработени. Овој Закон се однесува на друштвата кои не се опфатени со Законот за кодетерминација од 1976 година и претставува замена на Законот од 1952 година. Имено, во 1952 година е донесен Законот за уредување на односите помеѓу менаџментот и трудот, попознат уште како Работнички устав.</w:t>
      </w:r>
      <w:r w:rsidRPr="00F53881">
        <w:rPr>
          <w:rStyle w:val="FootnoteReference"/>
          <w:lang w:val="mk-MK"/>
        </w:rPr>
        <w:footnoteReference w:id="200"/>
      </w:r>
      <w:r w:rsidRPr="00F53881">
        <w:rPr>
          <w:lang w:val="mk-MK"/>
        </w:rPr>
        <w:t xml:space="preserve"> </w:t>
      </w:r>
      <w:r w:rsidR="00E939B0" w:rsidRPr="00E939B0">
        <w:rPr>
          <w:lang w:val="mk-MK"/>
        </w:rPr>
        <w:t>Законот од 1952 година</w:t>
      </w:r>
      <w:r w:rsidR="00E939B0">
        <w:rPr>
          <w:lang w:val="mk-MK"/>
        </w:rPr>
        <w:t>,</w:t>
      </w:r>
      <w:r w:rsidR="00E939B0" w:rsidRPr="00E939B0">
        <w:rPr>
          <w:lang w:val="mk-MK"/>
        </w:rPr>
        <w:t xml:space="preserve"> </w:t>
      </w:r>
      <w:r w:rsidR="00E939B0">
        <w:rPr>
          <w:lang w:val="mk-MK"/>
        </w:rPr>
        <w:t xml:space="preserve">односно </w:t>
      </w:r>
      <w:r w:rsidR="00E939B0" w:rsidRPr="00E939B0">
        <w:rPr>
          <w:i/>
          <w:iCs/>
          <w:lang w:val="mk-MK"/>
        </w:rPr>
        <w:t>Betriebsverfassungsgesetz (BetrVG)</w:t>
      </w:r>
      <w:r w:rsidR="00E939B0" w:rsidRPr="00E939B0">
        <w:rPr>
          <w:lang w:val="mk-MK"/>
        </w:rPr>
        <w:t xml:space="preserve"> е клучен дел од германскиот систем на </w:t>
      </w:r>
      <w:r w:rsidR="00E939B0" w:rsidRPr="00E939B0">
        <w:rPr>
          <w:lang w:val="mk-MK"/>
        </w:rPr>
        <w:lastRenderedPageBreak/>
        <w:t xml:space="preserve">индустриска демократија </w:t>
      </w:r>
      <w:r w:rsidR="00F9463A">
        <w:rPr>
          <w:lang w:val="mk-MK"/>
        </w:rPr>
        <w:t xml:space="preserve">и </w:t>
      </w:r>
      <w:r w:rsidR="00E939B0" w:rsidRPr="00E939B0">
        <w:rPr>
          <w:lang w:val="mk-MK"/>
        </w:rPr>
        <w:t>е</w:t>
      </w:r>
      <w:r w:rsidR="00F9463A">
        <w:rPr>
          <w:lang w:val="mk-MK"/>
        </w:rPr>
        <w:t xml:space="preserve"> донесен за да</w:t>
      </w:r>
      <w:r w:rsidR="00F9463A" w:rsidRPr="00F9463A">
        <w:rPr>
          <w:lang w:val="mk-MK"/>
        </w:rPr>
        <w:t xml:space="preserve"> се спречи концентрацијата на моќ во рацете на неколку индустриски елити</w:t>
      </w:r>
      <w:r w:rsidR="00BC07F5">
        <w:rPr>
          <w:lang w:val="mk-MK"/>
        </w:rPr>
        <w:t>,</w:t>
      </w:r>
      <w:r w:rsidR="00F9463A" w:rsidRPr="00F9463A">
        <w:rPr>
          <w:lang w:val="mk-MK"/>
        </w:rPr>
        <w:t xml:space="preserve"> како што било пред војната. Во тој контекст, BetrVG од 1952 претставува компромис меѓу интересите на работниците, синдикатите, работодавачите и државата</w:t>
      </w:r>
      <w:r w:rsidR="00BC07F5">
        <w:rPr>
          <w:lang w:val="mk-MK"/>
        </w:rPr>
        <w:t xml:space="preserve">, </w:t>
      </w:r>
      <w:r w:rsidR="00F9463A" w:rsidRPr="00F9463A">
        <w:rPr>
          <w:lang w:val="mk-MK"/>
        </w:rPr>
        <w:t>со цел да се создаде модел на социјално партнерство</w:t>
      </w:r>
      <w:r w:rsidR="00E939B0" w:rsidRPr="00E939B0">
        <w:rPr>
          <w:lang w:val="mk-MK"/>
        </w:rPr>
        <w:t xml:space="preserve">. </w:t>
      </w:r>
      <w:r w:rsidRPr="00F53881">
        <w:rPr>
          <w:lang w:val="mk-MK"/>
        </w:rPr>
        <w:t>Со Законот за учество од една третина во основа во голем дел се презема законот од 1952 година, но воведени се и неколку нови аспекти, кои главно се однесуваат на делот на правата за информирање како и во однос на одредени сегменти во делот на постапката за избор на членови во надзорниот одбор.</w:t>
      </w:r>
      <w:r w:rsidRPr="00F53881">
        <w:rPr>
          <w:rStyle w:val="FootnoteReference"/>
          <w:lang w:val="mk-MK"/>
        </w:rPr>
        <w:footnoteReference w:id="201"/>
      </w:r>
      <w:r w:rsidRPr="00F53881">
        <w:rPr>
          <w:lang w:val="mk-MK"/>
        </w:rPr>
        <w:t xml:space="preserve"> Исто така, се уредува и прашањето за заштита од евентуално загрозување или одмазда кон членовите во надзорниот одбор од редот на вработените поради нивните ставови и активности во самиот одбор, а од страна на самото друштво. </w:t>
      </w:r>
    </w:p>
    <w:p w14:paraId="7F05857D" w14:textId="527B36EC" w:rsidR="00ED2B59" w:rsidRPr="00F53881" w:rsidRDefault="00ED2B59" w:rsidP="00ED2B59">
      <w:pPr>
        <w:pStyle w:val="BodyText"/>
        <w:spacing w:before="240"/>
        <w:ind w:firstLine="720"/>
        <w:jc w:val="both"/>
        <w:rPr>
          <w:lang w:val="mk-MK"/>
        </w:rPr>
      </w:pPr>
      <w:r w:rsidRPr="00F53881">
        <w:rPr>
          <w:lang w:val="mk-MK"/>
        </w:rPr>
        <w:t>Во Германија денес сè уште постои социјален консензус дека кодетерминацијата е голем успех и дека позитивните страни во надминување на секогаш потенцијалните судири помеѓу капиталот и трудот се побројни од негативните страни.</w:t>
      </w:r>
      <w:r w:rsidRPr="00F53881">
        <w:rPr>
          <w:rStyle w:val="FootnoteReference"/>
          <w:lang w:val="mk-MK"/>
        </w:rPr>
        <w:footnoteReference w:id="202"/>
      </w:r>
      <w:r w:rsidRPr="00F53881">
        <w:rPr>
          <w:lang w:val="mk-MK"/>
        </w:rPr>
        <w:t xml:space="preserve"> Позитивните страни на кодетерминацијата влијаат врз деловната политика преку можноста вработените да дадат согласност или да стават вето на изборот на сениорските членови во управниот одбор</w:t>
      </w:r>
      <w:r w:rsidRPr="00F53881">
        <w:rPr>
          <w:lang w:val="en-US"/>
        </w:rPr>
        <w:t>,</w:t>
      </w:r>
      <w:r w:rsidRPr="00F53881">
        <w:rPr>
          <w:lang w:val="mk-MK"/>
        </w:rPr>
        <w:t xml:space="preserve"> информативната улога</w:t>
      </w:r>
      <w:r w:rsidRPr="00F53881">
        <w:rPr>
          <w:lang w:val="en-US"/>
        </w:rPr>
        <w:t xml:space="preserve"> </w:t>
      </w:r>
      <w:r w:rsidRPr="00F53881">
        <w:rPr>
          <w:lang w:val="mk-MK"/>
        </w:rPr>
        <w:t xml:space="preserve">и намерното избегнување на практиката за стриктна поделба на гласовите помеѓу оние на трудот и оние на капиталот како посебни спротивставени табори, со цел да се избегнат лошите сигнали во јавноста за деловната политика и работењето на респективната компанија. </w:t>
      </w:r>
    </w:p>
    <w:p w14:paraId="11DF1322" w14:textId="0FB3B1CF" w:rsidR="00ED2B59" w:rsidRDefault="00ED2B59" w:rsidP="00A965CA">
      <w:pPr>
        <w:pStyle w:val="BodyText"/>
        <w:spacing w:before="240" w:after="240"/>
        <w:ind w:firstLine="720"/>
        <w:jc w:val="both"/>
        <w:rPr>
          <w:lang w:val="mk-MK"/>
        </w:rPr>
      </w:pPr>
      <w:r w:rsidRPr="00F53881">
        <w:rPr>
          <w:lang w:val="mk-MK"/>
        </w:rPr>
        <w:t xml:space="preserve">Од друга страна, негативните страни се дека често претставниците на трудот се ставени во неблагодарна положба да гласаат и да бидат надгласани за прашања кои се </w:t>
      </w:r>
      <w:r w:rsidR="00DD7CD1">
        <w:rPr>
          <w:lang w:val="mk-MK"/>
        </w:rPr>
        <w:t>непожелни</w:t>
      </w:r>
      <w:r w:rsidRPr="00F53881">
        <w:rPr>
          <w:lang w:val="mk-MK"/>
        </w:rPr>
        <w:t xml:space="preserve"> за трудот и за вработените на трговското друштво воопшто.</w:t>
      </w:r>
      <w:r w:rsidRPr="00F53881">
        <w:rPr>
          <w:rStyle w:val="FootnoteReference"/>
          <w:lang w:val="mk-MK"/>
        </w:rPr>
        <w:footnoteReference w:id="203"/>
      </w:r>
      <w:r w:rsidRPr="00F53881">
        <w:rPr>
          <w:lang w:val="mk-MK"/>
        </w:rPr>
        <w:t xml:space="preserve"> Со тоа, контролата врз управниот одбор во голема мера се ослабува и моќта на вистинското одлучување се поместува подолу во хиерархијата во рацете на управниот одбор. Конечно, забележително е да се нотира дека во практиката испливале финансиски скандали во поглед на корумпирањето на претставниците на трудот во надзорните одбори, кои биле обвинети за соучесништво во трошењето на компаниски фондови за луксузни патувања со скапо платени услуги.</w:t>
      </w:r>
      <w:r w:rsidRPr="00F53881">
        <w:rPr>
          <w:rStyle w:val="FootnoteReference"/>
          <w:lang w:val="mk-MK"/>
        </w:rPr>
        <w:footnoteReference w:id="204"/>
      </w:r>
    </w:p>
    <w:p w14:paraId="45406F45" w14:textId="0A39FFA1" w:rsidR="005F6949" w:rsidRPr="00F53881" w:rsidRDefault="00DD7CD1" w:rsidP="00332120">
      <w:pPr>
        <w:pStyle w:val="BodyText"/>
        <w:spacing w:before="240"/>
        <w:ind w:firstLine="720"/>
        <w:jc w:val="both"/>
        <w:rPr>
          <w:lang w:val="mk-MK"/>
        </w:rPr>
      </w:pPr>
      <w:r>
        <w:rPr>
          <w:lang w:val="mk-MK"/>
        </w:rPr>
        <w:t>Имајќи предвид дека во Германија, како впрочем и насекаде низ светот, р</w:t>
      </w:r>
      <w:r w:rsidRPr="00052E78">
        <w:rPr>
          <w:lang w:val="mk-MK"/>
        </w:rPr>
        <w:t>асте тензијата помеѓу профитот и општествената од</w:t>
      </w:r>
      <w:r>
        <w:rPr>
          <w:lang w:val="mk-MK"/>
        </w:rPr>
        <w:t>гов</w:t>
      </w:r>
      <w:r w:rsidRPr="00052E78">
        <w:rPr>
          <w:lang w:val="mk-MK"/>
        </w:rPr>
        <w:t>орнос</w:t>
      </w:r>
      <w:r w:rsidR="00834611">
        <w:rPr>
          <w:lang w:val="mk-MK"/>
        </w:rPr>
        <w:t>т</w:t>
      </w:r>
      <w:r w:rsidRPr="00052E78">
        <w:rPr>
          <w:lang w:val="mk-MK"/>
        </w:rPr>
        <w:t>,</w:t>
      </w:r>
      <w:r w:rsidR="00834611">
        <w:rPr>
          <w:lang w:val="mk-MK"/>
        </w:rPr>
        <w:t xml:space="preserve"> забележително е дека</w:t>
      </w:r>
      <w:r w:rsidRPr="00052E78">
        <w:rPr>
          <w:lang w:val="mk-MK"/>
        </w:rPr>
        <w:t xml:space="preserve"> корпоративното управување се развива кон поодговорен и поинтегриран пристап. </w:t>
      </w:r>
      <w:r w:rsidR="00834611">
        <w:rPr>
          <w:lang w:val="mk-MK"/>
        </w:rPr>
        <w:t xml:space="preserve">Ваквите </w:t>
      </w:r>
      <w:r w:rsidR="00447994">
        <w:rPr>
          <w:lang w:val="mk-MK"/>
        </w:rPr>
        <w:t>положби во Германија,</w:t>
      </w:r>
      <w:r w:rsidR="00357397">
        <w:rPr>
          <w:lang w:val="mk-MK"/>
        </w:rPr>
        <w:t xml:space="preserve"> имаа</w:t>
      </w:r>
      <w:r w:rsidR="000C7FF2">
        <w:rPr>
          <w:lang w:val="mk-MK"/>
        </w:rPr>
        <w:t>т сериозни влијанија низ континентот и светот</w:t>
      </w:r>
      <w:r w:rsidR="006330E8">
        <w:rPr>
          <w:lang w:val="mk-MK"/>
        </w:rPr>
        <w:t>, што е видливо по прид</w:t>
      </w:r>
      <w:r w:rsidR="00135834">
        <w:rPr>
          <w:lang w:val="mk-MK"/>
        </w:rPr>
        <w:t>ви</w:t>
      </w:r>
      <w:r w:rsidR="006330E8">
        <w:rPr>
          <w:lang w:val="mk-MK"/>
        </w:rPr>
        <w:t xml:space="preserve">жувањето на </w:t>
      </w:r>
      <w:r w:rsidR="000C7FF2">
        <w:rPr>
          <w:lang w:val="mk-MK"/>
        </w:rPr>
        <w:t>ф</w:t>
      </w:r>
      <w:r w:rsidRPr="00052E78">
        <w:rPr>
          <w:lang w:val="mk-MK"/>
        </w:rPr>
        <w:t>окусот од исклучиво на акционерите кон земање предвид на интересите на сите засегнати страни и активно управување со еколошките, социјалните и управувачките аспекти на работењето на компанијата. Ова претставува значајна промена во начинот на кој се дефинира успехот на една компанија</w:t>
      </w:r>
      <w:r w:rsidR="00707731">
        <w:rPr>
          <w:lang w:val="mk-MK"/>
        </w:rPr>
        <w:t>.</w:t>
      </w:r>
      <w:r w:rsidR="00A406D7">
        <w:rPr>
          <w:rStyle w:val="FootnoteReference"/>
          <w:lang w:val="mk-MK"/>
        </w:rPr>
        <w:footnoteReference w:id="205"/>
      </w:r>
    </w:p>
    <w:p w14:paraId="35EDC99B" w14:textId="64E25B01" w:rsidR="00ED2B59" w:rsidRPr="007903A6" w:rsidRDefault="00292196" w:rsidP="009330C0">
      <w:pPr>
        <w:pStyle w:val="Heading2"/>
        <w:numPr>
          <w:ilvl w:val="1"/>
          <w:numId w:val="11"/>
        </w:numPr>
        <w:rPr>
          <w:rFonts w:ascii="Times New Roman" w:hAnsi="Times New Roman" w:cs="Times New Roman"/>
          <w:b w:val="0"/>
          <w:bCs w:val="0"/>
          <w:i w:val="0"/>
          <w:iCs w:val="0"/>
          <w:color w:val="000000" w:themeColor="text1"/>
          <w:sz w:val="24"/>
          <w:szCs w:val="24"/>
        </w:rPr>
      </w:pPr>
      <w:r w:rsidRPr="007903A6">
        <w:rPr>
          <w:rFonts w:ascii="Times New Roman" w:hAnsi="Times New Roman" w:cs="Times New Roman"/>
          <w:b w:val="0"/>
          <w:bCs w:val="0"/>
          <w:i w:val="0"/>
          <w:iCs w:val="0"/>
          <w:color w:val="000000" w:themeColor="text1"/>
          <w:sz w:val="24"/>
          <w:szCs w:val="24"/>
          <w:lang w:val="mk-MK"/>
        </w:rPr>
        <w:lastRenderedPageBreak/>
        <w:t xml:space="preserve"> </w:t>
      </w:r>
      <w:bookmarkStart w:id="16" w:name="_Toc230523869"/>
      <w:r w:rsidR="00ED2B59" w:rsidRPr="007903A6">
        <w:rPr>
          <w:rFonts w:ascii="Times New Roman" w:hAnsi="Times New Roman" w:cs="Times New Roman"/>
          <w:b w:val="0"/>
          <w:bCs w:val="0"/>
          <w:color w:val="000000" w:themeColor="text1"/>
          <w:sz w:val="24"/>
          <w:szCs w:val="24"/>
          <w:lang w:val="mk-MK"/>
        </w:rPr>
        <w:t>Искуства од Франција,</w:t>
      </w:r>
      <w:r w:rsidR="00ED2B59" w:rsidRPr="007903A6">
        <w:rPr>
          <w:rFonts w:ascii="Times New Roman" w:hAnsi="Times New Roman" w:cs="Times New Roman"/>
          <w:b w:val="0"/>
          <w:bCs w:val="0"/>
          <w:color w:val="000000" w:themeColor="text1"/>
          <w:sz w:val="24"/>
          <w:szCs w:val="24"/>
          <w:lang w:val="en-US"/>
        </w:rPr>
        <w:t xml:space="preserve"> </w:t>
      </w:r>
      <w:r w:rsidR="00ED2B59" w:rsidRPr="007903A6">
        <w:rPr>
          <w:rFonts w:ascii="Times New Roman" w:hAnsi="Times New Roman" w:cs="Times New Roman"/>
          <w:b w:val="0"/>
          <w:bCs w:val="0"/>
          <w:color w:val="000000" w:themeColor="text1"/>
          <w:sz w:val="24"/>
          <w:szCs w:val="24"/>
          <w:lang w:val="mk-MK"/>
        </w:rPr>
        <w:t>САД, Словенија и Хрватска</w:t>
      </w:r>
      <w:bookmarkEnd w:id="16"/>
      <w:r w:rsidR="00ED2B59" w:rsidRPr="007903A6">
        <w:rPr>
          <w:rFonts w:ascii="Times New Roman" w:hAnsi="Times New Roman" w:cs="Times New Roman"/>
          <w:b w:val="0"/>
          <w:bCs w:val="0"/>
          <w:color w:val="000000" w:themeColor="text1"/>
          <w:sz w:val="24"/>
          <w:szCs w:val="24"/>
          <w:lang w:val="mk-MK"/>
        </w:rPr>
        <w:t xml:space="preserve"> </w:t>
      </w:r>
    </w:p>
    <w:p w14:paraId="7E5C195E" w14:textId="68BEBBA7" w:rsidR="00ED2B59" w:rsidRPr="00F53881" w:rsidRDefault="00ED2B59" w:rsidP="00ED2B59">
      <w:pPr>
        <w:pStyle w:val="BodyText"/>
        <w:spacing w:before="240"/>
        <w:ind w:firstLine="720"/>
        <w:jc w:val="both"/>
        <w:rPr>
          <w:lang w:val="mk-MK"/>
        </w:rPr>
      </w:pPr>
      <w:r w:rsidRPr="00F53881">
        <w:rPr>
          <w:lang w:val="mk-MK"/>
        </w:rPr>
        <w:t>Во меѓусебно поврзан континент, каде добрите практи</w:t>
      </w:r>
      <w:r w:rsidR="00FB5273">
        <w:rPr>
          <w:lang w:val="mk-MK"/>
        </w:rPr>
        <w:t>ки</w:t>
      </w:r>
      <w:r w:rsidRPr="00F53881">
        <w:rPr>
          <w:lang w:val="mk-MK"/>
        </w:rPr>
        <w:t xml:space="preserve"> имаат силно влијание од држава во држава, германскиот модел не може да се гледа изолирано и во вакум.  На пример, работничкото учество во управувањето со компаниите во Франција се обезбедува така што два члена од работничките совети присуствуваат на состаноците на одборот на директори кај едностепениот или на состаноците на надзорниот одбор кај двостепениот систем на управување во советодавна улога.</w:t>
      </w:r>
      <w:r w:rsidRPr="00F53881">
        <w:rPr>
          <w:rStyle w:val="FootnoteReference"/>
          <w:lang w:val="mk-MK"/>
        </w:rPr>
        <w:footnoteReference w:id="206"/>
      </w:r>
      <w:r w:rsidRPr="00F53881">
        <w:rPr>
          <w:lang w:val="mk-MK"/>
        </w:rPr>
        <w:t xml:space="preserve"> Дополнително, ако работничкото акционерство надмине 8% од основната главнина, трговското друштво е должно да именува најмалку три вработени на позицијата-директор.</w:t>
      </w:r>
      <w:r w:rsidRPr="00F53881">
        <w:rPr>
          <w:rStyle w:val="FootnoteReference"/>
          <w:lang w:val="mk-MK"/>
        </w:rPr>
        <w:footnoteReference w:id="207"/>
      </w:r>
      <w:r w:rsidRPr="00F53881">
        <w:rPr>
          <w:lang w:val="mk-MK"/>
        </w:rPr>
        <w:t xml:space="preserve"> Оттука произлегува дека француското право дозволува, но не наметнува работничка кодетерминација по секоја цена. Кога зборуваме за работничката партиципација во корпоративното управување, во случајот на Франција се забележува регрес поради расцепканоста на синдикатот помеѓу комунистичката, социјалистичката и христијанско-демократската партија, заради што синдикалното организирање се смета за доста слабо и немоќно да развие добра социјална демократија.</w:t>
      </w:r>
      <w:r w:rsidRPr="00F53881">
        <w:rPr>
          <w:rStyle w:val="FootnoteReference"/>
          <w:lang w:val="mk-MK"/>
        </w:rPr>
        <w:footnoteReference w:id="208"/>
      </w:r>
    </w:p>
    <w:p w14:paraId="2E463817" w14:textId="4F587226" w:rsidR="00ED2B59" w:rsidRPr="00F53881" w:rsidRDefault="00ED2B59" w:rsidP="00ED2B59">
      <w:pPr>
        <w:pStyle w:val="BodyText"/>
        <w:spacing w:before="240"/>
        <w:ind w:firstLine="720"/>
        <w:jc w:val="both"/>
        <w:rPr>
          <w:lang w:val="mk-MK"/>
        </w:rPr>
      </w:pPr>
      <w:r w:rsidRPr="00F53881">
        <w:rPr>
          <w:lang w:val="mk-MK"/>
        </w:rPr>
        <w:t>Во Соединетите Американски Држави се направени неколку обиди за воведување на учество на вработените во корпорациите, многу слично на начинот на кој е поставен германскиот Законот за кодетерминација од 1976 година.</w:t>
      </w:r>
      <w:r w:rsidRPr="00F53881">
        <w:rPr>
          <w:rStyle w:val="FootnoteReference"/>
          <w:lang w:val="mk-MK"/>
        </w:rPr>
        <w:footnoteReference w:id="209"/>
      </w:r>
      <w:r w:rsidRPr="00F53881">
        <w:rPr>
          <w:lang w:val="mk-MK"/>
        </w:rPr>
        <w:t xml:space="preserve"> Конкретно, се работи за низа од три релевантни предлози од страна на неколку американски сенатори, кои ги имаат предложено во форма на предлог закони.</w:t>
      </w:r>
      <w:r w:rsidR="00F01121">
        <w:rPr>
          <w:rStyle w:val="FootnoteReference"/>
          <w:lang w:val="mk-MK"/>
        </w:rPr>
        <w:footnoteReference w:id="210"/>
      </w:r>
      <w:r w:rsidRPr="00F53881">
        <w:rPr>
          <w:lang w:val="mk-MK"/>
        </w:rPr>
        <w:t xml:space="preserve"> Првите два предлози се од 2018 година, односно таканаречениот Закон за наградување на работниците поднесен од неколку сенатори помеѓу кои се и Теми Болдвин, Елизабет Ворен и Брајан Шалц.</w:t>
      </w:r>
      <w:r w:rsidRPr="00F53881">
        <w:rPr>
          <w:rStyle w:val="FootnoteReference"/>
          <w:lang w:val="mk-MK"/>
        </w:rPr>
        <w:footnoteReference w:id="211"/>
      </w:r>
      <w:r w:rsidRPr="00F53881">
        <w:rPr>
          <w:lang w:val="mk-MK"/>
        </w:rPr>
        <w:t xml:space="preserve"> Со овој Предлог на закон се предвидува 1/3 од членовите на одборот на директори да бидат избрани од страна на работниците. Вториот предлог е самостоен на сенаторката Елизабет Ворен, која што го предлага т.н. Закон за одговорен капитализам,</w:t>
      </w:r>
      <w:r w:rsidRPr="00F53881">
        <w:rPr>
          <w:rStyle w:val="FootnoteReference"/>
          <w:lang w:val="mk-MK"/>
        </w:rPr>
        <w:footnoteReference w:id="212"/>
      </w:r>
      <w:r w:rsidRPr="00F53881">
        <w:rPr>
          <w:lang w:val="mk-MK"/>
        </w:rPr>
        <w:t xml:space="preserve"> според кој</w:t>
      </w:r>
      <w:r w:rsidRPr="00F53881">
        <w:t xml:space="preserve"> </w:t>
      </w:r>
      <w:r w:rsidRPr="00F53881">
        <w:rPr>
          <w:lang w:val="mk-MK"/>
        </w:rPr>
        <w:t>се предвидува во големите друштва, вработените да претставуваат 40% од членовите на органот на друштвото.</w:t>
      </w:r>
      <w:r w:rsidRPr="00F53881">
        <w:rPr>
          <w:rStyle w:val="FootnoteReference"/>
          <w:lang w:val="mk-MK"/>
        </w:rPr>
        <w:footnoteReference w:id="213"/>
      </w:r>
      <w:r w:rsidRPr="00F53881">
        <w:rPr>
          <w:lang w:val="mk-MK"/>
        </w:rPr>
        <w:t xml:space="preserve"> Со овој закон се предвидува да бидат опфатени акционерските друштва и друштвата со ограничена одговорност кои имаат годишни приходи од повеќе од милијарда американски долари. Третиот предлог, изнесен од страна на сенаторот </w:t>
      </w:r>
      <w:r w:rsidRPr="00F53881">
        <w:rPr>
          <w:lang w:val="mk-MK"/>
        </w:rPr>
        <w:lastRenderedPageBreak/>
        <w:t>Берни Сандерс, е Предлог законот за корпоративна одговорност и демократско планирање,</w:t>
      </w:r>
      <w:r w:rsidRPr="00F53881">
        <w:rPr>
          <w:rStyle w:val="FootnoteReference"/>
          <w:lang w:val="mk-MK"/>
        </w:rPr>
        <w:footnoteReference w:id="214"/>
      </w:r>
      <w:r w:rsidRPr="00F53881">
        <w:rPr>
          <w:lang w:val="mk-MK"/>
        </w:rPr>
        <w:t xml:space="preserve"> кој предвидува во друштвата кои имаат годишни приходи од најмалку 100 милиони американски долари или кои котираат на берзата, најмалку 45% од членовите на одборот на директори да бидат избрани од страна на работниците.</w:t>
      </w:r>
      <w:r w:rsidRPr="00F53881">
        <w:rPr>
          <w:rStyle w:val="FootnoteReference"/>
          <w:lang w:val="mk-MK"/>
        </w:rPr>
        <w:footnoteReference w:id="215"/>
      </w:r>
      <w:r w:rsidRPr="00F53881">
        <w:rPr>
          <w:lang w:val="mk-MK"/>
        </w:rPr>
        <w:t xml:space="preserve"> Сепак, за разлика од Германија, каде важи двостепениот систем на управување со акционерските друштва,</w:t>
      </w:r>
      <w:r w:rsidRPr="00F53881">
        <w:rPr>
          <w:rStyle w:val="FootnoteReference"/>
          <w:lang w:val="mk-MK"/>
        </w:rPr>
        <w:footnoteReference w:id="216"/>
      </w:r>
      <w:r w:rsidRPr="00F53881">
        <w:rPr>
          <w:lang w:val="mk-MK"/>
        </w:rPr>
        <w:t xml:space="preserve"> според овие три предлози во САД останува на сила само едностепениот систем како единствен систем на управување, изразен преку одбор на директори, во кој се предлага директно вклучување на претставници од работниците, без да се предложи формирање на сосема нов орган на друштвото.</w:t>
      </w:r>
      <w:r w:rsidRPr="00F53881">
        <w:rPr>
          <w:rStyle w:val="FootnoteReference"/>
          <w:lang w:val="mk-MK"/>
        </w:rPr>
        <w:footnoteReference w:id="217"/>
      </w:r>
      <w:r w:rsidRPr="00F53881">
        <w:rPr>
          <w:lang w:val="mk-MK"/>
        </w:rPr>
        <w:t xml:space="preserve"> Ова значи дека предлозите и иницијативите во САД се многу похрабри и подиректни од моделите во Европа или поконкретно согласно едно истражување направено во 2019 година, доколку би се прифатил предлог законот на сенаторот Сандерс, тоа би значело воведување на кодетерминација во 3437 трговски друштва кои имаат 31 милион</w:t>
      </w:r>
      <w:r w:rsidR="00371D0B">
        <w:rPr>
          <w:lang w:val="mk-MK"/>
        </w:rPr>
        <w:t>и</w:t>
      </w:r>
      <w:r w:rsidRPr="00F53881">
        <w:rPr>
          <w:lang w:val="mk-MK"/>
        </w:rPr>
        <w:t xml:space="preserve"> вработени, а доколку би се прифатил Предлог законот на сенаторката Ворен, кодетерминацијата би се вовела во 1237 трговски друштва кои имаат 29 милиони вработени.</w:t>
      </w:r>
      <w:r w:rsidR="00531BA1">
        <w:rPr>
          <w:lang w:val="mk-MK"/>
        </w:rPr>
        <w:t xml:space="preserve"> </w:t>
      </w:r>
      <w:r w:rsidRPr="00F53881">
        <w:rPr>
          <w:lang w:val="mk-MK"/>
        </w:rPr>
        <w:t>Колку за споредба, во 2019 година во Германија со модели</w:t>
      </w:r>
      <w:r w:rsidR="00531BA1">
        <w:rPr>
          <w:lang w:val="mk-MK"/>
        </w:rPr>
        <w:t>те</w:t>
      </w:r>
      <w:r w:rsidRPr="00F53881">
        <w:rPr>
          <w:lang w:val="mk-MK"/>
        </w:rPr>
        <w:t xml:space="preserve"> на кодетерминација се опфатени 1349 друштва кои имаат 30 милиони вработени.</w:t>
      </w:r>
      <w:r w:rsidRPr="00F53881">
        <w:rPr>
          <w:rStyle w:val="FootnoteReference"/>
          <w:lang w:val="mk-MK"/>
        </w:rPr>
        <w:footnoteReference w:id="218"/>
      </w:r>
      <w:r w:rsidRPr="00F53881">
        <w:rPr>
          <w:lang w:val="mk-MK"/>
        </w:rPr>
        <w:t xml:space="preserve"> За жал, ниту еден од овие предлог-закони во моментов </w:t>
      </w:r>
      <w:r w:rsidR="00531BA1">
        <w:rPr>
          <w:lang w:val="mk-MK"/>
        </w:rPr>
        <w:t xml:space="preserve">во САД </w:t>
      </w:r>
      <w:r w:rsidRPr="00F53881">
        <w:rPr>
          <w:lang w:val="mk-MK"/>
        </w:rPr>
        <w:t xml:space="preserve">не е на сила. </w:t>
      </w:r>
    </w:p>
    <w:p w14:paraId="56E29775" w14:textId="77777777" w:rsidR="00ED2B59" w:rsidRPr="00F53881" w:rsidRDefault="00ED2B59" w:rsidP="00ED2B59">
      <w:pPr>
        <w:pStyle w:val="BodyText"/>
        <w:spacing w:before="240"/>
        <w:ind w:firstLine="720"/>
        <w:jc w:val="both"/>
        <w:rPr>
          <w:lang w:val="mk-MK"/>
        </w:rPr>
      </w:pPr>
      <w:r w:rsidRPr="00F53881">
        <w:rPr>
          <w:lang w:val="mk-MK"/>
        </w:rPr>
        <w:t>Кодетерминацијата во Словенија е изградена врз основа на германскиот систем со силно влијание на наследените социјалистички вредности.</w:t>
      </w:r>
      <w:r w:rsidRPr="00F53881">
        <w:rPr>
          <w:rStyle w:val="FootnoteReference"/>
          <w:lang w:val="mk-MK"/>
        </w:rPr>
        <w:footnoteReference w:id="219"/>
      </w:r>
      <w:r w:rsidRPr="00F53881">
        <w:rPr>
          <w:lang w:val="mk-MK"/>
        </w:rPr>
        <w:t xml:space="preserve"> Основниот законски акт, Законот за учество на работниците во управувањето, бил усвоен во 1993 година, следен со измени и дополнувања во 2001 и во 2007 година.</w:t>
      </w:r>
      <w:r w:rsidRPr="00F53881">
        <w:rPr>
          <w:rStyle w:val="FootnoteReference"/>
          <w:lang w:val="mk-MK"/>
        </w:rPr>
        <w:footnoteReference w:id="220"/>
      </w:r>
      <w:r w:rsidRPr="00F53881">
        <w:rPr>
          <w:lang w:val="mk-MK"/>
        </w:rPr>
        <w:t xml:space="preserve"> Слично како и во Германија, главното тело на словенечкиот систем за учество на вработените е работничкиот совет. Во недостаток на официјални податоци, постојат различни проценки за присуството на работнички совети во компаниите. Според Словенечкото здружение на работнички совети, околу 80 отсто од средните и големите компании имаат работнички совет, иако други истражувања покажале значително помали проценти на застапеност. Исто така, не постојат позначителни истражувања во поглед на тоа колку вработените се застапени во надзорните одбори. Може да се претпостави дека претставници на вработените на ниво на надзорни одбори се присутни во поголеми компании со над 50 вработени и во компании во државна сопственост.</w:t>
      </w:r>
      <w:r w:rsidRPr="00F53881">
        <w:rPr>
          <w:rStyle w:val="FootnoteReference"/>
          <w:lang w:val="mk-MK"/>
        </w:rPr>
        <w:footnoteReference w:id="221"/>
      </w:r>
      <w:r w:rsidRPr="00F53881">
        <w:rPr>
          <w:lang w:val="mk-MK"/>
        </w:rPr>
        <w:t xml:space="preserve"> Така, застапеноста на вработените во надзорниот одбор,</w:t>
      </w:r>
      <w:r w:rsidRPr="00F53881">
        <w:rPr>
          <w:rStyle w:val="FootnoteReference"/>
          <w:lang w:val="mk-MK"/>
        </w:rPr>
        <w:footnoteReference w:id="222"/>
      </w:r>
      <w:r w:rsidRPr="00F53881">
        <w:rPr>
          <w:lang w:val="mk-MK"/>
        </w:rPr>
        <w:t xml:space="preserve"> е помеѓу една третина и една половина во поголемите словенечки трговски друштва, додека во одборите на директори е најмалку една четвртина.</w:t>
      </w:r>
      <w:r w:rsidRPr="00F53881">
        <w:rPr>
          <w:rStyle w:val="FootnoteReference"/>
          <w:lang w:val="mk-MK"/>
        </w:rPr>
        <w:footnoteReference w:id="223"/>
      </w:r>
    </w:p>
    <w:p w14:paraId="4DD939D2" w14:textId="1EC23A0E" w:rsidR="00ED2B59" w:rsidRPr="00F53881" w:rsidRDefault="00ED2B59" w:rsidP="00ED2B59">
      <w:pPr>
        <w:pStyle w:val="BodyText"/>
        <w:spacing w:before="240"/>
        <w:ind w:firstLine="720"/>
        <w:jc w:val="both"/>
        <w:rPr>
          <w:lang w:val="mk-MK"/>
        </w:rPr>
      </w:pPr>
      <w:r w:rsidRPr="00F53881">
        <w:rPr>
          <w:lang w:val="mk-MK"/>
        </w:rPr>
        <w:t xml:space="preserve">Слично како и во македонскиот контекст, што ќе биде разгледано подолу во текстот, во Законот за трговските друштва на Република Хрватска во членот 256 став 2 </w:t>
      </w:r>
      <w:r w:rsidRPr="00F53881">
        <w:rPr>
          <w:lang w:val="mk-MK"/>
        </w:rPr>
        <w:lastRenderedPageBreak/>
        <w:t>се предвидува можноста врз основа на посебен закон, во статутот да се определи одреден број на членови на надзорниот одбор именувани од страна на вработените.</w:t>
      </w:r>
      <w:r w:rsidRPr="00F53881">
        <w:rPr>
          <w:rStyle w:val="FootnoteReference"/>
          <w:lang w:val="mk-MK"/>
        </w:rPr>
        <w:footnoteReference w:id="224"/>
      </w:r>
      <w:r w:rsidRPr="00F53881">
        <w:rPr>
          <w:lang w:val="mk-MK"/>
        </w:rPr>
        <w:t xml:space="preserve"> Законот за работните односи,</w:t>
      </w:r>
      <w:r w:rsidRPr="00F53881">
        <w:rPr>
          <w:rStyle w:val="FootnoteReference"/>
          <w:lang w:val="mk-MK"/>
        </w:rPr>
        <w:footnoteReference w:id="225"/>
      </w:r>
      <w:r w:rsidRPr="00F53881">
        <w:rPr>
          <w:lang w:val="mk-MK"/>
        </w:rPr>
        <w:t xml:space="preserve"> во членот 164, оваа можност ја уредува подетално. Имено, согласно членот 164 став 1, од Законот за работните односи во трговските друштва и задруги</w:t>
      </w:r>
      <w:r w:rsidR="007003C7">
        <w:rPr>
          <w:lang w:val="mk-MK"/>
        </w:rPr>
        <w:t xml:space="preserve"> на Хрватска</w:t>
      </w:r>
      <w:r w:rsidRPr="00F53881">
        <w:rPr>
          <w:lang w:val="mk-MK"/>
        </w:rPr>
        <w:t xml:space="preserve"> кај кои со посебен пропис се предвидува формирање орган кој врши надзорна функција,</w:t>
      </w:r>
      <w:r w:rsidRPr="00F53881">
        <w:rPr>
          <w:rStyle w:val="FootnoteReference"/>
          <w:lang w:val="mk-MK"/>
        </w:rPr>
        <w:footnoteReference w:id="226"/>
      </w:r>
      <w:r w:rsidRPr="00F53881">
        <w:rPr>
          <w:lang w:val="mk-MK"/>
        </w:rPr>
        <w:t xml:space="preserve"> еден член на овој орган мора да биде претставник од вработените, кој е избран и се отповикува од страна на работничките совети. Согласно ставот 3 од овој член, доколку кај работодавачот не е формиран работнички совет, претставникот на вработените се бира од страна на вработените на тајни и непосредни избори. Дополнително, во ставот 4 од членот 164 се определува положбата на членот на органот на надзор избран од страна на вработените.</w:t>
      </w:r>
      <w:r w:rsidRPr="00F53881">
        <w:rPr>
          <w:rStyle w:val="FootnoteReference"/>
          <w:lang w:val="mk-MK"/>
        </w:rPr>
        <w:footnoteReference w:id="227"/>
      </w:r>
      <w:r w:rsidRPr="00F53881">
        <w:rPr>
          <w:lang w:val="mk-MK"/>
        </w:rPr>
        <w:t xml:space="preserve"> Согласно оваа одредба, членот на органот на надзор избран од страна на вработените има иста правна положба како и останатите членови на органот на надзор.</w:t>
      </w:r>
      <w:r w:rsidRPr="00F53881">
        <w:rPr>
          <w:rStyle w:val="FootnoteReference"/>
          <w:lang w:val="mk-MK"/>
        </w:rPr>
        <w:footnoteReference w:id="228"/>
      </w:r>
    </w:p>
    <w:p w14:paraId="4DFD3F10" w14:textId="28881AB2" w:rsidR="00B76ECA" w:rsidRDefault="00ED2B59" w:rsidP="00ED2B59">
      <w:pPr>
        <w:pStyle w:val="BodyText"/>
        <w:spacing w:before="240"/>
        <w:ind w:firstLine="720"/>
        <w:jc w:val="both"/>
        <w:rPr>
          <w:lang w:val="mk-MK"/>
        </w:rPr>
      </w:pPr>
      <w:r w:rsidRPr="00F53881">
        <w:rPr>
          <w:lang w:val="mk-MK"/>
        </w:rPr>
        <w:t>Во другите европски земји, Директивата за Европскиот работнички совет (EWC-European Works Council Directive) обезбедува рамка за вклучување на вработените во прекуграничните компании во рамките на Европската унија. Научните истражувања за овие работнички совети покажуваат дека нивното присуство ја олеснува и подобрува комуникацијата помеѓу раководството и вработените, ја зголемува транспарентноста и придонесува за култура на заедничко одлучување, што пак го подобрува моралот и ангажманот на вработените.</w:t>
      </w:r>
      <w:r w:rsidR="009B22C5">
        <w:rPr>
          <w:rStyle w:val="FootnoteReference"/>
          <w:lang w:val="mk-MK"/>
        </w:rPr>
        <w:footnoteReference w:id="229"/>
      </w:r>
      <w:r w:rsidRPr="00F53881">
        <w:rPr>
          <w:lang w:val="mk-MK"/>
        </w:rPr>
        <w:t xml:space="preserve"> </w:t>
      </w:r>
      <w:r w:rsidR="00E53635">
        <w:rPr>
          <w:lang w:val="mk-MK"/>
        </w:rPr>
        <w:t>Н</w:t>
      </w:r>
      <w:r w:rsidRPr="00F53881">
        <w:rPr>
          <w:lang w:val="mk-MK"/>
        </w:rPr>
        <w:t xml:space="preserve">овите истражувања често се фокусираат на хибридни модели кои комбинираат и застапеност на вработените во управувањето и стекнување акции. Овие модели привлекуваат внимание поради нивната способност да го максимизираат ангажманот на вработените преку спојување на придобивките од партиципативното одлучување со финансиските стимулации. Во </w:t>
      </w:r>
      <w:r w:rsidR="002E0238">
        <w:rPr>
          <w:lang w:val="mk-MK"/>
        </w:rPr>
        <w:t xml:space="preserve">овој </w:t>
      </w:r>
      <w:r w:rsidRPr="00F53881">
        <w:rPr>
          <w:lang w:val="mk-MK"/>
        </w:rPr>
        <w:t xml:space="preserve">случај, хибридните модели се однесуваат на учеството на вработените во рамките на трговските друштва, како примерот на корпорацијата Мондрагон во баскискиот регион во Шпанија. </w:t>
      </w:r>
    </w:p>
    <w:p w14:paraId="218C10B9" w14:textId="69A3BE7E" w:rsidR="00ED2B59" w:rsidRPr="00F53881" w:rsidRDefault="003F3577" w:rsidP="002A034F">
      <w:pPr>
        <w:pStyle w:val="BodyText"/>
        <w:spacing w:before="240"/>
        <w:ind w:firstLine="720"/>
        <w:jc w:val="both"/>
        <w:rPr>
          <w:lang w:val="mk-MK"/>
        </w:rPr>
      </w:pPr>
      <w:r w:rsidRPr="003F3577">
        <w:rPr>
          <w:lang w:val="mk-MK"/>
        </w:rPr>
        <w:t>Моделот на Мондрагон претставува уникатен пример на работничка кооператива во која работниците се и сопственици и активни учесници во управувањето.</w:t>
      </w:r>
      <w:r w:rsidR="008B69BB">
        <w:rPr>
          <w:rStyle w:val="FootnoteReference"/>
          <w:lang w:val="mk-MK"/>
        </w:rPr>
        <w:footnoteReference w:id="230"/>
      </w:r>
      <w:r w:rsidRPr="003F3577">
        <w:rPr>
          <w:lang w:val="mk-MK"/>
        </w:rPr>
        <w:t xml:space="preserve"> Основана во 1956 година, Мондрагон обединува десетици кооперативи поврзани преку заеднички институции, меѓусебна солидарност и демократички принципи на одлучување. Наместо класичен хиерархиски однос </w:t>
      </w:r>
      <w:r>
        <w:rPr>
          <w:lang w:val="mk-MK"/>
        </w:rPr>
        <w:t>по</w:t>
      </w:r>
      <w:r w:rsidRPr="003F3577">
        <w:rPr>
          <w:lang w:val="mk-MK"/>
        </w:rPr>
        <w:t xml:space="preserve">меѓу капитал и труд, тука доминира логиката на економска демократија, со ограничени плати, распределба на добивката </w:t>
      </w:r>
      <w:r w:rsidR="002A034F">
        <w:rPr>
          <w:lang w:val="mk-MK"/>
        </w:rPr>
        <w:t>по</w:t>
      </w:r>
      <w:r w:rsidRPr="003F3577">
        <w:rPr>
          <w:lang w:val="mk-MK"/>
        </w:rPr>
        <w:t>меѓу вработените и силен акцент на локалниот развој. Овој модел покажува како е можно да се комбинира економска ефикасност со социјална правда, и сè почесто се разгледува како алтернатива на традиционалниот облик на корпоративно управување.</w:t>
      </w:r>
      <w:r w:rsidR="002A034F">
        <w:rPr>
          <w:lang w:val="mk-MK"/>
        </w:rPr>
        <w:t xml:space="preserve"> </w:t>
      </w:r>
      <w:r w:rsidR="00ED2B59" w:rsidRPr="00F53881">
        <w:rPr>
          <w:lang w:val="mk-MK"/>
        </w:rPr>
        <w:t xml:space="preserve">Истражувањето за Мондрагон покажува дека овој хибриден пристап не само што поттикнува силно чувство на сопственост и ангажираност, туку придонесува и за долгорочна организациска одржливост и издржливост затоа што вработените имаат и </w:t>
      </w:r>
      <w:r w:rsidR="00ED2B59" w:rsidRPr="00F53881">
        <w:rPr>
          <w:lang w:val="mk-MK"/>
        </w:rPr>
        <w:lastRenderedPageBreak/>
        <w:t>глас во донесувањето одлуки и финансиски удел во успехот на компанијата.</w:t>
      </w:r>
      <w:r w:rsidR="00ED2B59" w:rsidRPr="00F53881">
        <w:rPr>
          <w:rStyle w:val="FootnoteReference"/>
          <w:lang w:val="mk-MK"/>
        </w:rPr>
        <w:footnoteReference w:id="231"/>
      </w:r>
    </w:p>
    <w:p w14:paraId="156A3E1C" w14:textId="14015EBE" w:rsidR="00ED2B59" w:rsidRPr="00F53881" w:rsidRDefault="00ED2B59" w:rsidP="00761440">
      <w:pPr>
        <w:pStyle w:val="BodyText"/>
        <w:spacing w:before="240" w:after="240"/>
        <w:ind w:firstLine="720"/>
        <w:jc w:val="both"/>
        <w:rPr>
          <w:lang w:val="mk-MK"/>
        </w:rPr>
      </w:pPr>
      <w:r w:rsidRPr="00F53881">
        <w:rPr>
          <w:lang w:val="mk-MK"/>
        </w:rPr>
        <w:t>Специфично за македонскиот контекст е прашањето за тоа како би се имплементирала вклученоста на вработените во едностепен систем. Ако земеме пример од германскиот модел, каде што претставниците на вработените се позиционирани во надзорниот одбор како дел од двостепениот систем, логично би било во едностепен систем тие да се постават како неизвршни членови на одборот. Со ова решение, вработените би имале улога која е слична на онаа во надзорните органи, односно би можеле да влијаат на одлуките и контролата без директно учество во дневното управување на компанијата. Така, нивната позиција би овозможила надзор и застапеност на интересите на вработените, без да се вклучуваат во оперативното управување, што го штити балансот помеѓу контролата и независноста во управувањето. Од друга страна, доколку вработените се позиционирани како извршни членови во едностепен систем, нивната улога би била многу поактивна во дневните операции на компанијата, што може да создаде предизвици во управувањето и во поделбата на одговорности. Поради ова, едностепен систем со неизвршни членови како претставници на вработените би можел да биде поефективен модел, особено ако целта е да се создаде модел кој е транспарентен и во интерес на вработените, но и во корист на корпоративното управување. Оттаму, тоа ќе биде и стартниот метод при почетокот на истражувањето, но двете прашања ќе бидат резгледувани одделно и заедно, што значи дека постои можност за промена на ставови</w:t>
      </w:r>
      <w:r w:rsidR="00B32051">
        <w:rPr>
          <w:lang w:val="mk-MK"/>
        </w:rPr>
        <w:t>т</w:t>
      </w:r>
      <w:r w:rsidRPr="00F53881">
        <w:rPr>
          <w:lang w:val="mk-MK"/>
        </w:rPr>
        <w:t xml:space="preserve">е се до усвојувањето на конечни заклучоци.  </w:t>
      </w:r>
    </w:p>
    <w:p w14:paraId="27DD74CA" w14:textId="0D3CB914" w:rsidR="00ED2B59" w:rsidRPr="007903A6" w:rsidRDefault="00292196" w:rsidP="009330C0">
      <w:pPr>
        <w:pStyle w:val="Heading2"/>
        <w:numPr>
          <w:ilvl w:val="1"/>
          <w:numId w:val="11"/>
        </w:numPr>
        <w:rPr>
          <w:rFonts w:ascii="Times New Roman" w:hAnsi="Times New Roman" w:cs="Times New Roman"/>
          <w:b w:val="0"/>
          <w:bCs w:val="0"/>
          <w:i w:val="0"/>
          <w:iCs w:val="0"/>
          <w:color w:val="000000" w:themeColor="text1"/>
          <w:sz w:val="24"/>
          <w:szCs w:val="24"/>
        </w:rPr>
      </w:pPr>
      <w:r w:rsidRPr="007903A6">
        <w:rPr>
          <w:rFonts w:ascii="Times New Roman" w:hAnsi="Times New Roman" w:cs="Times New Roman"/>
          <w:b w:val="0"/>
          <w:bCs w:val="0"/>
          <w:i w:val="0"/>
          <w:iCs w:val="0"/>
          <w:color w:val="000000" w:themeColor="text1"/>
          <w:sz w:val="24"/>
          <w:szCs w:val="24"/>
          <w:lang w:val="mk-MK"/>
        </w:rPr>
        <w:t xml:space="preserve"> </w:t>
      </w:r>
      <w:bookmarkStart w:id="17" w:name="_Toc230523870"/>
      <w:r w:rsidR="00ED2B59" w:rsidRPr="007903A6">
        <w:rPr>
          <w:rFonts w:ascii="Times New Roman" w:hAnsi="Times New Roman" w:cs="Times New Roman"/>
          <w:b w:val="0"/>
          <w:bCs w:val="0"/>
          <w:color w:val="000000" w:themeColor="text1"/>
          <w:sz w:val="24"/>
          <w:szCs w:val="24"/>
          <w:lang w:val="mk-MK"/>
        </w:rPr>
        <w:t>Американскиот модел на работничко акционерство</w:t>
      </w:r>
      <w:bookmarkEnd w:id="17"/>
    </w:p>
    <w:p w14:paraId="75D64132" w14:textId="4B127046" w:rsidR="00ED2B59" w:rsidRPr="00F53881" w:rsidRDefault="00ED2B59" w:rsidP="00C64229">
      <w:pPr>
        <w:pStyle w:val="BodyText"/>
        <w:spacing w:before="240"/>
        <w:ind w:firstLine="720"/>
        <w:jc w:val="both"/>
        <w:rPr>
          <w:lang w:val="mk-MK"/>
        </w:rPr>
      </w:pPr>
      <w:r w:rsidRPr="00F53881">
        <w:rPr>
          <w:lang w:val="mk-MK"/>
        </w:rPr>
        <w:t>Алтернативниот модел на стекнување акции, односно удел на вработените, првенствено имплементиран преку планови за сопственост на вработените или слични шеми за сопственост на акции,</w:t>
      </w:r>
      <w:r w:rsidRPr="00F53881">
        <w:rPr>
          <w:rStyle w:val="FootnoteReference"/>
          <w:lang w:val="mk-MK"/>
        </w:rPr>
        <w:footnoteReference w:id="232"/>
      </w:r>
      <w:r w:rsidRPr="00F53881">
        <w:rPr>
          <w:lang w:val="mk-MK"/>
        </w:rPr>
        <w:t xml:space="preserve"> е опширно проучен и во теоретското и во емпириското истражување.</w:t>
      </w:r>
      <w:r w:rsidRPr="00F53881">
        <w:rPr>
          <w:rStyle w:val="FootnoteReference"/>
          <w:lang w:val="mk-MK"/>
        </w:rPr>
        <w:footnoteReference w:id="233"/>
      </w:r>
      <w:r w:rsidRPr="00F53881">
        <w:rPr>
          <w:lang w:val="mk-MK"/>
        </w:rPr>
        <w:t xml:space="preserve"> Овој модел ги усогласува финансиските интереси на вработените со успехот на компанијата, што поттикнува чувство на економска испреплетеност,</w:t>
      </w:r>
      <w:r w:rsidR="00A04160">
        <w:rPr>
          <w:rStyle w:val="FootnoteReference"/>
          <w:lang w:val="mk-MK"/>
        </w:rPr>
        <w:footnoteReference w:id="234"/>
      </w:r>
      <w:r w:rsidRPr="00F53881">
        <w:rPr>
          <w:lang w:val="mk-MK"/>
        </w:rPr>
        <w:t xml:space="preserve"> мотивирајќи ги вработените поактивно да придонесуваат за перформансите на организацијата.</w:t>
      </w:r>
      <w:r w:rsidRPr="00F53881">
        <w:rPr>
          <w:rStyle w:val="FootnoteReference"/>
          <w:lang w:val="mk-MK"/>
        </w:rPr>
        <w:footnoteReference w:id="235"/>
      </w:r>
      <w:r w:rsidRPr="00F53881">
        <w:rPr>
          <w:lang w:val="mk-MK"/>
        </w:rPr>
        <w:t xml:space="preserve"> Во Соединетите Американски Држави, плановите за поседување акции на вработените се широко прифатени во приватните компании.</w:t>
      </w:r>
      <w:r w:rsidRPr="00F53881">
        <w:rPr>
          <w:rStyle w:val="FootnoteReference"/>
          <w:lang w:val="mk-MK"/>
        </w:rPr>
        <w:footnoteReference w:id="236"/>
      </w:r>
      <w:r w:rsidRPr="00F53881">
        <w:rPr>
          <w:lang w:val="mk-MK"/>
        </w:rPr>
        <w:t xml:space="preserve"> Истражувањето на Националниот центар за сопственост на вработените (NCEO) покажува дека компаниите со значителен процент на сопственост на вработените имаат тенденција да уживаат посилни индикатори за перформанси, вклучувајќи повисока продуктивност, профитабилност и задржување на вработените.</w:t>
      </w:r>
      <w:r w:rsidRPr="00F53881">
        <w:rPr>
          <w:rStyle w:val="FootnoteReference"/>
          <w:lang w:val="mk-MK"/>
        </w:rPr>
        <w:footnoteReference w:id="237"/>
      </w:r>
      <w:r w:rsidRPr="00F53881">
        <w:rPr>
          <w:lang w:val="mk-MK"/>
        </w:rPr>
        <w:t xml:space="preserve"> </w:t>
      </w:r>
    </w:p>
    <w:p w14:paraId="379016DF" w14:textId="77777777" w:rsidR="00ED2B59" w:rsidRPr="00F53881" w:rsidRDefault="00ED2B59" w:rsidP="00ED2B59">
      <w:pPr>
        <w:pStyle w:val="BodyText"/>
        <w:spacing w:before="240"/>
        <w:ind w:firstLine="720"/>
        <w:jc w:val="both"/>
        <w:rPr>
          <w:lang w:val="mk-MK"/>
        </w:rPr>
      </w:pPr>
      <w:r w:rsidRPr="00F53881">
        <w:rPr>
          <w:lang w:val="mk-MK"/>
        </w:rPr>
        <w:t xml:space="preserve">Неможноста да станат директни учесници во управувањето со компаниите врз </w:t>
      </w:r>
      <w:r w:rsidRPr="00F53881">
        <w:rPr>
          <w:lang w:val="mk-MK"/>
        </w:rPr>
        <w:lastRenderedPageBreak/>
        <w:t>основа на трудот, ги насочила работниците во САД својот фокус во подобрување на правата преку учество во управувањето, но овој пат врз основа на акционерска сопственост, односно преку работничкото акционерство и пензиските фондови. Чинот на доделување акции на вработените создава опиплива врска помеѓу напорите на вработените и финансиските резултати на компанијата, што поттикнува зголемена посветеност и ангажман. Успехот на WinCo Foods, синџир супермаркети со седиште во САД, кој работи според модел во сопственост на вработени-акционери, често се наведува како одличен пример.</w:t>
      </w:r>
      <w:r w:rsidRPr="00F53881">
        <w:rPr>
          <w:rStyle w:val="FootnoteReference"/>
          <w:lang w:val="mk-MK"/>
        </w:rPr>
        <w:footnoteReference w:id="238"/>
      </w:r>
      <w:r w:rsidRPr="00F53881">
        <w:rPr>
          <w:lang w:val="mk-MK"/>
        </w:rPr>
        <w:t xml:space="preserve"> WinCo преку овој модел ги овластува своите вработени да управуваат, давајќи им значителни сопственички удели, што резултира со високи нивоа на задоволство од работата, низок обрт и силен финансиски раст. Во моментов, компанијата со седиште во Боис, Ајдахо, работи со 89 продавници, со проценет обем од 5,3 милијарди долари. Секоја година компанијата приближно 20% од вкупните плати ги исплаќа во форма на акции на вработените. </w:t>
      </w:r>
    </w:p>
    <w:p w14:paraId="2DCA3EA8" w14:textId="15BB48F7" w:rsidR="00ED2B59" w:rsidRPr="00F53881" w:rsidRDefault="00ED2B59" w:rsidP="00ED2B59">
      <w:pPr>
        <w:pStyle w:val="BodyText"/>
        <w:spacing w:before="240"/>
        <w:ind w:firstLine="720"/>
        <w:jc w:val="both"/>
        <w:rPr>
          <w:lang w:val="mk-MK"/>
        </w:rPr>
      </w:pPr>
      <w:r w:rsidRPr="00F53881">
        <w:rPr>
          <w:lang w:val="mk-MK"/>
        </w:rPr>
        <w:t>Работничкото акционерство може да се јави како директно, кога работниците можат слободно да купуваат и да продаваат акции,</w:t>
      </w:r>
      <w:r w:rsidRPr="00F53881">
        <w:rPr>
          <w:rStyle w:val="FootnoteReference"/>
          <w:lang w:val="mk-MK"/>
        </w:rPr>
        <w:footnoteReference w:id="239"/>
      </w:r>
      <w:r w:rsidRPr="00F53881">
        <w:rPr>
          <w:lang w:val="mk-MK"/>
        </w:rPr>
        <w:t xml:space="preserve"> и индиректно</w:t>
      </w:r>
      <w:r w:rsidRPr="00F53881">
        <w:rPr>
          <w:lang w:val="en-US"/>
        </w:rPr>
        <w:t xml:space="preserve">, </w:t>
      </w:r>
      <w:r w:rsidRPr="00F53881">
        <w:rPr>
          <w:lang w:val="mk-MK"/>
        </w:rPr>
        <w:t>кога акциите се држат во отворен инвестициски фонд во име и за сметка на вработените или пак на вработените можат да им се дадат одредени гласачки права во собранието без други сопственички прерогативи од акциите.</w:t>
      </w:r>
      <w:r w:rsidRPr="00F53881">
        <w:rPr>
          <w:rStyle w:val="FootnoteReference"/>
          <w:lang w:val="mk-MK"/>
        </w:rPr>
        <w:footnoteReference w:id="240"/>
      </w:r>
      <w:r w:rsidRPr="00F53881">
        <w:rPr>
          <w:lang w:val="mk-MK"/>
        </w:rPr>
        <w:t xml:space="preserve"> Работничкото акционерство во САД е доста зголемено во последните 20-тина години и веќе појавните облици на овој вид акционерство се различни: преку таканаречените ESOP планови,</w:t>
      </w:r>
      <w:r w:rsidRPr="00F53881">
        <w:rPr>
          <w:rStyle w:val="FootnoteReference"/>
          <w:lang w:val="mk-MK"/>
        </w:rPr>
        <w:footnoteReference w:id="241"/>
      </w:r>
      <w:r w:rsidRPr="00F53881">
        <w:rPr>
          <w:lang w:val="mk-MK"/>
        </w:rPr>
        <w:t xml:space="preserve"> директно учество на вработените во добивката на трговското друштво,</w:t>
      </w:r>
      <w:r w:rsidRPr="00F53881">
        <w:rPr>
          <w:rStyle w:val="FootnoteReference"/>
          <w:lang w:val="mk-MK"/>
        </w:rPr>
        <w:footnoteReference w:id="242"/>
      </w:r>
      <w:r w:rsidRPr="00F53881">
        <w:rPr>
          <w:lang w:val="mk-MK"/>
        </w:rPr>
        <w:t xml:space="preserve"> или преку посебни планови за пензионирање со делумна сопственичка компонента во акции.</w:t>
      </w:r>
      <w:r w:rsidRPr="00F53881">
        <w:rPr>
          <w:rStyle w:val="FootnoteReference"/>
          <w:lang w:val="mk-MK"/>
        </w:rPr>
        <w:footnoteReference w:id="243"/>
      </w:r>
      <w:r w:rsidRPr="00F53881">
        <w:rPr>
          <w:lang w:val="mk-MK"/>
        </w:rPr>
        <w:t xml:space="preserve"> Како главни причини за појавата на овие облици на работничкото акционерство најчесто се наведуваат нивниот поволен даночен третман и тоа што тие претставуваат добар начин за реструктурирање на модусот за исплата на плати и други бенефиции.</w:t>
      </w:r>
      <w:r w:rsidRPr="00F53881">
        <w:rPr>
          <w:rStyle w:val="FootnoteReference"/>
          <w:lang w:val="mk-MK"/>
        </w:rPr>
        <w:footnoteReference w:id="244"/>
      </w:r>
      <w:r w:rsidRPr="00F53881">
        <w:rPr>
          <w:lang w:val="mk-MK"/>
        </w:rPr>
        <w:t xml:space="preserve"> </w:t>
      </w:r>
    </w:p>
    <w:p w14:paraId="42D27E1C" w14:textId="157981AE" w:rsidR="00ED2B59" w:rsidRPr="00F53881" w:rsidRDefault="00ED2B59" w:rsidP="00ED2B59">
      <w:pPr>
        <w:pStyle w:val="BodyText"/>
        <w:spacing w:before="240"/>
        <w:ind w:firstLine="720"/>
        <w:jc w:val="both"/>
        <w:rPr>
          <w:lang w:val="mk-MK"/>
        </w:rPr>
      </w:pPr>
      <w:r w:rsidRPr="00F53881">
        <w:rPr>
          <w:lang w:val="mk-MK"/>
        </w:rPr>
        <w:t>Од друга страна, во Обединетото Кралство, Џон Луис Партнершип</w:t>
      </w:r>
      <w:r w:rsidR="006D5B9D">
        <w:rPr>
          <w:lang w:val="en-US"/>
        </w:rPr>
        <w:t>,</w:t>
      </w:r>
      <w:r w:rsidRPr="00F53881">
        <w:rPr>
          <w:rStyle w:val="FootnoteReference"/>
          <w:lang w:val="mk-MK"/>
        </w:rPr>
        <w:footnoteReference w:id="245"/>
      </w:r>
      <w:r w:rsidRPr="00F53881">
        <w:rPr>
          <w:lang w:val="mk-MK"/>
        </w:rPr>
        <w:t xml:space="preserve"> кој</w:t>
      </w:r>
      <w:r w:rsidR="00ED26E2">
        <w:rPr>
          <w:lang w:val="mk-MK"/>
        </w:rPr>
        <w:t>а</w:t>
      </w:r>
      <w:r w:rsidRPr="00F53881">
        <w:rPr>
          <w:lang w:val="mk-MK"/>
        </w:rPr>
        <w:t xml:space="preserve"> работи како претпријатие во целосна сопственост на вработените, е често референцирана како студија на случај во истражувањата за хибридни модели на ангажман.</w:t>
      </w:r>
      <w:r w:rsidRPr="00F53881">
        <w:rPr>
          <w:rStyle w:val="FootnoteReference"/>
          <w:lang w:val="mk-MK"/>
        </w:rPr>
        <w:footnoteReference w:id="246"/>
      </w:r>
      <w:r w:rsidRPr="00F53881">
        <w:rPr>
          <w:lang w:val="mk-MK"/>
        </w:rPr>
        <w:t xml:space="preserve"> </w:t>
      </w:r>
      <w:r w:rsidR="003B55B9">
        <w:rPr>
          <w:lang w:val="mk-MK"/>
        </w:rPr>
        <w:t>Оваа</w:t>
      </w:r>
      <w:r w:rsidR="00ED26E2">
        <w:rPr>
          <w:lang w:val="mk-MK"/>
        </w:rPr>
        <w:t xml:space="preserve"> компанија </w:t>
      </w:r>
      <w:r w:rsidR="00ED26E2" w:rsidRPr="00ED26E2">
        <w:rPr>
          <w:lang w:val="mk-MK"/>
        </w:rPr>
        <w:t>претставува редок пример на голем</w:t>
      </w:r>
      <w:r w:rsidR="00ED26E2">
        <w:rPr>
          <w:lang w:val="mk-MK"/>
        </w:rPr>
        <w:t xml:space="preserve"> ентитет што</w:t>
      </w:r>
      <w:r w:rsidR="00ED26E2" w:rsidRPr="00ED26E2">
        <w:rPr>
          <w:lang w:val="mk-MK"/>
        </w:rPr>
        <w:t xml:space="preserve"> функционира по модел на вработеничко сопствеништво. Основана на принципите на кооперација и партиципативна демократија од страна на Џон Спедан Луис во 20-от век, компанијата им ја доделува сопственоста на своите вработени</w:t>
      </w:r>
      <w:r w:rsidR="00BE4278">
        <w:rPr>
          <w:lang w:val="mk-MK"/>
        </w:rPr>
        <w:t>,</w:t>
      </w:r>
      <w:r w:rsidR="00ED26E2" w:rsidRPr="00ED26E2">
        <w:rPr>
          <w:lang w:val="mk-MK"/>
        </w:rPr>
        <w:t xml:space="preserve"> т.н. „партнери“</w:t>
      </w:r>
      <w:r w:rsidR="00BE4278">
        <w:rPr>
          <w:lang w:val="mk-MK"/>
        </w:rPr>
        <w:t>,</w:t>
      </w:r>
      <w:r w:rsidR="00ED26E2" w:rsidRPr="00ED26E2">
        <w:rPr>
          <w:lang w:val="mk-MK"/>
        </w:rPr>
        <w:t xml:space="preserve"> кои преку интерни тела учествуваат во управувањето, добиваат дел од профитот и имаат право на глас по клучни прашања. </w:t>
      </w:r>
      <w:r w:rsidRPr="00F53881">
        <w:rPr>
          <w:lang w:val="mk-MK"/>
        </w:rPr>
        <w:t xml:space="preserve">Вработените-сопственици учествуваат во одлучувањето на компанијата преку демократски структури притоа остварувајќи корист од финансиската сопственост. Достапните податоци за случајот на Џон Луис покажуваат дека оваа комбинација на партиципативно управување и акционерство создава високо мотивирана работна сила со силно чувство на лојалност </w:t>
      </w:r>
      <w:r w:rsidRPr="00F53881">
        <w:rPr>
          <w:lang w:val="mk-MK"/>
        </w:rPr>
        <w:lastRenderedPageBreak/>
        <w:t>и споделена одговорност за успехот на компанијата.</w:t>
      </w:r>
      <w:r w:rsidR="0029300D">
        <w:rPr>
          <w:rStyle w:val="FootnoteReference"/>
          <w:lang w:val="mk-MK"/>
        </w:rPr>
        <w:footnoteReference w:id="247"/>
      </w:r>
      <w:r w:rsidRPr="00F53881">
        <w:rPr>
          <w:lang w:val="mk-MK"/>
        </w:rPr>
        <w:t xml:space="preserve"> Во секој случај, позитивните мотиви за имплементација на работничко акционерство се подобрените економски перформанси преку зголемена кооперативност на работното место,</w:t>
      </w:r>
      <w:r w:rsidRPr="00F53881">
        <w:rPr>
          <w:rStyle w:val="FootnoteReference"/>
          <w:lang w:val="mk-MK"/>
        </w:rPr>
        <w:footnoteReference w:id="248"/>
      </w:r>
      <w:r w:rsidRPr="00F53881">
        <w:rPr>
          <w:lang w:val="mk-MK"/>
        </w:rPr>
        <w:t xml:space="preserve"> како и подобрата размена на информации и </w:t>
      </w:r>
      <w:r w:rsidR="00947978">
        <w:rPr>
          <w:lang w:val="mk-MK"/>
        </w:rPr>
        <w:t xml:space="preserve">зголемената </w:t>
      </w:r>
      <w:r w:rsidRPr="00F53881">
        <w:rPr>
          <w:lang w:val="mk-MK"/>
        </w:rPr>
        <w:t>дистрибуција на новосоздаденото богатство.</w:t>
      </w:r>
      <w:r w:rsidRPr="00F53881">
        <w:rPr>
          <w:rStyle w:val="FootnoteReference"/>
          <w:lang w:val="mk-MK"/>
        </w:rPr>
        <w:footnoteReference w:id="249"/>
      </w:r>
      <w:r w:rsidRPr="00F53881">
        <w:rPr>
          <w:lang w:val="mk-MK"/>
        </w:rPr>
        <w:t xml:space="preserve"> Дополнително, застапеноста на вработените во својство на акционери во собранието</w:t>
      </w:r>
      <w:r w:rsidR="00420FEC">
        <w:rPr>
          <w:lang w:val="mk-MK"/>
        </w:rPr>
        <w:t>,</w:t>
      </w:r>
      <w:r w:rsidRPr="00F53881">
        <w:rPr>
          <w:lang w:val="mk-MK"/>
        </w:rPr>
        <w:t xml:space="preserve"> ќе им овозможи да го контролираат менаџментот во неговата можна намера да ја експроприра вредноста на нивниот влог.</w:t>
      </w:r>
    </w:p>
    <w:p w14:paraId="203CD22A" w14:textId="40F2791A" w:rsidR="00ED2B59" w:rsidRPr="00F53881" w:rsidRDefault="00ED2B59" w:rsidP="00ED2B59">
      <w:pPr>
        <w:pStyle w:val="BodyText"/>
        <w:spacing w:before="240"/>
        <w:ind w:firstLine="720"/>
        <w:jc w:val="both"/>
        <w:rPr>
          <w:lang w:val="mk-MK"/>
        </w:rPr>
      </w:pPr>
      <w:r w:rsidRPr="00F53881">
        <w:rPr>
          <w:lang w:val="mk-MK"/>
        </w:rPr>
        <w:t>Од опкружувањето, примерот на Федерацијата на Босна и Херцеговина може да се издвои како релевантен во овој поглед.</w:t>
      </w:r>
      <w:r w:rsidRPr="00F53881">
        <w:rPr>
          <w:rStyle w:val="FootnoteReference"/>
          <w:lang w:val="mk-MK"/>
        </w:rPr>
        <w:footnoteReference w:id="250"/>
      </w:r>
      <w:r w:rsidRPr="00F53881">
        <w:rPr>
          <w:lang w:val="mk-MK"/>
        </w:rPr>
        <w:t xml:space="preserve"> Имено, во членот 205 од Законот за трговските друштва</w:t>
      </w:r>
      <w:r w:rsidR="00043A0D">
        <w:rPr>
          <w:lang w:val="en-US"/>
        </w:rPr>
        <w:t xml:space="preserve"> </w:t>
      </w:r>
      <w:r w:rsidR="00043A0D">
        <w:rPr>
          <w:lang w:val="mk-MK"/>
        </w:rPr>
        <w:t>на БиХ</w:t>
      </w:r>
      <w:r w:rsidRPr="00F53881">
        <w:rPr>
          <w:lang w:val="mk-MK"/>
        </w:rPr>
        <w:t xml:space="preserve"> се овозможува со статутот на друштвото да се предвиди можност за издавање на посебна емисија на акции за вработените, за што е потребна одлука на собранието на друштвото, согласно членот 129 или со одлука на надзорниот одбор, согласно членот 130 од истиот Закон.</w:t>
      </w:r>
      <w:r w:rsidRPr="00F53881">
        <w:rPr>
          <w:rStyle w:val="FootnoteReference"/>
          <w:lang w:val="mk-MK"/>
        </w:rPr>
        <w:footnoteReference w:id="251"/>
      </w:r>
      <w:r w:rsidRPr="00F53881">
        <w:rPr>
          <w:lang w:val="mk-MK"/>
        </w:rPr>
        <w:t xml:space="preserve"> Дополнително, во ставот 2 од членот 205 се предвидува вкупниот збир на номиналната вредност на сите акции издадени на вработените да не може да биде поголем од 5% од основната главнина на друштвото. Интересни се одредбите од членот 206 од истиот Закон, според кои, прво, овие акции можат да се пренесуваат само помеѓу вработените и второ, правата од акциите престануваат со смрт на работникот или со прекин на работниот однос.</w:t>
      </w:r>
      <w:r w:rsidRPr="00F53881">
        <w:rPr>
          <w:rStyle w:val="FootnoteReference"/>
          <w:lang w:val="mk-MK"/>
        </w:rPr>
        <w:footnoteReference w:id="252"/>
      </w:r>
      <w:r w:rsidRPr="00F53881">
        <w:rPr>
          <w:lang w:val="mk-MK"/>
        </w:rPr>
        <w:t xml:space="preserve"> Во основа, може да се забележи дека не се работи за апсолутно преносливи акции, туку дека постојат одредени ограничувања во таа смисла.</w:t>
      </w:r>
      <w:r w:rsidRPr="00F53881">
        <w:rPr>
          <w:rStyle w:val="FootnoteReference"/>
          <w:lang w:val="mk-MK"/>
        </w:rPr>
        <w:footnoteReference w:id="253"/>
      </w:r>
      <w:r w:rsidRPr="00F53881">
        <w:rPr>
          <w:lang w:val="mk-MK"/>
        </w:rPr>
        <w:t xml:space="preserve"> </w:t>
      </w:r>
    </w:p>
    <w:p w14:paraId="58574E80" w14:textId="05D08ABD" w:rsidR="00ED2B59" w:rsidRPr="00F53881" w:rsidRDefault="00ED2B59" w:rsidP="00ED2B59">
      <w:pPr>
        <w:pStyle w:val="BodyText"/>
        <w:spacing w:before="240"/>
        <w:ind w:firstLine="720"/>
        <w:jc w:val="both"/>
        <w:rPr>
          <w:lang w:val="mk-MK"/>
        </w:rPr>
      </w:pPr>
      <w:r w:rsidRPr="00F53881">
        <w:rPr>
          <w:lang w:val="mk-MK"/>
        </w:rPr>
        <w:t>Конечно, битно е да се потенцира дека со работничкото акционерство се постигнува вработените да имаат две основни економски цели: да примаат редовна плата и да работат поефикасно во функција на цената на нивните акции на пазарот на капитал.</w:t>
      </w:r>
      <w:r w:rsidRPr="00F53881">
        <w:rPr>
          <w:rStyle w:val="FootnoteReference"/>
          <w:lang w:val="mk-MK"/>
        </w:rPr>
        <w:footnoteReference w:id="254"/>
      </w:r>
      <w:r w:rsidRPr="00F53881">
        <w:rPr>
          <w:lang w:val="mk-MK"/>
        </w:rPr>
        <w:t xml:space="preserve"> Сепак, не треба да се занемарат и одредените предизвици кои можат да се јават како причини и последици на работничкото акционерство. Имено, Компаниите најчесто пристапуваат кон издавање акции на вработените само во случај кога не можат или имаат тешкотии во обезбедувањето финансирање преку надворешен капитал.</w:t>
      </w:r>
      <w:r w:rsidRPr="00F53881">
        <w:rPr>
          <w:rStyle w:val="FootnoteReference"/>
          <w:lang w:val="mk-MK"/>
        </w:rPr>
        <w:footnoteReference w:id="255"/>
      </w:r>
      <w:r w:rsidRPr="00F53881">
        <w:rPr>
          <w:lang w:val="mk-MK"/>
        </w:rPr>
        <w:t xml:space="preserve"> Работниците, од своја страна, се согласуваат да им се намалат платите, но за возврат да ги задржат работните места и како компензација да добијат акции на трговското друштво во која се вработени, особено кога трговското друштво се соочува со сериозни финансиски тешкотии.</w:t>
      </w:r>
      <w:r w:rsidRPr="00F53881">
        <w:rPr>
          <w:rStyle w:val="FootnoteReference"/>
          <w:lang w:val="mk-MK"/>
        </w:rPr>
        <w:footnoteReference w:id="256"/>
      </w:r>
      <w:r w:rsidRPr="00F53881">
        <w:rPr>
          <w:lang w:val="mk-MK"/>
        </w:rPr>
        <w:t xml:space="preserve"> Ова укажува дека е возможно уште од самиот старт да се создаде систем во кој нема меѓусебна доверба.</w:t>
      </w:r>
      <w:r w:rsidR="00B24B7F">
        <w:rPr>
          <w:rStyle w:val="FootnoteReference"/>
          <w:lang w:val="mk-MK"/>
        </w:rPr>
        <w:footnoteReference w:id="257"/>
      </w:r>
      <w:r w:rsidRPr="00F53881">
        <w:rPr>
          <w:lang w:val="mk-MK"/>
        </w:rPr>
        <w:t xml:space="preserve"> </w:t>
      </w:r>
    </w:p>
    <w:p w14:paraId="286B7C03" w14:textId="266E8A43" w:rsidR="00ED2B59" w:rsidRPr="00F53881" w:rsidRDefault="00ED2B59" w:rsidP="00ED2B59">
      <w:pPr>
        <w:pStyle w:val="BodyText"/>
        <w:spacing w:before="240" w:after="240"/>
        <w:ind w:firstLine="720"/>
        <w:jc w:val="both"/>
        <w:rPr>
          <w:lang w:val="mk-MK"/>
        </w:rPr>
      </w:pPr>
      <w:r w:rsidRPr="00F53881">
        <w:rPr>
          <w:lang w:val="mk-MK"/>
        </w:rPr>
        <w:t xml:space="preserve">Понатаму, работничкото акционерство може да послужи како инструмент за </w:t>
      </w:r>
      <w:r w:rsidRPr="00F53881">
        <w:rPr>
          <w:lang w:val="mk-MK"/>
        </w:rPr>
        <w:lastRenderedPageBreak/>
        <w:t>менување или дополнување на моделот на корпоративно управување во одредена земја.</w:t>
      </w:r>
      <w:r w:rsidRPr="00F53881">
        <w:rPr>
          <w:rStyle w:val="FootnoteReference"/>
          <w:lang w:val="mk-MK"/>
        </w:rPr>
        <w:footnoteReference w:id="258"/>
      </w:r>
      <w:r w:rsidRPr="00F53881">
        <w:rPr>
          <w:lang w:val="mk-MK"/>
        </w:rPr>
        <w:t xml:space="preserve"> </w:t>
      </w:r>
      <w:r w:rsidR="00104C6A">
        <w:rPr>
          <w:lang w:val="mk-MK"/>
        </w:rPr>
        <w:t>На пример, н</w:t>
      </w:r>
      <w:r w:rsidRPr="00F53881">
        <w:rPr>
          <w:lang w:val="mk-MK"/>
        </w:rPr>
        <w:t>аместо организирање на вработените во класични синдикати,</w:t>
      </w:r>
      <w:r w:rsidRPr="00F53881">
        <w:rPr>
          <w:rStyle w:val="FootnoteReference"/>
          <w:lang w:val="mk-MK"/>
        </w:rPr>
        <w:footnoteReference w:id="259"/>
      </w:r>
      <w:r w:rsidRPr="00F53881">
        <w:rPr>
          <w:lang w:val="mk-MK"/>
        </w:rPr>
        <w:t xml:space="preserve"> кое станува се помалку популарно,</w:t>
      </w:r>
      <w:r w:rsidRPr="00F53881">
        <w:rPr>
          <w:rStyle w:val="FootnoteReference"/>
          <w:lang w:val="mk-MK"/>
        </w:rPr>
        <w:footnoteReference w:id="260"/>
      </w:r>
      <w:r w:rsidRPr="00F53881">
        <w:rPr>
          <w:lang w:val="mk-MK"/>
        </w:rPr>
        <w:t xml:space="preserve"> тие можат да се организираат врз несиндикална основа како посебни акционерски групи или пензиски фондови.</w:t>
      </w:r>
      <w:r w:rsidRPr="00F53881">
        <w:rPr>
          <w:rStyle w:val="FootnoteReference"/>
          <w:lang w:val="mk-MK"/>
        </w:rPr>
        <w:footnoteReference w:id="261"/>
      </w:r>
      <w:r w:rsidRPr="00F53881">
        <w:rPr>
          <w:lang w:val="mk-MK"/>
        </w:rPr>
        <w:t xml:space="preserve"> Синдикатите на овој начин стануваат моќни играчи во институционалното акционерско движење преку различна форма на дејствување.</w:t>
      </w:r>
      <w:r w:rsidRPr="00F53881">
        <w:rPr>
          <w:rStyle w:val="FootnoteReference"/>
          <w:lang w:val="mk-MK"/>
        </w:rPr>
        <w:footnoteReference w:id="262"/>
      </w:r>
      <w:r w:rsidRPr="00F53881">
        <w:rPr>
          <w:lang w:val="mk-MK"/>
        </w:rPr>
        <w:t xml:space="preserve"> Преку ова здружување трудовите акционери можат да го достигнат потребниот минимум акционерска сопственост за да именуваат свои претставници во органите на управување во трговското друштво.</w:t>
      </w:r>
      <w:r w:rsidRPr="00F53881">
        <w:rPr>
          <w:rStyle w:val="FootnoteReference"/>
          <w:lang w:val="mk-MK"/>
        </w:rPr>
        <w:footnoteReference w:id="263"/>
      </w:r>
      <w:r w:rsidRPr="00F53881">
        <w:rPr>
          <w:lang w:val="mk-MK"/>
        </w:rPr>
        <w:t xml:space="preserve"> </w:t>
      </w:r>
    </w:p>
    <w:p w14:paraId="3E814E11" w14:textId="7626EF79" w:rsidR="00ED2B59" w:rsidRPr="00F53881" w:rsidRDefault="00ED2B59" w:rsidP="00A965CA">
      <w:pPr>
        <w:pStyle w:val="BodyText"/>
        <w:spacing w:before="240" w:after="240"/>
        <w:ind w:firstLine="720"/>
        <w:jc w:val="both"/>
        <w:rPr>
          <w:lang w:val="mk-MK"/>
        </w:rPr>
      </w:pPr>
      <w:r w:rsidRPr="00F53881">
        <w:rPr>
          <w:lang w:val="mk-MK"/>
        </w:rPr>
        <w:t>Последно, при анализа на материјата за учество на вработените во управувањето со компаниите, треба да се има предвид дека доаѓа до суштински промени во структурата и природата на класичните работни односи.</w:t>
      </w:r>
      <w:r w:rsidRPr="00F53881">
        <w:rPr>
          <w:rStyle w:val="FootnoteReference"/>
          <w:lang w:val="mk-MK"/>
        </w:rPr>
        <w:footnoteReference w:id="264"/>
      </w:r>
      <w:r w:rsidRPr="00F53881">
        <w:rPr>
          <w:lang w:val="mk-MK"/>
        </w:rPr>
        <w:t xml:space="preserve"> Значи, мобилноста и отвореноста на пазарот на труд стануваат императив на модерното живеење и природно се наметнува прашањето дали воопшто може да се зборува за долгорочна лојалност на трудот кон трговското друштво или на работното место</w:t>
      </w:r>
      <w:r w:rsidR="008D570E">
        <w:rPr>
          <w:lang w:val="en-US"/>
        </w:rPr>
        <w:t xml:space="preserve"> </w:t>
      </w:r>
      <w:r w:rsidR="008D570E">
        <w:rPr>
          <w:lang w:val="mk-MK"/>
        </w:rPr>
        <w:t>и што впрочем тоа значи</w:t>
      </w:r>
      <w:r w:rsidRPr="00F53881">
        <w:rPr>
          <w:lang w:val="mk-MK"/>
        </w:rPr>
        <w:t>.</w:t>
      </w:r>
      <w:r w:rsidRPr="00F53881">
        <w:rPr>
          <w:rStyle w:val="FootnoteReference"/>
          <w:lang w:val="mk-MK"/>
        </w:rPr>
        <w:footnoteReference w:id="265"/>
      </w:r>
      <w:r w:rsidRPr="00F53881">
        <w:rPr>
          <w:lang w:val="mk-MK"/>
        </w:rPr>
        <w:t xml:space="preserve"> Ова ги прави особен</w:t>
      </w:r>
      <w:r w:rsidR="00A57B8E">
        <w:rPr>
          <w:lang w:val="mk-MK"/>
        </w:rPr>
        <w:t>о</w:t>
      </w:r>
      <w:r w:rsidRPr="00F53881">
        <w:rPr>
          <w:lang w:val="mk-MK"/>
        </w:rPr>
        <w:t xml:space="preserve"> интересни хибридните модели кои се повеќе се гледаат како сеопфатен пристап за максимизирање на ангажираноста на вработените бидејќи тие се однесуваат и на потребата за учество во донесувањето одлуки и на желбата за опипливи финансиски награди. Со испитување на студии на случај</w:t>
      </w:r>
      <w:r w:rsidR="00A57B8E">
        <w:rPr>
          <w:lang w:val="mk-MK"/>
        </w:rPr>
        <w:t>,</w:t>
      </w:r>
      <w:r w:rsidRPr="00F53881">
        <w:rPr>
          <w:lang w:val="mk-MK"/>
        </w:rPr>
        <w:t xml:space="preserve"> како што е корпорацијата Мондрагон во Шпанија, каде вработените се и сопственици и носители на одлуки, ова истражување има за цел да ги идентификува синергиите и компромисите вклучени во комбинирањето на овие модели. Хибридните модели нудат потенцијал за зголемено задоволство на вработените, подобрени перформанси на компанијата и долгорочна организациска отпорност.</w:t>
      </w:r>
      <w:r w:rsidRPr="00F53881">
        <w:rPr>
          <w:rStyle w:val="FootnoteReference"/>
          <w:lang w:val="mk-MK"/>
        </w:rPr>
        <w:footnoteReference w:id="266"/>
      </w:r>
      <w:r w:rsidRPr="00F53881">
        <w:rPr>
          <w:lang w:val="mk-MK"/>
        </w:rPr>
        <w:t xml:space="preserve"> </w:t>
      </w:r>
    </w:p>
    <w:p w14:paraId="019CA6E4" w14:textId="5A54EBF3" w:rsidR="00ED2B59" w:rsidRPr="00F53881" w:rsidRDefault="00ED2B59" w:rsidP="009330C0">
      <w:pPr>
        <w:pStyle w:val="Heading1"/>
        <w:numPr>
          <w:ilvl w:val="0"/>
          <w:numId w:val="11"/>
        </w:numPr>
        <w:rPr>
          <w:lang w:val="mk-MK"/>
        </w:rPr>
      </w:pPr>
      <w:bookmarkStart w:id="18" w:name="_Toc230523871"/>
      <w:r w:rsidRPr="00F53881">
        <w:rPr>
          <w:lang w:val="mk-MK"/>
        </w:rPr>
        <w:t>Компаративна анализа: вработени наспроти стекнување акции</w:t>
      </w:r>
      <w:bookmarkEnd w:id="18"/>
    </w:p>
    <w:p w14:paraId="71BB1B98" w14:textId="28BE82F5" w:rsidR="00ED2B59" w:rsidRPr="00F53881" w:rsidRDefault="00ED2B59" w:rsidP="00ED2B59">
      <w:pPr>
        <w:pStyle w:val="BodyText"/>
        <w:spacing w:before="240"/>
        <w:ind w:firstLine="720"/>
        <w:jc w:val="both"/>
        <w:rPr>
          <w:lang w:val="mk-MK"/>
        </w:rPr>
      </w:pPr>
      <w:r w:rsidRPr="00F53881">
        <w:rPr>
          <w:lang w:val="mk-MK"/>
        </w:rPr>
        <w:t xml:space="preserve">Прегледот на достигнувањата во научноистражувачката област на двата модели анализира како </w:t>
      </w:r>
      <w:r w:rsidR="006B3955">
        <w:rPr>
          <w:lang w:val="mk-MK"/>
        </w:rPr>
        <w:t>тие</w:t>
      </w:r>
      <w:r w:rsidRPr="00F53881">
        <w:rPr>
          <w:lang w:val="mk-MK"/>
        </w:rPr>
        <w:t xml:space="preserve"> влијаат на ангажираноста на вработените и на организациските резултати.</w:t>
      </w:r>
      <w:r w:rsidRPr="00F53881">
        <w:rPr>
          <w:rStyle w:val="FootnoteReference"/>
          <w:lang w:val="mk-MK"/>
        </w:rPr>
        <w:footnoteReference w:id="267"/>
      </w:r>
      <w:r w:rsidRPr="00F53881">
        <w:rPr>
          <w:lang w:val="mk-MK"/>
        </w:rPr>
        <w:t xml:space="preserve"> Застапеноста на вработените во телата на компанијата првенствено се гледа како механизам за демократско учество, давајќи им на работниците глас во </w:t>
      </w:r>
      <w:r w:rsidRPr="00F53881">
        <w:rPr>
          <w:lang w:val="mk-MK"/>
        </w:rPr>
        <w:lastRenderedPageBreak/>
        <w:t>корпоративното управување.</w:t>
      </w:r>
      <w:r w:rsidRPr="00F53881">
        <w:rPr>
          <w:rStyle w:val="FootnoteReference"/>
          <w:lang w:val="mk-MK"/>
        </w:rPr>
        <w:footnoteReference w:id="268"/>
      </w:r>
      <w:r w:rsidRPr="00F53881">
        <w:rPr>
          <w:lang w:val="mk-MK"/>
        </w:rPr>
        <w:t xml:space="preserve"> Овој модел има тенденција да го подобри ангажманот преку поттикнување доверба, зајакнување на комуникацијата помеѓу раководството и вработените и правејќи ги вработените да се чувствуваат ценети. Сепак, директните финансиски стимулации во овој модел обично се ограничени, што може да ја намали неговата способност да ги мотивира вработените на ист начин како на пример сопственоста на акции.</w:t>
      </w:r>
      <w:r w:rsidRPr="00F53881">
        <w:rPr>
          <w:rStyle w:val="FootnoteReference"/>
          <w:lang w:val="mk-MK"/>
        </w:rPr>
        <w:footnoteReference w:id="269"/>
      </w:r>
      <w:r w:rsidRPr="00F53881">
        <w:rPr>
          <w:lang w:val="mk-MK"/>
        </w:rPr>
        <w:t xml:space="preserve"> </w:t>
      </w:r>
    </w:p>
    <w:p w14:paraId="321E7ADA" w14:textId="6972412B" w:rsidR="00ED2B59" w:rsidRPr="00F53881" w:rsidRDefault="00ED2B59" w:rsidP="00ED2B59">
      <w:pPr>
        <w:pStyle w:val="BodyText"/>
        <w:spacing w:before="240"/>
        <w:ind w:firstLine="720"/>
        <w:jc w:val="both"/>
        <w:rPr>
          <w:lang w:val="mk-MK"/>
        </w:rPr>
      </w:pPr>
      <w:r w:rsidRPr="00F53881">
        <w:rPr>
          <w:lang w:val="mk-MK"/>
        </w:rPr>
        <w:t xml:space="preserve">Од друга страна, стекнувањето удел на вработените создава директни финансиски стимулации </w:t>
      </w:r>
      <w:r w:rsidR="00662ADF">
        <w:rPr>
          <w:lang w:val="mk-MK"/>
        </w:rPr>
        <w:t>тие</w:t>
      </w:r>
      <w:r w:rsidRPr="00F53881">
        <w:rPr>
          <w:lang w:val="mk-MK"/>
        </w:rPr>
        <w:t xml:space="preserve"> да се вклучат во успехот на компанијата.</w:t>
      </w:r>
      <w:r w:rsidRPr="00F53881">
        <w:rPr>
          <w:rStyle w:val="FootnoteReference"/>
          <w:lang w:val="mk-MK"/>
        </w:rPr>
        <w:footnoteReference w:id="270"/>
      </w:r>
      <w:r w:rsidRPr="00F53881">
        <w:rPr>
          <w:lang w:val="mk-MK"/>
        </w:rPr>
        <w:t xml:space="preserve"> Научните истражувања постојано покажуваат дека финансиската сопственост води до поголеми лични инвестиции во перформансите на компанијата, што се претвора во поголема продуктивност и посветеност. Сепак, моделот на стекнување акции не е без свои предизвици. Колапсот на</w:t>
      </w:r>
      <w:r w:rsidRPr="00F53881">
        <w:rPr>
          <w:lang w:val="en-US"/>
        </w:rPr>
        <w:t xml:space="preserve"> </w:t>
      </w:r>
      <w:r w:rsidRPr="00F53881">
        <w:rPr>
          <w:lang w:val="mk-MK"/>
        </w:rPr>
        <w:t>компанијата Енрон често се истакнува како пример за ризиците вклучени во сопственоста на акциите на вработените.</w:t>
      </w:r>
      <w:r w:rsidRPr="00F53881">
        <w:rPr>
          <w:rStyle w:val="FootnoteReference"/>
          <w:lang w:val="mk-MK"/>
        </w:rPr>
        <w:footnoteReference w:id="271"/>
      </w:r>
      <w:r w:rsidRPr="00F53881">
        <w:rPr>
          <w:lang w:val="mk-MK"/>
        </w:rPr>
        <w:t xml:space="preserve"> Во конкретниот случај, многу вработени во Енрон поседувале значителни делови од нивните пензиски заштеди во акции на компанијата, кои станале безвредни кога компанијата пропаднала, што довело до финансиска пропаст за вработените. Ова ја нагласува важноста на диверзификацијата и потребата од регулаторни заштитни мерки </w:t>
      </w:r>
      <w:r w:rsidR="00C75D79">
        <w:rPr>
          <w:lang w:val="mk-MK"/>
        </w:rPr>
        <w:t>кон</w:t>
      </w:r>
      <w:r w:rsidRPr="00F53881">
        <w:rPr>
          <w:lang w:val="mk-MK"/>
        </w:rPr>
        <w:t xml:space="preserve"> акционерите помеѓу вработените од прекумерна финансиска изложеност на ризиците кои ја следат компанијата.</w:t>
      </w:r>
      <w:r w:rsidRPr="00F53881">
        <w:rPr>
          <w:rStyle w:val="FootnoteReference"/>
          <w:lang w:val="mk-MK"/>
        </w:rPr>
        <w:footnoteReference w:id="272"/>
      </w:r>
    </w:p>
    <w:p w14:paraId="565BBA1C" w14:textId="489EA4FF" w:rsidR="00ED2B59" w:rsidRPr="00F53881" w:rsidRDefault="00ED2B59" w:rsidP="005F2ECB">
      <w:pPr>
        <w:pStyle w:val="BodyText"/>
        <w:spacing w:before="240" w:after="240"/>
        <w:ind w:firstLine="720"/>
        <w:jc w:val="both"/>
        <w:rPr>
          <w:lang w:val="mk-MK"/>
        </w:rPr>
      </w:pPr>
      <w:r w:rsidRPr="00F53881">
        <w:rPr>
          <w:lang w:val="mk-MK"/>
        </w:rPr>
        <w:t>Во секој случај, ова истражување е фокусирано на компаративна анализа на двата истакнати модели на ангажирање на вработените. Централната цел на докторската дисертација е да се истражи како овие модели влијаат на клучните организациски исходи, како што се корпоративната култура, транспарентноста, правото на трговските друштва, мотивацијата на вработените, моќта за одлучување, лојалноста и севкупните организациски перформанси. Овие модели одразуваат две различни парадигми на учество на вработените: едната заснована на управување и стратешко влијание, а другата базирана на финансиска сопственост и усогласување со корпоративниот успех. Оттаму, истражувањето се обидува да придонесе за тековниот дискурс во деловното право, организациското однесување и корпоративното управување со обезбедување детално разбирање за тоа како различните модели на вклученост на вработените можат да ја обликуваат културата на компанијата, да ја подобрат продуктивноста и да создадат поангажирана и помотивирана работна сила. Наодите се наменети да понудат практични сознанија за креаторите на политики, бизнис лидерите и научниците заинтересирани за поттикнување на поинклузивни и одржливи организациски средини преку иновативни пристапи за ангажирање на вработените и особено имајќи ги предвид тековните предлог измени на Законот за трговските друштва</w:t>
      </w:r>
      <w:r w:rsidR="00852A86">
        <w:rPr>
          <w:lang w:val="mk-MK"/>
        </w:rPr>
        <w:t xml:space="preserve"> на Македонија</w:t>
      </w:r>
      <w:r w:rsidRPr="00F53881">
        <w:rPr>
          <w:lang w:val="mk-MK"/>
        </w:rPr>
        <w:t>.</w:t>
      </w:r>
    </w:p>
    <w:p w14:paraId="17FFB7DD" w14:textId="28BCCD5F" w:rsidR="00ED2B59" w:rsidRPr="00F53881" w:rsidRDefault="00ED2B59" w:rsidP="009330C0">
      <w:pPr>
        <w:pStyle w:val="Heading1"/>
        <w:numPr>
          <w:ilvl w:val="0"/>
          <w:numId w:val="11"/>
        </w:numPr>
      </w:pPr>
      <w:bookmarkStart w:id="19" w:name="_Toc230523872"/>
      <w:r w:rsidRPr="00F53881">
        <w:rPr>
          <w:lang w:val="mk-MK"/>
        </w:rPr>
        <w:t>Корпоративното уредување и вклученоста на вработените во Македонија</w:t>
      </w:r>
      <w:bookmarkEnd w:id="19"/>
    </w:p>
    <w:p w14:paraId="483D5E25" w14:textId="7E46B1AB" w:rsidR="00ED2B59" w:rsidRPr="00F53881" w:rsidRDefault="00ED2B59" w:rsidP="00DA69EA">
      <w:pPr>
        <w:pStyle w:val="BodyText"/>
        <w:spacing w:before="240"/>
        <w:ind w:firstLine="720"/>
        <w:jc w:val="both"/>
        <w:rPr>
          <w:lang w:val="mk-MK"/>
        </w:rPr>
      </w:pPr>
      <w:r w:rsidRPr="00F53881">
        <w:rPr>
          <w:lang w:val="mk-MK"/>
        </w:rPr>
        <w:t>Основниот текст кој ја регулира проблематиката која е предмет на истражување во домашното законодавство е Законот за трговските друштва.</w:t>
      </w:r>
      <w:r w:rsidRPr="00F53881">
        <w:rPr>
          <w:rStyle w:val="FootnoteReference"/>
          <w:lang w:val="mk-MK"/>
        </w:rPr>
        <w:footnoteReference w:id="273"/>
      </w:r>
      <w:r w:rsidRPr="00F53881">
        <w:rPr>
          <w:lang w:val="mk-MK"/>
        </w:rPr>
        <w:t xml:space="preserve"> Сепак, во неговата </w:t>
      </w:r>
      <w:r w:rsidRPr="00F53881">
        <w:rPr>
          <w:lang w:val="mk-MK"/>
        </w:rPr>
        <w:lastRenderedPageBreak/>
        <w:t>сегашна форма, законот или кој било друг дел од законодавство</w:t>
      </w:r>
      <w:r w:rsidR="00E61F4B">
        <w:rPr>
          <w:lang w:val="mk-MK"/>
        </w:rPr>
        <w:t>то</w:t>
      </w:r>
      <w:r w:rsidRPr="00F53881">
        <w:rPr>
          <w:lang w:val="mk-MK"/>
        </w:rPr>
        <w:t>, воопшто не ја уредува оваа материја и остава целосно слободен простор за детално истражување и анализи со цел да се предложат најдобри практики и решенија. Евентуалната потреба од измени и прилагодувања на одредбите е централен предмет на интерес на овој труд и целосниот процес ќе ги земе предвид тековните случувања со предложените измени и дискусијата за целосно нов Закон за трговските друштва.</w:t>
      </w:r>
      <w:r w:rsidRPr="00F53881">
        <w:rPr>
          <w:rStyle w:val="FootnoteReference"/>
          <w:lang w:val="mk-MK"/>
        </w:rPr>
        <w:footnoteReference w:id="274"/>
      </w:r>
      <w:r w:rsidRPr="00F53881">
        <w:rPr>
          <w:lang w:val="mk-MK"/>
        </w:rPr>
        <w:t xml:space="preserve"> Со цел постигнување на сеопфатна и квалитетна анализа и заклучоци од овој труд ќе се анализира и поставеноста на ова прашање во широката компаративна литература. Во македонското право на друштва, учеството на вработените во одлучувањето е право загарантирано со Уставот на Република Македонија, во делот во кој што се уредуваат основите на економските односи. Така, согласно членот 58, став 1 од Уставот: „Сопственоста и трудот се основа за управување и учество во одлучувањето.“</w:t>
      </w:r>
      <w:r w:rsidRPr="00F53881">
        <w:rPr>
          <w:rStyle w:val="FootnoteReference"/>
          <w:lang w:val="mk-MK"/>
        </w:rPr>
        <w:footnoteReference w:id="275"/>
      </w:r>
      <w:r w:rsidRPr="00F53881">
        <w:rPr>
          <w:lang w:val="mk-MK"/>
        </w:rPr>
        <w:t xml:space="preserve"> </w:t>
      </w:r>
    </w:p>
    <w:p w14:paraId="75518881" w14:textId="77777777" w:rsidR="00ED2B59" w:rsidRPr="00F53881" w:rsidRDefault="00ED2B59" w:rsidP="00ED2B59">
      <w:pPr>
        <w:pStyle w:val="BodyText"/>
        <w:spacing w:before="240"/>
        <w:ind w:firstLine="720"/>
        <w:jc w:val="both"/>
        <w:rPr>
          <w:lang w:val="mk-MK"/>
        </w:rPr>
      </w:pPr>
      <w:r w:rsidRPr="00F53881">
        <w:rPr>
          <w:lang w:val="mk-MK"/>
        </w:rPr>
        <w:t>Ова уставно право, нормативно се операционализира преку одредбата од членот 342, став 4 од Законот за трговските друштва, која гласи: „Учеството на вработените во управувањето со друштвото се уредува со закон.“. За жал, иако Законот за трговските друштва е донесен во 2004 година, посебниот закон со кој се уредува учеството на вработените во управувањето со друштвото не е донесен ниту две децении покасно, што само по себе зборува каков е третманот на трудот кога се работи за негово вклучување во управувањето.</w:t>
      </w:r>
      <w:r w:rsidRPr="00F53881">
        <w:rPr>
          <w:rStyle w:val="FootnoteReference"/>
          <w:lang w:val="mk-MK"/>
        </w:rPr>
        <w:footnoteReference w:id="276"/>
      </w:r>
      <w:r w:rsidRPr="00F53881">
        <w:rPr>
          <w:lang w:val="mk-MK"/>
        </w:rPr>
        <w:t xml:space="preserve"> Ова особено зачудува заради фактот што и Македонија беше дел од системот на работничко самоуправување кое се практицираше повеќе децении во услови на развој на пазарен социјализам во СФРЈ. Со оглед на тоа што македонското корпоративно управување не ги прифаќа нашироко овие партиципативни модели и тие воопшто не се уредени како такви, ова истражување има за цел да одговори дали нивното воведување би можело да даде слични позитивни резултати во ангажманот на вработените.</w:t>
      </w:r>
      <w:r w:rsidRPr="00F53881">
        <w:rPr>
          <w:rStyle w:val="FootnoteReference"/>
          <w:lang w:val="mk-MK"/>
        </w:rPr>
        <w:footnoteReference w:id="277"/>
      </w:r>
      <w:r w:rsidRPr="00F53881">
        <w:rPr>
          <w:lang w:val="mk-MK"/>
        </w:rPr>
        <w:t xml:space="preserve"> </w:t>
      </w:r>
    </w:p>
    <w:p w14:paraId="53EEBF9D" w14:textId="4D83124A" w:rsidR="00ED2B59" w:rsidRPr="00F53881" w:rsidRDefault="00ED2B59" w:rsidP="00ED2B59">
      <w:pPr>
        <w:pStyle w:val="BodyText"/>
        <w:spacing w:before="240"/>
        <w:ind w:firstLine="720"/>
        <w:jc w:val="both"/>
        <w:rPr>
          <w:lang w:val="mk-MK"/>
        </w:rPr>
      </w:pPr>
      <w:r w:rsidRPr="00F53881">
        <w:rPr>
          <w:lang w:val="mk-MK"/>
        </w:rPr>
        <w:t>Од друга страна, учеството на вработените во управувањето со трговските друштва, не смее да се меша со законската обврска утврдена во одредбата од членот 368, став 3 од ЗТД, според која „Ако одборот на директорите има повеќе од еден извршен член, членовите на одборот на директори со мнозинство гласови определуваат кој извршен член е посебно одговорен за прашањата на вработените и односите со нив.“. Во овој случај се работи за извршен член на одборот на директори кој е избран од собранието на акционери, а не од вработените.</w:t>
      </w:r>
      <w:r w:rsidRPr="00F53881">
        <w:rPr>
          <w:rStyle w:val="FootnoteReference"/>
          <w:lang w:val="mk-MK"/>
        </w:rPr>
        <w:footnoteReference w:id="278"/>
      </w:r>
      <w:r w:rsidRPr="00F53881">
        <w:rPr>
          <w:lang w:val="mk-MK"/>
        </w:rPr>
        <w:t xml:space="preserve"> Во ЗТД правата на вработените во поглед на учество во управувањето можат да се сретнат во контекст на прекугранични статусни промени, сега за сега, само во делот на прекуграничните спојувања во поглед на:</w:t>
      </w:r>
      <w:r w:rsidRPr="00F53881">
        <w:rPr>
          <w:rStyle w:val="FootnoteReference"/>
          <w:lang w:val="mk-MK"/>
        </w:rPr>
        <w:footnoteReference w:id="279"/>
      </w:r>
      <w:r w:rsidRPr="00F53881">
        <w:rPr>
          <w:lang w:val="mk-MK"/>
        </w:rPr>
        <w:t xml:space="preserve"> последиците од прекуграничното спојување по вработените; за постапките согласно кои вработените ќе учествуваат во управување со друштвото; право на увид на ревизорскиот извештај за прекугранично спојување, право на учество, за учеството на вработените во одлучувањето во друштвото кое настанува како резултат на прекугранично спојување, со регистрирано седиште во Македонија, а во согласност со </w:t>
      </w:r>
      <w:r w:rsidRPr="00F53881">
        <w:rPr>
          <w:lang w:val="mk-MK"/>
        </w:rPr>
        <w:lastRenderedPageBreak/>
        <w:t>Законот за европско друштво.</w:t>
      </w:r>
      <w:r w:rsidRPr="00F53881">
        <w:rPr>
          <w:rStyle w:val="FootnoteReference"/>
          <w:lang w:val="mk-MK"/>
        </w:rPr>
        <w:footnoteReference w:id="280"/>
      </w:r>
      <w:r w:rsidRPr="00F53881">
        <w:rPr>
          <w:lang w:val="mk-MK"/>
        </w:rPr>
        <w:t xml:space="preserve"> Повторно, во европско-интегративен контекст, одредби за работничката кодетерминација можат да се најдат во Законот за европски работнички совет. Со овој Закон се уредува основањето на европски работнички совет или утврдување на постапка за информирање и консултирање на вработените во трговски друштва или групации на трговски друштва што работат на ниво на Европската унија.</w:t>
      </w:r>
      <w:r w:rsidR="00963A2B">
        <w:rPr>
          <w:rStyle w:val="FootnoteReference"/>
          <w:lang w:val="mk-MK"/>
        </w:rPr>
        <w:footnoteReference w:id="281"/>
      </w:r>
      <w:r w:rsidRPr="00F53881">
        <w:rPr>
          <w:lang w:val="mk-MK"/>
        </w:rPr>
        <w:t xml:space="preserve"> Примената и на овој закон се врзува со пристапувањето на Македонија во Европската унија. </w:t>
      </w:r>
    </w:p>
    <w:p w14:paraId="0939C287" w14:textId="6ED18DCD" w:rsidR="00ED2B59" w:rsidRPr="00F53881" w:rsidRDefault="00ED2B59" w:rsidP="00ED2B59">
      <w:pPr>
        <w:pStyle w:val="BodyText"/>
        <w:spacing w:before="240"/>
        <w:ind w:firstLine="720"/>
        <w:jc w:val="both"/>
        <w:rPr>
          <w:lang w:val="mk-MK"/>
        </w:rPr>
      </w:pPr>
      <w:r w:rsidRPr="00F53881">
        <w:rPr>
          <w:lang w:val="mk-MK"/>
        </w:rPr>
        <w:t>Изненадувачки, спорадично можат да се сретнат негативни законски одредби во македонската легислатива, во смисла на забрана за учество на вработените во органите на друштвата, особено забраната за нивно учество во надзорните тела.</w:t>
      </w:r>
      <w:r w:rsidRPr="00F53881">
        <w:rPr>
          <w:rStyle w:val="FootnoteReference"/>
          <w:lang w:val="mk-MK"/>
        </w:rPr>
        <w:footnoteReference w:id="282"/>
      </w:r>
      <w:r w:rsidRPr="00F53881">
        <w:rPr>
          <w:lang w:val="mk-MK"/>
        </w:rPr>
        <w:t xml:space="preserve"> Така, на пример, вработен не може да биде избран за член на надзорен одбор или за контролор во друштво со ограничена одговорност.</w:t>
      </w:r>
      <w:r w:rsidRPr="00F53881">
        <w:rPr>
          <w:rStyle w:val="FootnoteReference"/>
          <w:lang w:val="mk-MK"/>
        </w:rPr>
        <w:footnoteReference w:id="283"/>
      </w:r>
      <w:r w:rsidRPr="00F53881">
        <w:rPr>
          <w:lang w:val="mk-MK"/>
        </w:rPr>
        <w:t xml:space="preserve"> Потоа вработен не може да биде избран за член на надзорен орган, односно на надзорен одбор во друштво за осигурување, односно во банка.</w:t>
      </w:r>
      <w:r w:rsidRPr="00F53881">
        <w:rPr>
          <w:rStyle w:val="FootnoteReference"/>
          <w:lang w:val="mk-MK"/>
        </w:rPr>
        <w:footnoteReference w:id="284"/>
      </w:r>
      <w:r w:rsidRPr="00F53881">
        <w:rPr>
          <w:lang w:val="mk-MK"/>
        </w:rPr>
        <w:t xml:space="preserve"> Овие два примери создаваат целосна конфузија зошто на вработените со закон им е оневозможено да членуваат во органите за надзор. Дури и ако се покаже одредено разбирање за друштвата за осигурување или банките поради спецификата, потребното знаење и ризичноста на самите сектори, кога се однесува на надзорот кај друштвата со ограничена одговорност, не би можело да се најде апсолутно никакво оправдување. </w:t>
      </w:r>
    </w:p>
    <w:p w14:paraId="07E87C61" w14:textId="50ABBB24" w:rsidR="00ED2B59" w:rsidRPr="00F53881" w:rsidRDefault="00ED2B59" w:rsidP="00ED2B59">
      <w:pPr>
        <w:pStyle w:val="BodyText"/>
        <w:spacing w:before="240"/>
        <w:ind w:firstLine="720"/>
        <w:jc w:val="both"/>
        <w:rPr>
          <w:lang w:val="mk-MK"/>
        </w:rPr>
      </w:pPr>
      <w:r w:rsidRPr="00F53881">
        <w:rPr>
          <w:lang w:val="mk-MK"/>
        </w:rPr>
        <w:t>Генерално во македонското право, учеството на вработените во управувањето и надзорот на друштвото се сведува на модалитетот на консултирање и информирање. Имено, Законот за работните односи предвидува засебна одредба за информирање на работниците.</w:t>
      </w:r>
      <w:r w:rsidRPr="00F53881">
        <w:rPr>
          <w:rStyle w:val="FootnoteReference"/>
          <w:lang w:val="mk-MK"/>
        </w:rPr>
        <w:footnoteReference w:id="285"/>
      </w:r>
      <w:r w:rsidRPr="00F53881">
        <w:rPr>
          <w:lang w:val="mk-MK"/>
        </w:rPr>
        <w:t xml:space="preserve"> Така, под информирање на работниците согласно членот 94-а став 1 од овој Закон, се подразбира „пренос на податоци од страна на работодавачот до претставниците на работниците за да можат тие да се запознаат со истите и да ги истражат.” Дополнително појаснување од ставот 2 од оваа одредба под консултирање се подразбира, “размена на мислења и воспоставување дијалог помеѓу претставниците на работниците и работодавачот.” Обврската за информирање и консултирање се однесува на трговско друштво, јавно претпријатие и друго правно лице кое има над 50 работници и на установи што имаат над 20 работници. Информирањето и консултирањето опфаќа информирање за блиските и веројатните трендови на активностите на трговско друштво, </w:t>
      </w:r>
      <w:r w:rsidRPr="00F53881">
        <w:rPr>
          <w:lang w:val="mk-MK"/>
        </w:rPr>
        <w:lastRenderedPageBreak/>
        <w:t>нивната економска состојба, како и за состојбата, структурата и веројатниот тек на вработување во трговско</w:t>
      </w:r>
      <w:r w:rsidR="000A545E">
        <w:rPr>
          <w:lang w:val="mk-MK"/>
        </w:rPr>
        <w:t>то</w:t>
      </w:r>
      <w:r w:rsidRPr="00F53881">
        <w:rPr>
          <w:lang w:val="mk-MK"/>
        </w:rPr>
        <w:t xml:space="preserve"> друштво и за секоја предвидена мерка, особено кога постои закана за вработувањата, за одлуките кои можат да доведат до суштински промени во организација на работата или во договорните обврски.</w:t>
      </w:r>
      <w:r w:rsidRPr="00F53881">
        <w:rPr>
          <w:rStyle w:val="FootnoteReference"/>
          <w:lang w:val="mk-MK"/>
        </w:rPr>
        <w:footnoteReference w:id="286"/>
      </w:r>
    </w:p>
    <w:p w14:paraId="7CF845B7" w14:textId="77777777" w:rsidR="00ED2B59" w:rsidRPr="00F53881" w:rsidRDefault="00ED2B59" w:rsidP="00ED2B59">
      <w:pPr>
        <w:pStyle w:val="BodyText"/>
        <w:spacing w:before="240"/>
        <w:ind w:firstLine="720"/>
        <w:jc w:val="both"/>
        <w:rPr>
          <w:lang w:val="mk-MK"/>
        </w:rPr>
      </w:pPr>
      <w:r w:rsidRPr="00F53881">
        <w:rPr>
          <w:lang w:val="mk-MK"/>
        </w:rPr>
        <w:t>Во ставовите 5 и 6 од членот 94-а се уредени начините на овозможување на информациите на работниците и модалитетите на спроведување на консултациите. Работничкото акционерство, како можност, прилично колебливо се уредува во правниот систем на Македонија, иако тоа беше првично уредено со членот 281 од ЗТД, насловен како „Бесплатни акции или акции по повластена цена“. Истиот член беше укинат со измените и дополнувањата на ЗТД од март 2007 година.</w:t>
      </w:r>
      <w:r w:rsidRPr="00F53881">
        <w:rPr>
          <w:rStyle w:val="FootnoteReference"/>
          <w:lang w:val="mk-MK"/>
        </w:rPr>
        <w:footnoteReference w:id="287"/>
      </w:r>
      <w:r w:rsidRPr="00F53881">
        <w:rPr>
          <w:lang w:val="mk-MK"/>
        </w:rPr>
        <w:t xml:space="preserve"> Интересно е што со членот 29 од истите измени од 2007 година повторно се дозволи можноста со статутот на акционерското друштво да може да се определи основање на фонд од којшто вработените можат да стекнат акции на акционерското друштво бесплатно или по повластена цена.</w:t>
      </w:r>
      <w:r w:rsidRPr="00F53881">
        <w:rPr>
          <w:rStyle w:val="FootnoteReference"/>
          <w:lang w:val="mk-MK"/>
        </w:rPr>
        <w:footnoteReference w:id="288"/>
      </w:r>
      <w:r w:rsidRPr="00F53881">
        <w:rPr>
          <w:lang w:val="mk-MK"/>
        </w:rPr>
        <w:t xml:space="preserve"> </w:t>
      </w:r>
    </w:p>
    <w:p w14:paraId="5B976B53" w14:textId="77777777" w:rsidR="00ED2B59" w:rsidRPr="00F53881" w:rsidRDefault="00ED2B59" w:rsidP="00ED2B59">
      <w:pPr>
        <w:pStyle w:val="BodyText"/>
        <w:spacing w:before="240"/>
        <w:ind w:firstLine="720"/>
        <w:jc w:val="both"/>
        <w:rPr>
          <w:lang w:val="mk-MK"/>
        </w:rPr>
      </w:pPr>
      <w:r w:rsidRPr="00F53881">
        <w:rPr>
          <w:lang w:val="mk-MK"/>
        </w:rPr>
        <w:t>Во македонската практика, сосема скромно, можат да се сретнат првични обиди за воведување на работничко соодлучување, односно работничко акционерство. Така, од 1 јануари 2022 година, управувањето на приватната конфекција „Вабо” од Штип премина во рацете на работниците, кои ја користат фабриката со целиот машински парк и со неа стопанисуваат и остваруваат плати според производството и пласманот на производите кои исклучиво се наменети за странскиот пазар. Досега, работниците успешно продолжуваат со бизнисот кој им е доверен на управување.</w:t>
      </w:r>
      <w:r w:rsidRPr="00F53881">
        <w:rPr>
          <w:rStyle w:val="FootnoteReference"/>
          <w:lang w:val="mk-MK"/>
        </w:rPr>
        <w:footnoteReference w:id="289"/>
      </w:r>
      <w:r w:rsidRPr="00F53881">
        <w:rPr>
          <w:lang w:val="mk-MK"/>
        </w:rPr>
        <w:t xml:space="preserve"> </w:t>
      </w:r>
    </w:p>
    <w:p w14:paraId="5AFD3414" w14:textId="7CB65F6C" w:rsidR="00ED2B59" w:rsidRPr="002D02A4" w:rsidRDefault="00ED2B59" w:rsidP="00187606">
      <w:pPr>
        <w:pStyle w:val="BodyText"/>
        <w:spacing w:before="240" w:after="240"/>
        <w:ind w:firstLine="720"/>
        <w:jc w:val="both"/>
        <w:rPr>
          <w:lang w:val="en-US"/>
        </w:rPr>
      </w:pPr>
      <w:r w:rsidRPr="00F53881">
        <w:rPr>
          <w:lang w:val="mk-MK"/>
        </w:rPr>
        <w:t>Вториот пример се однесува на 120 вработени во Винербергер од Виница на кои за постигнатиот успех во текот на 2022 година, друштвото им додели по 20 акции.</w:t>
      </w:r>
      <w:r w:rsidRPr="00F53881">
        <w:rPr>
          <w:rStyle w:val="FootnoteReference"/>
          <w:lang w:val="mk-MK"/>
        </w:rPr>
        <w:footnoteReference w:id="290"/>
      </w:r>
      <w:r w:rsidRPr="00F53881">
        <w:rPr>
          <w:lang w:val="mk-MK"/>
        </w:rPr>
        <w:t xml:space="preserve"> Овие првични искри и изблици природно го поставуваат прашањето дали не е дојдено времето да се размисли за некаква модерна реинкарнација на позитивните страни од социјалистичкиот самоуправен систем, особено во контекст на големите и сложени организации на здружен труд, каде се практикувала сепарацијата на сопственоста од управувањето, слично како во големите акционерски друштва, а се со цел да се искористат во контекст на современото европско и македонско капиталистичко живеење. Токму оваа истражување има за цел да </w:t>
      </w:r>
      <w:r w:rsidR="00652F59">
        <w:rPr>
          <w:lang w:val="mk-MK"/>
        </w:rPr>
        <w:t>открие</w:t>
      </w:r>
      <w:r w:rsidRPr="00F53881">
        <w:rPr>
          <w:lang w:val="mk-MK"/>
        </w:rPr>
        <w:t xml:space="preserve"> како примената на застапеноста на вработените во органите на управување и/или шемите за стекнување акции директно би влијаеле на работата на акционерските друштва во Македонија.</w:t>
      </w:r>
      <w:r w:rsidR="00652F59">
        <w:rPr>
          <w:rStyle w:val="FootnoteReference"/>
          <w:lang w:val="mk-MK"/>
        </w:rPr>
        <w:footnoteReference w:id="291"/>
      </w:r>
      <w:r w:rsidRPr="00F53881">
        <w:rPr>
          <w:lang w:val="mk-MK"/>
        </w:rPr>
        <w:t xml:space="preserve"> Ова ќе биде особено значајно за да се утврди дали компаниите што ги прифаќаат овие модели покажуваат поголема стабилност и иновативност на работната сила, кои се клучни за </w:t>
      </w:r>
      <w:r w:rsidRPr="00F53881">
        <w:rPr>
          <w:lang w:val="mk-MK"/>
        </w:rPr>
        <w:lastRenderedPageBreak/>
        <w:t>напредување во конкурентна деловна средина.</w:t>
      </w:r>
      <w:r w:rsidRPr="00F53881">
        <w:rPr>
          <w:rStyle w:val="FootnoteReference"/>
          <w:lang w:val="mk-MK"/>
        </w:rPr>
        <w:footnoteReference w:id="292"/>
      </w:r>
      <w:r w:rsidRPr="00F53881">
        <w:rPr>
          <w:lang w:val="mk-MK"/>
        </w:rPr>
        <w:t xml:space="preserve"> Оваа теза претпоставува дека македонското корпоративно право, на кое моментално му недостасуваат значителни одредби за вклучување на вработените, мора да еволуира за да вклучи механизми и за застапеност на вработените во управувањето и за финансиско учество преку сопственост на акции.</w:t>
      </w:r>
    </w:p>
    <w:p w14:paraId="3EC3D6CE" w14:textId="4A77BA53" w:rsidR="00ED2B59" w:rsidRPr="00F53881" w:rsidRDefault="004376A8" w:rsidP="009330C0">
      <w:pPr>
        <w:pStyle w:val="Heading1"/>
        <w:numPr>
          <w:ilvl w:val="0"/>
          <w:numId w:val="11"/>
        </w:numPr>
      </w:pPr>
      <w:bookmarkStart w:id="20" w:name="_Toc230523873"/>
      <w:r w:rsidRPr="004376A8">
        <w:rPr>
          <w:lang w:val="mk-MK"/>
        </w:rPr>
        <w:t xml:space="preserve">Директивата </w:t>
      </w:r>
      <w:r>
        <w:rPr>
          <w:lang w:val="mk-MK"/>
        </w:rPr>
        <w:t xml:space="preserve">на </w:t>
      </w:r>
      <w:r w:rsidRPr="004376A8">
        <w:rPr>
          <w:lang w:val="mk-MK"/>
        </w:rPr>
        <w:t>ЕУ</w:t>
      </w:r>
      <w:r>
        <w:rPr>
          <w:lang w:val="mk-MK"/>
        </w:rPr>
        <w:t xml:space="preserve"> број</w:t>
      </w:r>
      <w:r w:rsidRPr="004376A8">
        <w:rPr>
          <w:lang w:val="mk-MK"/>
        </w:rPr>
        <w:t xml:space="preserve"> 2022/2381</w:t>
      </w:r>
      <w:bookmarkEnd w:id="20"/>
    </w:p>
    <w:p w14:paraId="60D9F07D" w14:textId="42829E0F" w:rsidR="005B29BC" w:rsidRDefault="005B29BC" w:rsidP="00FD7651">
      <w:pPr>
        <w:pStyle w:val="BodyText"/>
        <w:spacing w:before="240"/>
        <w:ind w:firstLine="720"/>
        <w:jc w:val="both"/>
        <w:rPr>
          <w:lang w:val="mk-MK"/>
        </w:rPr>
      </w:pPr>
      <w:r w:rsidRPr="005B29BC">
        <w:rPr>
          <w:lang w:val="mk-MK"/>
        </w:rPr>
        <w:t xml:space="preserve">Во современите трендови на корпоративното управување, прашањата за различност, застапеност и родова еднаквост </w:t>
      </w:r>
      <w:r>
        <w:rPr>
          <w:lang w:val="mk-MK"/>
        </w:rPr>
        <w:t xml:space="preserve">веќе </w:t>
      </w:r>
      <w:r w:rsidRPr="005B29BC">
        <w:rPr>
          <w:lang w:val="mk-MK"/>
        </w:rPr>
        <w:t>добиваат сè поголема тежина како конкретни алатки за трансформација на управувачките структури.</w:t>
      </w:r>
      <w:r w:rsidR="00E24EEE">
        <w:rPr>
          <w:rStyle w:val="FootnoteReference"/>
          <w:lang w:val="mk-MK"/>
        </w:rPr>
        <w:footnoteReference w:id="293"/>
      </w:r>
      <w:r w:rsidRPr="005B29BC">
        <w:rPr>
          <w:lang w:val="mk-MK"/>
        </w:rPr>
        <w:t xml:space="preserve"> </w:t>
      </w:r>
      <w:r w:rsidR="00A53E25">
        <w:rPr>
          <w:lang w:val="mk-MK"/>
        </w:rPr>
        <w:t>Конкретно, ф</w:t>
      </w:r>
      <w:r w:rsidRPr="005B29BC">
        <w:rPr>
          <w:lang w:val="mk-MK"/>
        </w:rPr>
        <w:t xml:space="preserve">окусот на родовата еднаквост овозможува нормативен и политички прифатлив влез во пошироката дебата за </w:t>
      </w:r>
      <w:r w:rsidR="00E16AB0">
        <w:rPr>
          <w:lang w:val="mk-MK"/>
        </w:rPr>
        <w:t>вклученост</w:t>
      </w:r>
      <w:r w:rsidRPr="005B29BC">
        <w:rPr>
          <w:lang w:val="mk-MK"/>
        </w:rPr>
        <w:t xml:space="preserve"> во корпоративното управување, вклучувајќи ја и застапеноста на други недоволно претставени групи, меѓу кои и вработените како носители на интереси различни од оние на акционерите.</w:t>
      </w:r>
    </w:p>
    <w:p w14:paraId="399394FE" w14:textId="49FFA334" w:rsidR="00417489" w:rsidRPr="00F53881" w:rsidRDefault="00ED2B59" w:rsidP="00972AEC">
      <w:pPr>
        <w:pStyle w:val="BodyText"/>
        <w:spacing w:before="240"/>
        <w:ind w:firstLine="720"/>
        <w:jc w:val="both"/>
        <w:rPr>
          <w:lang w:val="mk-MK"/>
        </w:rPr>
      </w:pPr>
      <w:r w:rsidRPr="00F53881">
        <w:rPr>
          <w:lang w:val="mk-MK"/>
        </w:rPr>
        <w:t>Истражувањето користи компаративна правна анализа како примарен метод</w:t>
      </w:r>
      <w:r w:rsidR="003929D1">
        <w:rPr>
          <w:lang w:val="en-US"/>
        </w:rPr>
        <w:t xml:space="preserve"> </w:t>
      </w:r>
      <w:r w:rsidR="001F580A">
        <w:rPr>
          <w:lang w:val="mk-MK"/>
        </w:rPr>
        <w:t>за да се преслика упадот направен од страна на директива во конкретниот случај на учеството на вработените</w:t>
      </w:r>
      <w:r w:rsidRPr="00F53881">
        <w:rPr>
          <w:lang w:val="mk-MK"/>
        </w:rPr>
        <w:t>, испитувајќи ги моделите на ангажирање вработени во Македонија заедно со оние во ОК, САД, Австралија и Западна и Југоисточна Европа. Ова вклучува проучување на правни текстови, рамки за корпоративно управување, примери од компаниите и судска пракса поврзани со застапеноста на вработените во телата на компанијата и стекнување удел на вработените.</w:t>
      </w:r>
      <w:r w:rsidRPr="00F53881">
        <w:rPr>
          <w:rStyle w:val="FootnoteReference"/>
          <w:lang w:val="mk-MK"/>
        </w:rPr>
        <w:footnoteReference w:id="294"/>
      </w:r>
      <w:r w:rsidRPr="00F53881">
        <w:rPr>
          <w:lang w:val="mk-MK"/>
        </w:rPr>
        <w:t xml:space="preserve"> Истражувањето користи и квалитативни методи како што се анализа на реалната состојба, како и совети и </w:t>
      </w:r>
      <w:r w:rsidR="00A76172">
        <w:rPr>
          <w:lang w:val="mk-MK"/>
        </w:rPr>
        <w:t>материјали од</w:t>
      </w:r>
      <w:r w:rsidRPr="00F53881">
        <w:rPr>
          <w:lang w:val="mk-MK"/>
        </w:rPr>
        <w:t xml:space="preserve"> правни експерти, директори на компании и креатори на политики во Македонија за да се соберат увиди за практичната примена и потенцијалните реформи на овие модели. Дополнително, доколку е тоа потребно, ќе се спроведат </w:t>
      </w:r>
      <w:r w:rsidR="00417489">
        <w:rPr>
          <w:lang w:val="mk-MK"/>
        </w:rPr>
        <w:t xml:space="preserve">неформални </w:t>
      </w:r>
      <w:r w:rsidRPr="00F53881">
        <w:rPr>
          <w:lang w:val="mk-MK"/>
        </w:rPr>
        <w:t>анкети насочени кон вработените во акционерските друштва за да се проценат нивните ставови за лојалноста, вклученоста, транспарентноста и задоволството според постојните структури на корпоративно управување.</w:t>
      </w:r>
    </w:p>
    <w:p w14:paraId="4E0D62EA" w14:textId="77777777" w:rsidR="00972AEC" w:rsidRDefault="00ED2B59" w:rsidP="00ED2B59">
      <w:pPr>
        <w:pStyle w:val="BodyText"/>
        <w:spacing w:before="240"/>
        <w:ind w:firstLine="720"/>
        <w:jc w:val="both"/>
        <w:rPr>
          <w:lang w:val="mk-MK"/>
        </w:rPr>
      </w:pPr>
      <w:r w:rsidRPr="00F53881">
        <w:rPr>
          <w:lang w:val="mk-MK"/>
        </w:rPr>
        <w:t>Користењето на наведените методи се наметнува од потребата за анализа на правни извори во споредбеното право како би можеле да се извлечат правилни и релевантни заклучоци за предметот на истражување во овој труд.</w:t>
      </w:r>
      <w:r w:rsidRPr="00F53881">
        <w:rPr>
          <w:rStyle w:val="FootnoteReference"/>
          <w:lang w:val="mk-MK"/>
        </w:rPr>
        <w:footnoteReference w:id="295"/>
      </w:r>
      <w:r w:rsidRPr="00F53881">
        <w:rPr>
          <w:lang w:val="mk-MK"/>
        </w:rPr>
        <w:t xml:space="preserve"> При изработка на дисертацијата, паралелно ќе се користи и декриптивниот метод кој ќе послужи за опишување, прикажување и оцртување на средствата кои се анализираат во трудот. Со оглед на фактот дека во овој труд се вршат анализи на повеќе правни извори од домашнтото и споредбеното право, свое место зафаќа и историскиот метод преку кој се согледуваат развојот во дефинирањето и примената на анализираните правни извори.</w:t>
      </w:r>
      <w:r w:rsidRPr="00F53881">
        <w:rPr>
          <w:rStyle w:val="FootnoteReference"/>
          <w:lang w:val="mk-MK"/>
        </w:rPr>
        <w:footnoteReference w:id="296"/>
      </w:r>
    </w:p>
    <w:p w14:paraId="7DA4DEC2" w14:textId="405C01CB" w:rsidR="005A75E5" w:rsidRDefault="00972AEC" w:rsidP="002F796F">
      <w:pPr>
        <w:pStyle w:val="BodyText"/>
        <w:spacing w:before="240"/>
        <w:ind w:firstLine="720"/>
        <w:jc w:val="both"/>
        <w:rPr>
          <w:lang w:val="mk-MK"/>
        </w:rPr>
      </w:pPr>
      <w:r>
        <w:rPr>
          <w:lang w:val="mk-MK"/>
        </w:rPr>
        <w:lastRenderedPageBreak/>
        <w:t xml:space="preserve">Генерално, </w:t>
      </w:r>
      <w:r w:rsidRPr="00972AEC">
        <w:rPr>
          <w:lang w:val="mk-MK"/>
        </w:rPr>
        <w:t>пристап</w:t>
      </w:r>
      <w:r w:rsidR="00CA0F9D">
        <w:rPr>
          <w:lang w:val="mk-MK"/>
        </w:rPr>
        <w:t>от на директивата</w:t>
      </w:r>
      <w:r w:rsidRPr="00972AEC">
        <w:rPr>
          <w:lang w:val="mk-MK"/>
        </w:rPr>
        <w:t xml:space="preserve"> го надминува традиционалниот фокус на максимизација на профитот и претставува потврда за ширењето на концептот на корпоративна одговорност, кој ги инкорпорира принципите на социјална одговорност, транспарентност и разновидност. </w:t>
      </w:r>
      <w:r w:rsidR="00FC1A03">
        <w:rPr>
          <w:lang w:val="mk-MK"/>
        </w:rPr>
        <w:t>Со ова, а</w:t>
      </w:r>
      <w:r w:rsidRPr="00972AEC">
        <w:rPr>
          <w:lang w:val="mk-MK"/>
        </w:rPr>
        <w:t xml:space="preserve">лтернативните форми на работничко учество, како што се застапување на вработените во управни или надзорни одбори или нивното вклучување преку сопственички модели, стануваат легитимни алатки за унапредување на праведноста и ефикасноста во корпоративното одлучување. </w:t>
      </w:r>
      <w:r w:rsidR="00601A20">
        <w:rPr>
          <w:lang w:val="mk-MK"/>
        </w:rPr>
        <w:t>У</w:t>
      </w:r>
      <w:r w:rsidRPr="00972AEC">
        <w:rPr>
          <w:lang w:val="mk-MK"/>
        </w:rPr>
        <w:t>својувањето на Директивата (ЕУ) 2022/2381, со која Европската Унија воведе обврзувачки мерки за унапредување на родовата еднаквост во управните тела на котираните друштва</w:t>
      </w:r>
      <w:r w:rsidR="006C6D8E">
        <w:rPr>
          <w:lang w:val="mk-MK"/>
        </w:rPr>
        <w:t xml:space="preserve">, </w:t>
      </w:r>
      <w:r w:rsidRPr="00972AEC">
        <w:rPr>
          <w:lang w:val="mk-MK"/>
        </w:rPr>
        <w:t>ја признава родовата застапеност не само како прашање на еднаквост, туку и како предуслов за подобрување на квалитетот на одлучувањето, намалување на групното размислување (groupthink), и зголемување на иновативноста и легитимноста на одлуките. Директивата им наложува на земјите-членки да воспостават механизми за избалансирана застапеност на мажи и жени</w:t>
      </w:r>
      <w:r w:rsidR="005F77A7">
        <w:rPr>
          <w:lang w:val="mk-MK"/>
        </w:rPr>
        <w:t xml:space="preserve"> во одборите</w:t>
      </w:r>
      <w:r w:rsidRPr="00972AEC">
        <w:rPr>
          <w:lang w:val="mk-MK"/>
        </w:rPr>
        <w:t>, преку транспарентни и непристрасни процедури за селекција.</w:t>
      </w:r>
      <w:r w:rsidR="0068613F">
        <w:rPr>
          <w:rStyle w:val="FootnoteReference"/>
          <w:lang w:val="mk-MK"/>
        </w:rPr>
        <w:footnoteReference w:id="297"/>
      </w:r>
      <w:r w:rsidRPr="00972AEC">
        <w:rPr>
          <w:lang w:val="mk-MK"/>
        </w:rPr>
        <w:t xml:space="preserve"> </w:t>
      </w:r>
    </w:p>
    <w:p w14:paraId="6341C425" w14:textId="7CE911FD" w:rsidR="00052668" w:rsidRDefault="00972AEC" w:rsidP="002F796F">
      <w:pPr>
        <w:pStyle w:val="BodyText"/>
        <w:spacing w:before="240"/>
        <w:ind w:firstLine="720"/>
        <w:jc w:val="both"/>
        <w:rPr>
          <w:lang w:val="en-US"/>
        </w:rPr>
      </w:pPr>
      <w:r w:rsidRPr="00972AEC">
        <w:rPr>
          <w:lang w:val="mk-MK"/>
        </w:rPr>
        <w:t>Иако на прв поглед оваа мерка се однесува исклучиво на родовата еднаквост, нејзиното имплементирање ја отвора вратата за преосмислување на критериумите за застапеност и претставување во управните тела воопшто, вклучувајќи го и прашањето за вклучување на вработените и други засегнати страни.</w:t>
      </w:r>
      <w:r w:rsidR="0068613F">
        <w:rPr>
          <w:rStyle w:val="FootnoteReference"/>
          <w:lang w:val="mk-MK"/>
        </w:rPr>
        <w:footnoteReference w:id="298"/>
      </w:r>
      <w:r w:rsidRPr="00972AEC">
        <w:rPr>
          <w:lang w:val="mk-MK"/>
        </w:rPr>
        <w:t xml:space="preserve"> Родовиот баланс, како нормативно полесно оправдана категорија, често се користи како пилот-механизам за пошироки интервенции во управувачките структури, кои подоцна можат да се прошират и на други основи на различност. Ваквиот пристап е дел од поширок правен и институционален контекст, каде корпоративното право сè повеќе се отвора кон вредности надвор од тесната рамка на акционерскиот интерес. </w:t>
      </w:r>
    </w:p>
    <w:p w14:paraId="42B48A35" w14:textId="61BE5E37" w:rsidR="00872345" w:rsidRDefault="00C57AD5" w:rsidP="002F796F">
      <w:pPr>
        <w:pStyle w:val="BodyText"/>
        <w:spacing w:before="240"/>
        <w:ind w:firstLine="720"/>
        <w:jc w:val="both"/>
        <w:rPr>
          <w:lang w:val="mk-MK"/>
        </w:rPr>
      </w:pPr>
      <w:r>
        <w:rPr>
          <w:lang w:val="mk-MK"/>
        </w:rPr>
        <w:t>Дополнително, о</w:t>
      </w:r>
      <w:r w:rsidR="00972AEC" w:rsidRPr="00972AEC">
        <w:rPr>
          <w:lang w:val="mk-MK"/>
        </w:rPr>
        <w:t xml:space="preserve">д националните трговски законодавства, како што </w:t>
      </w:r>
      <w:r>
        <w:rPr>
          <w:lang w:val="mk-MK"/>
        </w:rPr>
        <w:t>за жал не е случајот со</w:t>
      </w:r>
      <w:r w:rsidR="00972AEC" w:rsidRPr="00972AEC">
        <w:rPr>
          <w:lang w:val="mk-MK"/>
        </w:rPr>
        <w:t xml:space="preserve"> Закон</w:t>
      </w:r>
      <w:r>
        <w:rPr>
          <w:lang w:val="mk-MK"/>
        </w:rPr>
        <w:t>от</w:t>
      </w:r>
      <w:r w:rsidR="00972AEC" w:rsidRPr="00972AEC">
        <w:rPr>
          <w:lang w:val="mk-MK"/>
        </w:rPr>
        <w:t xml:space="preserve"> за трговски друштва на Македонија, преку судска пракса во системите на обичајно право (common law), до наднационалните регулативи како што е наведената директива на ЕУ, се согледува тенденција на еволуција кон по</w:t>
      </w:r>
      <w:r w:rsidR="004C558A">
        <w:rPr>
          <w:lang w:val="mk-MK"/>
        </w:rPr>
        <w:t>в</w:t>
      </w:r>
      <w:r w:rsidR="00972AEC" w:rsidRPr="00972AEC">
        <w:rPr>
          <w:lang w:val="mk-MK"/>
        </w:rPr>
        <w:t>клучувачки и одговорен модел на корпоративно управување</w:t>
      </w:r>
      <w:r w:rsidR="004C558A">
        <w:rPr>
          <w:lang w:val="mk-MK"/>
        </w:rPr>
        <w:t xml:space="preserve"> како придобивка за сите засегнати страни</w:t>
      </w:r>
      <w:r w:rsidR="00972AEC" w:rsidRPr="00972AEC">
        <w:rPr>
          <w:lang w:val="mk-MK"/>
        </w:rPr>
        <w:t xml:space="preserve">. </w:t>
      </w:r>
      <w:r w:rsidR="00872345">
        <w:rPr>
          <w:lang w:val="mk-MK"/>
        </w:rPr>
        <w:t>Понатаму, м</w:t>
      </w:r>
      <w:r w:rsidR="00972AEC" w:rsidRPr="00972AEC">
        <w:rPr>
          <w:lang w:val="mk-MK"/>
        </w:rPr>
        <w:t>еѓународните правни инструменти како OECD Principles of Corporate Governance, UN Guiding Principles on Business and Human Rights, како и Конвенциите на Меѓународната организација на трудот (ИЛО), придонесуваат за поставување на повисоки стандарди на застапеност, отчетност и интеграција на социјалните прашања во корпоративните политики. Со тоа се зголемува притисокот за вклучување и на вработените како легитимни чинители во процесот на одлучување, особено во делот на надзор и стратегиско планирање</w:t>
      </w:r>
      <w:r w:rsidR="00872345">
        <w:rPr>
          <w:lang w:val="mk-MK"/>
        </w:rPr>
        <w:t xml:space="preserve"> во Македонија</w:t>
      </w:r>
      <w:r w:rsidR="00972AEC" w:rsidRPr="00972AEC">
        <w:rPr>
          <w:lang w:val="mk-MK"/>
        </w:rPr>
        <w:t xml:space="preserve">. </w:t>
      </w:r>
    </w:p>
    <w:p w14:paraId="2A04BD23" w14:textId="0EB3B5E4" w:rsidR="00EF34AD" w:rsidRPr="00B57D9B" w:rsidRDefault="00972AEC" w:rsidP="00B57D9B">
      <w:pPr>
        <w:pStyle w:val="BodyText"/>
        <w:spacing w:before="240"/>
        <w:ind w:firstLine="720"/>
        <w:jc w:val="both"/>
        <w:rPr>
          <w:lang w:val="en-US"/>
        </w:rPr>
      </w:pPr>
      <w:r w:rsidRPr="00972AEC">
        <w:rPr>
          <w:lang w:val="mk-MK"/>
        </w:rPr>
        <w:t xml:space="preserve">Во овој контекст, родовата еднаквост може да се анализира не само како цел сама по себе, туку и како средство за институционализирање на нови модели на застапеност. Овие модели го предизвикуваат бинарниот однос труд-капитал и предлагаат пофлексибилни и динамични структури на управување, во кои различните групи на </w:t>
      </w:r>
      <w:r w:rsidRPr="00972AEC">
        <w:rPr>
          <w:lang w:val="mk-MK"/>
        </w:rPr>
        <w:lastRenderedPageBreak/>
        <w:t xml:space="preserve">интереси (вклучително и работната сила) имаат директен глас. </w:t>
      </w:r>
      <w:r w:rsidR="00ED2B59" w:rsidRPr="00F53881">
        <w:rPr>
          <w:lang w:val="mk-MK"/>
        </w:rPr>
        <w:t>Низ овој</w:t>
      </w:r>
      <w:r w:rsidR="00856662">
        <w:rPr>
          <w:lang w:val="mk-MK"/>
        </w:rPr>
        <w:t xml:space="preserve"> докторат</w:t>
      </w:r>
      <w:r w:rsidR="00ED2B59" w:rsidRPr="00F53881">
        <w:rPr>
          <w:lang w:val="mk-MK"/>
        </w:rPr>
        <w:t xml:space="preserve"> ќе се користи и методот на анализа и синтеза кој ќе послужи за расчленување и спојување на нормите кои ќе се предмет на анализа низ многубројните правни извори,</w:t>
      </w:r>
      <w:r w:rsidR="00ED2B59" w:rsidRPr="00F53881">
        <w:rPr>
          <w:rStyle w:val="FootnoteReference"/>
          <w:lang w:val="mk-MK"/>
        </w:rPr>
        <w:footnoteReference w:id="299"/>
      </w:r>
      <w:r w:rsidR="00ED2B59" w:rsidRPr="00F53881">
        <w:rPr>
          <w:lang w:val="mk-MK"/>
        </w:rPr>
        <w:t xml:space="preserve"> а кој метод треба да придонесе за извлекување прецизни заклучоци.</w:t>
      </w:r>
      <w:r w:rsidR="00ED2B59" w:rsidRPr="00F53881">
        <w:rPr>
          <w:rStyle w:val="FootnoteReference"/>
          <w:lang w:val="mk-MK"/>
        </w:rPr>
        <w:footnoteReference w:id="300"/>
      </w:r>
      <w:r w:rsidR="00ED2B59" w:rsidRPr="00F53881">
        <w:rPr>
          <w:lang w:val="mk-MK"/>
        </w:rPr>
        <w:t xml:space="preserve"> Методите на индукција и дедукција имаат централно значење при донесувањето на заклучоците од истражувањето и поставувањето на хипотезите на кои се базира о</w:t>
      </w:r>
      <w:r w:rsidR="00B1361B">
        <w:rPr>
          <w:lang w:val="mk-MK"/>
        </w:rPr>
        <w:t>ваа дисертација</w:t>
      </w:r>
      <w:r w:rsidR="00ED2B59" w:rsidRPr="00F53881">
        <w:rPr>
          <w:lang w:val="mk-MK"/>
        </w:rPr>
        <w:t>.</w:t>
      </w:r>
      <w:r w:rsidR="00ED2B59" w:rsidRPr="00F53881">
        <w:rPr>
          <w:rStyle w:val="FootnoteReference"/>
          <w:lang w:val="mk-MK"/>
        </w:rPr>
        <w:footnoteReference w:id="301"/>
      </w:r>
      <w:r w:rsidR="00ED2B59" w:rsidRPr="00F53881">
        <w:rPr>
          <w:lang w:val="mk-MK"/>
        </w:rPr>
        <w:t xml:space="preserve"> Значајна позиција </w:t>
      </w:r>
      <w:r w:rsidR="00B1361B">
        <w:rPr>
          <w:lang w:val="mk-MK"/>
        </w:rPr>
        <w:t>во овој поглед</w:t>
      </w:r>
      <w:r w:rsidR="00ED2B59" w:rsidRPr="00F53881">
        <w:rPr>
          <w:lang w:val="mk-MK"/>
        </w:rPr>
        <w:t xml:space="preserve"> има и методот на компилација преку кој ќе се претстават различните видувања и ставови на реномирани професори и теоретичари. Преку примената на наведените методи, се очекуваат резултати кои одат во насока на аргументација на основната теза. Примената на овие методи би требало да овозможи детално и структурално разработување на поглавјата кои се поставуваат и да овозмож</w:t>
      </w:r>
      <w:r w:rsidR="00694F19">
        <w:rPr>
          <w:lang w:val="mk-MK"/>
        </w:rPr>
        <w:t>ат</w:t>
      </w:r>
      <w:r w:rsidR="00ED2B59" w:rsidRPr="00F53881">
        <w:rPr>
          <w:lang w:val="mk-MK"/>
        </w:rPr>
        <w:t xml:space="preserve"> извлекување на целосни и конкретни заклучоци, како кон поединичните прашања кои се разработуваат, така и на основната теза</w:t>
      </w:r>
      <w:r w:rsidR="00694F19">
        <w:rPr>
          <w:lang w:val="mk-MK"/>
        </w:rPr>
        <w:t>.</w:t>
      </w:r>
    </w:p>
    <w:p w14:paraId="5747ECD5" w14:textId="77777777" w:rsidR="00ED2B59" w:rsidRPr="00F53881" w:rsidRDefault="00ED2B59" w:rsidP="00ED2B59">
      <w:pPr>
        <w:spacing w:before="240"/>
        <w:jc w:val="center"/>
        <w:rPr>
          <w:i/>
          <w:iCs/>
          <w:lang w:val="mk-MK"/>
        </w:rPr>
      </w:pPr>
      <w:r w:rsidRPr="00F53881">
        <w:rPr>
          <w:i/>
          <w:iCs/>
          <w:lang w:val="mk-MK"/>
        </w:rPr>
        <w:t>Табела број 4: Правна рамка на корпоративното управување во Македонија</w:t>
      </w:r>
    </w:p>
    <w:p w14:paraId="7D557D2B" w14:textId="77777777" w:rsidR="00ED2B59" w:rsidRPr="00F53881" w:rsidRDefault="00ED2B59" w:rsidP="00ED2B59">
      <w:pPr>
        <w:pStyle w:val="BodyText"/>
        <w:spacing w:before="240"/>
        <w:jc w:val="center"/>
        <w:rPr>
          <w:lang w:val="mk-MK"/>
        </w:rPr>
      </w:pPr>
      <w:r w:rsidRPr="00F53881">
        <w:rPr>
          <w:noProof/>
          <w:lang w:val="mk-MK"/>
        </w:rPr>
        <w:drawing>
          <wp:inline distT="0" distB="0" distL="0" distR="0" wp14:anchorId="7C7CAF99" wp14:editId="4D254971">
            <wp:extent cx="3705225" cy="4475954"/>
            <wp:effectExtent l="0" t="0" r="0" b="1270"/>
            <wp:docPr id="639620858"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3707009" cy="4478109"/>
                    </a:xfrm>
                    <a:prstGeom prst="rect">
                      <a:avLst/>
                    </a:prstGeom>
                    <a:noFill/>
                    <a:ln>
                      <a:noFill/>
                    </a:ln>
                  </pic:spPr>
                </pic:pic>
              </a:graphicData>
            </a:graphic>
          </wp:inline>
        </w:drawing>
      </w:r>
    </w:p>
    <w:p w14:paraId="5B1773C0" w14:textId="51A13D7E" w:rsidR="00602850" w:rsidRDefault="00ED2B59" w:rsidP="00602850">
      <w:pPr>
        <w:spacing w:before="240"/>
        <w:jc w:val="center"/>
        <w:rPr>
          <w:i/>
          <w:iCs/>
          <w:lang w:val="mk-MK"/>
        </w:rPr>
      </w:pPr>
      <w:r w:rsidRPr="00F53881">
        <w:rPr>
          <w:i/>
          <w:iCs/>
          <w:lang w:val="mk-MK"/>
        </w:rPr>
        <w:t>Извор: Коевски Г. (2011), страници број 38-39.</w:t>
      </w:r>
    </w:p>
    <w:p w14:paraId="5398A3F8" w14:textId="42DB9502" w:rsidR="00602850" w:rsidRDefault="0065409C" w:rsidP="00EF34AD">
      <w:pPr>
        <w:spacing w:before="240" w:after="240"/>
        <w:ind w:firstLine="720"/>
        <w:jc w:val="both"/>
        <w:rPr>
          <w:i/>
          <w:iCs/>
          <w:lang w:val="mk-MK"/>
        </w:rPr>
      </w:pPr>
      <w:r w:rsidRPr="0065409C">
        <w:rPr>
          <w:lang w:val="mk-MK"/>
        </w:rPr>
        <w:lastRenderedPageBreak/>
        <w:t>Ова поглавје поставува основа за натамошна анализа на работн</w:t>
      </w:r>
      <w:r>
        <w:rPr>
          <w:lang w:val="mk-MK"/>
        </w:rPr>
        <w:t>и</w:t>
      </w:r>
      <w:r w:rsidRPr="0065409C">
        <w:rPr>
          <w:lang w:val="mk-MK"/>
        </w:rPr>
        <w:t>чкото учество како инструмент за демократизација на корпоративното управување, каде родовата еднаквост се согледува како почетна точка, но не и крајна цел.</w:t>
      </w:r>
      <w:r w:rsidR="00BC7FFA">
        <w:rPr>
          <w:rStyle w:val="FootnoteReference"/>
          <w:lang w:val="mk-MK"/>
        </w:rPr>
        <w:footnoteReference w:id="302"/>
      </w:r>
      <w:r w:rsidRPr="0065409C">
        <w:rPr>
          <w:lang w:val="mk-MK"/>
        </w:rPr>
        <w:t xml:space="preserve"> Таа служи како прототип на поширокиот модел на застапеност, чија правна и институционална имплементација останува отворена за истражување и развој.</w:t>
      </w:r>
    </w:p>
    <w:p w14:paraId="19563B1A" w14:textId="188DED1E" w:rsidR="00ED2B59" w:rsidRPr="00F53881" w:rsidRDefault="00ED2B59" w:rsidP="009330C0">
      <w:pPr>
        <w:pStyle w:val="Heading1"/>
        <w:numPr>
          <w:ilvl w:val="0"/>
          <w:numId w:val="11"/>
        </w:numPr>
        <w:spacing w:before="0" w:after="240"/>
      </w:pPr>
      <w:bookmarkStart w:id="21" w:name="_Toc230523874"/>
      <w:r w:rsidRPr="00F53881">
        <w:rPr>
          <w:lang w:val="mk-MK"/>
        </w:rPr>
        <w:t>Заклуч</w:t>
      </w:r>
      <w:r w:rsidR="0087719A">
        <w:rPr>
          <w:lang w:val="mk-MK"/>
        </w:rPr>
        <w:t>ни согледувања</w:t>
      </w:r>
      <w:bookmarkEnd w:id="21"/>
    </w:p>
    <w:p w14:paraId="1C261A48" w14:textId="1E44718D" w:rsidR="00ED2B59" w:rsidRPr="00F53881" w:rsidRDefault="00ED2B59" w:rsidP="00ED2B59">
      <w:pPr>
        <w:pStyle w:val="BodyText"/>
        <w:ind w:firstLine="720"/>
        <w:jc w:val="both"/>
        <w:rPr>
          <w:lang w:val="mk-MK"/>
        </w:rPr>
      </w:pPr>
      <w:r w:rsidRPr="00F53881">
        <w:rPr>
          <w:lang w:val="mk-MK"/>
        </w:rPr>
        <w:t>Научното истражување за моделите на ангажман на вработените ги истакнува различните влијанија на застапеноста на вработените во телата на компанијата наспроти стекнувањето акции врз организациските резултати и ангажманот на вработените. На кратко, науката донекаде го поплочува патот за детално академско истражување посочувајќи дека застапеноста го подобрува учеството и донесувањето одлуки, поттикнувајќи колаборативна и транспарентна работна средина, додека стекнувањето акции нуди финансиски стимулации кои ги усогласуваат интересите на вработените со долгорочниот успех на компанијата, а притоа ја подобруваат и транспарентноста како посакуван општествен исход. И двата модели имаат свои силни и слаби страни, а зголемениот интерес за хибридните модели сугерира дека комбинирањето на партиципативното управување со финансиската мотивација може да понуди најсеопфатен пристап за максимизирање на ангажираноста на вработените и организациските перформанси.</w:t>
      </w:r>
      <w:r w:rsidR="00AF2AF2">
        <w:rPr>
          <w:rStyle w:val="FootnoteReference"/>
          <w:lang w:val="mk-MK"/>
        </w:rPr>
        <w:footnoteReference w:id="303"/>
      </w:r>
    </w:p>
    <w:p w14:paraId="7CCAFAB8" w14:textId="7175697D" w:rsidR="00ED2B59" w:rsidRPr="00F53881" w:rsidRDefault="00ED2B59" w:rsidP="00ED2B59">
      <w:pPr>
        <w:pStyle w:val="BodyText"/>
        <w:spacing w:before="240"/>
        <w:ind w:firstLine="720"/>
        <w:jc w:val="both"/>
        <w:rPr>
          <w:lang w:val="mk-MK"/>
        </w:rPr>
      </w:pPr>
      <w:r w:rsidRPr="00F53881">
        <w:rPr>
          <w:lang w:val="mk-MK"/>
        </w:rPr>
        <w:t>Уште поважно, и покрај обемните научни истражувања за моделите на ангажирање вработени во глобални контексти, како што се Соединетите Американски Држави, Германија и Обединетото Кралство, постои забележителен јаз</w:t>
      </w:r>
      <w:r w:rsidR="0074719A">
        <w:rPr>
          <w:lang w:val="mk-MK"/>
        </w:rPr>
        <w:t xml:space="preserve"> и празнина</w:t>
      </w:r>
      <w:r w:rsidRPr="00F53881">
        <w:rPr>
          <w:lang w:val="mk-MK"/>
        </w:rPr>
        <w:t xml:space="preserve"> во оваа област во Македонија. Компаративната анализа на застапеноста на вработените во органите на друштвото и стекнувањето удел на вработените не е систематски проучувана во рамките на корпоративното управување или пазарот на труд во земјата. Правните и организациските структури првенствено се фокусираат на традиционалните модели на управување одозгора надолу, со ограничено истражување на партиципативното управување или уделот на вработените. Како резултат на тоа, потенцијалните придобивки од овие модели остануваат во голема мера неискористени.</w:t>
      </w:r>
    </w:p>
    <w:p w14:paraId="12015863" w14:textId="56B6B4F2" w:rsidR="00ED2B59" w:rsidRPr="00197018" w:rsidRDefault="00ED2B59" w:rsidP="00ED2B59">
      <w:pPr>
        <w:pStyle w:val="BodyText"/>
        <w:spacing w:before="240"/>
        <w:ind w:firstLine="720"/>
        <w:jc w:val="both"/>
        <w:rPr>
          <w:lang w:val="en-US"/>
        </w:rPr>
      </w:pPr>
      <w:r w:rsidRPr="00F53881">
        <w:rPr>
          <w:lang w:val="mk-MK"/>
        </w:rPr>
        <w:t xml:space="preserve">Оттука, ова докторско истражување е многу релевантно за Македонија затоа што ќе ја даде првата длабинска анализа за тоа како овие модели на ангажман би можеле да се прилагодат и имплементираат во локалниот контекст. Со разрешувањето на </w:t>
      </w:r>
      <w:r w:rsidR="00D12E93">
        <w:rPr>
          <w:lang w:val="mk-MK"/>
        </w:rPr>
        <w:t>оваа празнина</w:t>
      </w:r>
      <w:r w:rsidRPr="00F53881">
        <w:rPr>
          <w:lang w:val="mk-MK"/>
        </w:rPr>
        <w:t xml:space="preserve">, истражувањето има за цел да понуди вредни сознанија за креаторите на политики, деловните лидери и истражувачите кои сакаат да ги модернизираат практиките на корпоративното управување, да поттикнат поголемо вклучување на вработените и да ги подобрат организациските перформанси во економијата на една земја </w:t>
      </w:r>
      <w:r w:rsidR="00197018">
        <w:rPr>
          <w:lang w:val="mk-MK"/>
        </w:rPr>
        <w:t>во развој,</w:t>
      </w:r>
      <w:r w:rsidRPr="00F53881">
        <w:rPr>
          <w:lang w:val="mk-MK"/>
        </w:rPr>
        <w:t xml:space="preserve"> как</w:t>
      </w:r>
      <w:r w:rsidR="00197018">
        <w:rPr>
          <w:lang w:val="mk-MK"/>
        </w:rPr>
        <w:t>ва што е</w:t>
      </w:r>
      <w:r w:rsidRPr="00F53881">
        <w:rPr>
          <w:lang w:val="mk-MK"/>
        </w:rPr>
        <w:t xml:space="preserve"> Република Македонија. </w:t>
      </w:r>
    </w:p>
    <w:p w14:paraId="58A88509" w14:textId="3A199183" w:rsidR="00ED2B59" w:rsidRPr="00E40787" w:rsidRDefault="00ED2B59" w:rsidP="00ED2B59">
      <w:pPr>
        <w:pStyle w:val="BodyText"/>
        <w:spacing w:before="240"/>
        <w:ind w:firstLine="720"/>
        <w:jc w:val="both"/>
        <w:rPr>
          <w:lang w:val="mk-MK"/>
        </w:rPr>
      </w:pPr>
      <w:r w:rsidRPr="00F53881">
        <w:rPr>
          <w:lang w:val="mk-MK"/>
        </w:rPr>
        <w:t xml:space="preserve">Конечно, ова истражување има потенцијал длабоко да го преобликува пејзажот на македонското корпоративно управување со премостување на критичниот јаз помеѓу ангажираноста на вработените и законските рамки. Со ригорозна анализа на моделите </w:t>
      </w:r>
      <w:r w:rsidRPr="00F53881">
        <w:rPr>
          <w:lang w:val="mk-MK"/>
        </w:rPr>
        <w:lastRenderedPageBreak/>
        <w:t xml:space="preserve">на застапеност на вработените и стекнување акции, оваа дисертација не само што се осврнува на итна потреба за модернизација на националното право, туку исто така се обидува да ја усогласи Македонија со глобалните најдобри практики. Резултатите ќе дадат </w:t>
      </w:r>
      <w:r w:rsidR="00893950" w:rsidRPr="00F53881">
        <w:rPr>
          <w:lang w:val="mk-MK"/>
        </w:rPr>
        <w:t xml:space="preserve">витален придонес </w:t>
      </w:r>
      <w:r w:rsidR="00E40787">
        <w:rPr>
          <w:lang w:val="mk-MK"/>
        </w:rPr>
        <w:t xml:space="preserve">и </w:t>
      </w:r>
      <w:r w:rsidRPr="00F53881">
        <w:rPr>
          <w:lang w:val="mk-MK"/>
        </w:rPr>
        <w:t>акциски согледувања кои имаат далекусежни импликации</w:t>
      </w:r>
      <w:r w:rsidR="007D65CA">
        <w:rPr>
          <w:lang w:val="mk-MK"/>
        </w:rPr>
        <w:t>,</w:t>
      </w:r>
      <w:r w:rsidRPr="00F53881">
        <w:rPr>
          <w:lang w:val="mk-MK"/>
        </w:rPr>
        <w:t xml:space="preserve"> не само за правните истражувања и развојот на политиките, туку и за иднината на бизнисот во Македонија, каде што овластени, ангажирани вработени, во период кога работната сила е сериозен недостаток речиси во сите сектори, се клучот за одржлив раст, иновации и корпоративен успех.</w:t>
      </w:r>
      <w:r w:rsidR="00DD505A">
        <w:rPr>
          <w:rStyle w:val="FootnoteReference"/>
          <w:lang w:val="mk-MK"/>
        </w:rPr>
        <w:footnoteReference w:id="304"/>
      </w:r>
    </w:p>
    <w:p w14:paraId="49EB01A2" w14:textId="77777777" w:rsidR="005F6949" w:rsidRDefault="005B6149" w:rsidP="005F6949">
      <w:pPr>
        <w:pStyle w:val="BodyText"/>
        <w:spacing w:before="240"/>
        <w:ind w:firstLine="720"/>
        <w:jc w:val="both"/>
        <w:rPr>
          <w:lang w:val="mk-MK"/>
        </w:rPr>
      </w:pPr>
      <w:r w:rsidRPr="00F53881">
        <w:rPr>
          <w:lang w:val="mk-MK"/>
        </w:rPr>
        <w:t xml:space="preserve">Овој докторат цели да даде значаен придонес </w:t>
      </w:r>
      <w:r w:rsidR="000F243C">
        <w:rPr>
          <w:lang w:val="mk-MK"/>
        </w:rPr>
        <w:t>кон</w:t>
      </w:r>
      <w:r w:rsidRPr="00F53881">
        <w:rPr>
          <w:lang w:val="mk-MK"/>
        </w:rPr>
        <w:t xml:space="preserve"> деловното право преку унапредување на разбирањето на моделите за ангажирање на вработените во рамката на корпоративното управување, особено во контекст на македонското право. Поточно, очекуваните резултати и научни придонеси вклучуваат: </w:t>
      </w:r>
    </w:p>
    <w:p w14:paraId="52331450" w14:textId="6F47326E" w:rsidR="005F6949" w:rsidRPr="005F6949" w:rsidRDefault="005B6149" w:rsidP="0087409C">
      <w:pPr>
        <w:pStyle w:val="BodyText"/>
        <w:spacing w:before="240"/>
        <w:ind w:firstLine="720"/>
        <w:jc w:val="both"/>
        <w:rPr>
          <w:lang w:val="mk-MK"/>
        </w:rPr>
      </w:pPr>
      <w:r w:rsidRPr="005F6949">
        <w:rPr>
          <w:lang w:val="mk-MK"/>
        </w:rPr>
        <w:t>Правни и практични сознанија: истражувањето се очекува да идентификува како застапеноста на вработените во телата на компанијата и стекнувањето удел на вработените влијаат на ангажираноста, транспарентноста, лојалноста и организациските перформанси на вработените во Македонија</w:t>
      </w:r>
      <w:r w:rsidRPr="005F6949">
        <w:rPr>
          <w:lang w:val="en-US"/>
        </w:rPr>
        <w:t xml:space="preserve"> </w:t>
      </w:r>
      <w:r w:rsidRPr="005F6949">
        <w:rPr>
          <w:lang w:val="mk-MK"/>
        </w:rPr>
        <w:t>и генерално кон деловното право, нудејќи јасна правна и емпириска основа за препораки за промени во националното законодавство.</w:t>
      </w:r>
      <w:r w:rsidR="0087409C">
        <w:rPr>
          <w:lang w:val="mk-MK"/>
        </w:rPr>
        <w:t xml:space="preserve"> Д</w:t>
      </w:r>
      <w:r w:rsidRPr="005F6949">
        <w:rPr>
          <w:lang w:val="mk-MK"/>
        </w:rPr>
        <w:t>исертацијата ќе даде</w:t>
      </w:r>
      <w:r w:rsidR="0087409C">
        <w:rPr>
          <w:lang w:val="mk-MK"/>
        </w:rPr>
        <w:t xml:space="preserve"> и</w:t>
      </w:r>
      <w:r w:rsidRPr="005F6949">
        <w:rPr>
          <w:lang w:val="mk-MK"/>
        </w:rPr>
        <w:t xml:space="preserve"> конкретни препораки за модернизирање на македонското корпоративно право, насочени кон зајакнување на вклученоста на работниците во управувањето и сопственоста.</w:t>
      </w:r>
    </w:p>
    <w:p w14:paraId="663D3FDD" w14:textId="16C8F891" w:rsidR="005F6949" w:rsidRPr="005F6949" w:rsidRDefault="005B6149" w:rsidP="0087409C">
      <w:pPr>
        <w:pStyle w:val="BodyText"/>
        <w:spacing w:before="240"/>
        <w:ind w:firstLine="720"/>
        <w:jc w:val="both"/>
        <w:rPr>
          <w:lang w:val="mk-MK"/>
        </w:rPr>
      </w:pPr>
      <w:r w:rsidRPr="005F6949">
        <w:rPr>
          <w:lang w:val="mk-MK"/>
        </w:rPr>
        <w:t>Придонес кон правната мисла: истражувањето ќе пополни значителна празнина во македонската правна литература за корпоративното управување и вклученоста на вработените, нудејќи нови перспективи за креаторите на политиките и за академиците.</w:t>
      </w:r>
      <w:r w:rsidR="0087409C">
        <w:rPr>
          <w:lang w:val="mk-MK"/>
        </w:rPr>
        <w:t xml:space="preserve"> Наодите</w:t>
      </w:r>
      <w:r w:rsidRPr="005F6949">
        <w:rPr>
          <w:lang w:val="mk-MK"/>
        </w:rPr>
        <w:t xml:space="preserve"> најверојатно ќе покаж</w:t>
      </w:r>
      <w:r w:rsidR="0087409C">
        <w:rPr>
          <w:lang w:val="mk-MK"/>
        </w:rPr>
        <w:t>ат</w:t>
      </w:r>
      <w:r w:rsidRPr="005F6949">
        <w:rPr>
          <w:lang w:val="mk-MK"/>
        </w:rPr>
        <w:t xml:space="preserve"> дека хибридните модели кои комбинираат застапеност на вработените со финансиската сопственост даваат најсеопфатни придобивки во однос на задоволството на вработените и корпоративниот успех, потенцијално насочувајќи ги идните реформи.</w:t>
      </w:r>
    </w:p>
    <w:p w14:paraId="2AC50EC5" w14:textId="77777777" w:rsidR="00B62E2F" w:rsidRDefault="005B6149" w:rsidP="00B62E2F">
      <w:pPr>
        <w:pStyle w:val="BodyText"/>
        <w:spacing w:before="240"/>
        <w:ind w:firstLine="720"/>
        <w:jc w:val="both"/>
        <w:rPr>
          <w:lang w:val="mk-MK"/>
        </w:rPr>
      </w:pPr>
      <w:r w:rsidRPr="005F6949">
        <w:rPr>
          <w:lang w:val="mk-MK"/>
        </w:rPr>
        <w:t>Пополнување на критична празнина во македонското деловно право: ова истражување се однесува на област која е недоволно истражена во македонската правна литература</w:t>
      </w:r>
      <w:r w:rsidR="005F6949">
        <w:rPr>
          <w:lang w:val="mk-MK"/>
        </w:rPr>
        <w:t>, односно</w:t>
      </w:r>
      <w:r w:rsidRPr="005F6949">
        <w:rPr>
          <w:lang w:val="mk-MK"/>
        </w:rPr>
        <w:t xml:space="preserve"> вклучување на вработените во корпоративното управување преку застапување во органите на компанијата или стекнување акции. Со обезбедување на длабинска анализа и споредба на овие модели, докторатот ќе понуди правна основа за развој на рамки за корпоративно управување кои подобро ги инкорпорираат интересите на вработените. </w:t>
      </w:r>
    </w:p>
    <w:p w14:paraId="7D009765" w14:textId="77777777" w:rsidR="00B62E2F" w:rsidRDefault="005B6149" w:rsidP="00B62E2F">
      <w:pPr>
        <w:pStyle w:val="BodyText"/>
        <w:spacing w:before="240"/>
        <w:ind w:firstLine="720"/>
        <w:jc w:val="both"/>
        <w:rPr>
          <w:lang w:val="mk-MK"/>
        </w:rPr>
      </w:pPr>
      <w:r w:rsidRPr="00B62E2F">
        <w:rPr>
          <w:lang w:val="mk-MK"/>
        </w:rPr>
        <w:t>Иновативна правна рамка за учество на работниците</w:t>
      </w:r>
      <w:r w:rsidRPr="00F53881">
        <w:rPr>
          <w:lang w:val="mk-MK"/>
        </w:rPr>
        <w:t xml:space="preserve">: </w:t>
      </w:r>
      <w:r w:rsidR="00B62E2F">
        <w:rPr>
          <w:lang w:val="mk-MK"/>
        </w:rPr>
        <w:t>д</w:t>
      </w:r>
      <w:r w:rsidRPr="00F53881">
        <w:rPr>
          <w:lang w:val="mk-MK"/>
        </w:rPr>
        <w:t xml:space="preserve">окторатот цели да предложи нови, правно издржани модели за подобрување на вклученоста на вработените во одлучувањето во корпорациите. Овие модели, приспособени на македонскиот контекст, можат да послужат како основа за идните законодавни реформи кои се усогласуваат со глобалните најдобри практики. Ова ќе придонесе за модернизација на националното корпоративно управување, правејќи го поинклузивно и усогласено со меѓународните стандарди. </w:t>
      </w:r>
    </w:p>
    <w:p w14:paraId="223D4244" w14:textId="364C87CB" w:rsidR="005B6149" w:rsidRPr="00F53881" w:rsidRDefault="005B6149" w:rsidP="00B62E2F">
      <w:pPr>
        <w:pStyle w:val="BodyText"/>
        <w:spacing w:before="240"/>
        <w:ind w:firstLine="720"/>
        <w:jc w:val="both"/>
        <w:rPr>
          <w:lang w:val="mk-MK"/>
        </w:rPr>
      </w:pPr>
      <w:r w:rsidRPr="00B62E2F">
        <w:rPr>
          <w:lang w:val="mk-MK"/>
        </w:rPr>
        <w:t>Компаративен придонес меѓу јурисдикции</w:t>
      </w:r>
      <w:r w:rsidRPr="00F53881">
        <w:rPr>
          <w:lang w:val="mk-MK"/>
        </w:rPr>
        <w:t xml:space="preserve">: </w:t>
      </w:r>
      <w:r w:rsidR="00B62E2F">
        <w:rPr>
          <w:lang w:val="mk-MK"/>
        </w:rPr>
        <w:t>д</w:t>
      </w:r>
      <w:r w:rsidRPr="00F53881">
        <w:rPr>
          <w:lang w:val="mk-MK"/>
        </w:rPr>
        <w:t xml:space="preserve">окторатот ќе придонесе за </w:t>
      </w:r>
      <w:r w:rsidRPr="00F53881">
        <w:rPr>
          <w:lang w:val="mk-MK"/>
        </w:rPr>
        <w:lastRenderedPageBreak/>
        <w:t xml:space="preserve">компаративното деловно право преку испитување на правните рамки и практики и проценка на нивната применливост во македонскиот контекст. Оваа меѓујурисдикторна анализа ќе го продлабочи разбирањето за тоа како глобалните модели можат да ги информираат националните правни реформи, обезбедувајќи план за интегрирање на меѓународните најдобри практики во локалното право. </w:t>
      </w:r>
    </w:p>
    <w:p w14:paraId="4DF2CB97" w14:textId="19CCD2E1" w:rsidR="007F2DA5" w:rsidRDefault="005B6149" w:rsidP="005512FF">
      <w:pPr>
        <w:pStyle w:val="BodyText"/>
        <w:spacing w:before="240" w:after="240"/>
        <w:ind w:firstLine="720"/>
        <w:jc w:val="both"/>
        <w:rPr>
          <w:lang w:val="en-US"/>
        </w:rPr>
      </w:pPr>
      <w:r w:rsidRPr="00F53881">
        <w:rPr>
          <w:lang w:val="mk-MK"/>
        </w:rPr>
        <w:t>Генерално, истражувањето ќе понуди теоретски и практични придонеси во областа на деловното право, со потенцијал за практична имплементација и влијание врз правниот и корпоративниот пејзаж во Македонија и пошироко. Овие резултати ќе придонесат за поангажирана и попродуктивна работна сила поттикнувајќи правна средина погодна и за благосостојбата на вработените и за растот на бизнисот.</w:t>
      </w:r>
      <w:r w:rsidR="00FB6BAB">
        <w:rPr>
          <w:rStyle w:val="FootnoteReference"/>
          <w:lang w:val="mk-MK"/>
        </w:rPr>
        <w:footnoteReference w:id="305"/>
      </w:r>
    </w:p>
    <w:p w14:paraId="41235127" w14:textId="77777777" w:rsidR="00DD505A" w:rsidRDefault="00DD505A" w:rsidP="005512FF">
      <w:pPr>
        <w:pStyle w:val="BodyText"/>
        <w:spacing w:before="240" w:after="240"/>
        <w:ind w:firstLine="720"/>
        <w:jc w:val="both"/>
        <w:rPr>
          <w:lang w:val="en-US"/>
        </w:rPr>
      </w:pPr>
    </w:p>
    <w:p w14:paraId="5AE8A2A2" w14:textId="77777777" w:rsidR="00DD505A" w:rsidRDefault="00DD505A" w:rsidP="005512FF">
      <w:pPr>
        <w:pStyle w:val="BodyText"/>
        <w:spacing w:before="240" w:after="240"/>
        <w:ind w:firstLine="720"/>
        <w:jc w:val="both"/>
        <w:rPr>
          <w:lang w:val="en-US"/>
        </w:rPr>
      </w:pPr>
    </w:p>
    <w:p w14:paraId="7C11F987" w14:textId="77777777" w:rsidR="00DD505A" w:rsidRDefault="00DD505A" w:rsidP="005512FF">
      <w:pPr>
        <w:pStyle w:val="BodyText"/>
        <w:spacing w:before="240" w:after="240"/>
        <w:ind w:firstLine="720"/>
        <w:jc w:val="both"/>
        <w:rPr>
          <w:lang w:val="en-US"/>
        </w:rPr>
      </w:pPr>
    </w:p>
    <w:p w14:paraId="5ACAF368" w14:textId="77777777" w:rsidR="00DD505A" w:rsidRDefault="00DD505A" w:rsidP="005512FF">
      <w:pPr>
        <w:pStyle w:val="BodyText"/>
        <w:spacing w:before="240" w:after="240"/>
        <w:ind w:firstLine="720"/>
        <w:jc w:val="both"/>
        <w:rPr>
          <w:lang w:val="en-US"/>
        </w:rPr>
      </w:pPr>
    </w:p>
    <w:p w14:paraId="1D616D82" w14:textId="77777777" w:rsidR="00DD505A" w:rsidRDefault="00DD505A" w:rsidP="005512FF">
      <w:pPr>
        <w:pStyle w:val="BodyText"/>
        <w:spacing w:before="240" w:after="240"/>
        <w:ind w:firstLine="720"/>
        <w:jc w:val="both"/>
        <w:rPr>
          <w:lang w:val="en-US"/>
        </w:rPr>
      </w:pPr>
    </w:p>
    <w:p w14:paraId="0FC0A943" w14:textId="77777777" w:rsidR="00DD505A" w:rsidRDefault="00DD505A" w:rsidP="005512FF">
      <w:pPr>
        <w:pStyle w:val="BodyText"/>
        <w:spacing w:before="240" w:after="240"/>
        <w:ind w:firstLine="720"/>
        <w:jc w:val="both"/>
        <w:rPr>
          <w:lang w:val="en-US"/>
        </w:rPr>
      </w:pPr>
    </w:p>
    <w:p w14:paraId="068EC632" w14:textId="77777777" w:rsidR="00DD505A" w:rsidRDefault="00DD505A" w:rsidP="005512FF">
      <w:pPr>
        <w:pStyle w:val="BodyText"/>
        <w:spacing w:before="240" w:after="240"/>
        <w:ind w:firstLine="720"/>
        <w:jc w:val="both"/>
        <w:rPr>
          <w:lang w:val="en-US"/>
        </w:rPr>
      </w:pPr>
    </w:p>
    <w:p w14:paraId="366DC641" w14:textId="77777777" w:rsidR="00DD505A" w:rsidRDefault="00DD505A" w:rsidP="005512FF">
      <w:pPr>
        <w:pStyle w:val="BodyText"/>
        <w:spacing w:before="240" w:after="240"/>
        <w:ind w:firstLine="720"/>
        <w:jc w:val="both"/>
        <w:rPr>
          <w:lang w:val="en-US"/>
        </w:rPr>
      </w:pPr>
    </w:p>
    <w:p w14:paraId="4D974AC3" w14:textId="77777777" w:rsidR="00DD505A" w:rsidRDefault="00DD505A" w:rsidP="005512FF">
      <w:pPr>
        <w:pStyle w:val="BodyText"/>
        <w:spacing w:before="240" w:after="240"/>
        <w:ind w:firstLine="720"/>
        <w:jc w:val="both"/>
        <w:rPr>
          <w:lang w:val="en-US"/>
        </w:rPr>
      </w:pPr>
    </w:p>
    <w:p w14:paraId="0B1F0D8B" w14:textId="77777777" w:rsidR="00DD505A" w:rsidRDefault="00DD505A" w:rsidP="005512FF">
      <w:pPr>
        <w:pStyle w:val="BodyText"/>
        <w:spacing w:before="240" w:after="240"/>
        <w:ind w:firstLine="720"/>
        <w:jc w:val="both"/>
        <w:rPr>
          <w:lang w:val="en-US"/>
        </w:rPr>
      </w:pPr>
    </w:p>
    <w:p w14:paraId="4A8FABB3" w14:textId="77777777" w:rsidR="00DD505A" w:rsidRDefault="00DD505A" w:rsidP="005512FF">
      <w:pPr>
        <w:pStyle w:val="BodyText"/>
        <w:spacing w:before="240" w:after="240"/>
        <w:ind w:firstLine="720"/>
        <w:jc w:val="both"/>
        <w:rPr>
          <w:lang w:val="en-US"/>
        </w:rPr>
      </w:pPr>
    </w:p>
    <w:p w14:paraId="0CCFD976" w14:textId="77777777" w:rsidR="00DD505A" w:rsidRDefault="00DD505A" w:rsidP="005512FF">
      <w:pPr>
        <w:pStyle w:val="BodyText"/>
        <w:spacing w:before="240" w:after="240"/>
        <w:ind w:firstLine="720"/>
        <w:jc w:val="both"/>
        <w:rPr>
          <w:lang w:val="en-US"/>
        </w:rPr>
      </w:pPr>
    </w:p>
    <w:p w14:paraId="6388A072" w14:textId="77777777" w:rsidR="00DD505A" w:rsidRDefault="00DD505A" w:rsidP="005512FF">
      <w:pPr>
        <w:pStyle w:val="BodyText"/>
        <w:spacing w:before="240" w:after="240"/>
        <w:ind w:firstLine="720"/>
        <w:jc w:val="both"/>
        <w:rPr>
          <w:lang w:val="en-US"/>
        </w:rPr>
      </w:pPr>
    </w:p>
    <w:p w14:paraId="4E1D5C85" w14:textId="77777777" w:rsidR="00DD505A" w:rsidRDefault="00DD505A" w:rsidP="005512FF">
      <w:pPr>
        <w:pStyle w:val="BodyText"/>
        <w:spacing w:before="240" w:after="240"/>
        <w:ind w:firstLine="720"/>
        <w:jc w:val="both"/>
        <w:rPr>
          <w:lang w:val="en-US"/>
        </w:rPr>
      </w:pPr>
    </w:p>
    <w:p w14:paraId="7D36CB13" w14:textId="77777777" w:rsidR="00DD505A" w:rsidRPr="00DD505A" w:rsidRDefault="00DD505A" w:rsidP="005512FF">
      <w:pPr>
        <w:pStyle w:val="BodyText"/>
        <w:spacing w:before="240" w:after="240"/>
        <w:ind w:firstLine="720"/>
        <w:jc w:val="both"/>
        <w:rPr>
          <w:lang w:val="en-US"/>
        </w:rPr>
      </w:pPr>
    </w:p>
    <w:p w14:paraId="56417B10" w14:textId="77777777" w:rsidR="00EF34AD" w:rsidRDefault="00EF34AD" w:rsidP="005512FF">
      <w:pPr>
        <w:pStyle w:val="BodyText"/>
        <w:spacing w:before="240" w:after="240"/>
        <w:ind w:firstLine="720"/>
        <w:jc w:val="both"/>
        <w:rPr>
          <w:lang w:val="mk-MK"/>
        </w:rPr>
      </w:pPr>
    </w:p>
    <w:p w14:paraId="0C644A43" w14:textId="77777777" w:rsidR="00EF34AD" w:rsidRDefault="00EF34AD" w:rsidP="005512FF">
      <w:pPr>
        <w:pStyle w:val="BodyText"/>
        <w:spacing w:before="240" w:after="240"/>
        <w:ind w:firstLine="720"/>
        <w:jc w:val="both"/>
        <w:rPr>
          <w:lang w:val="mk-MK"/>
        </w:rPr>
      </w:pPr>
    </w:p>
    <w:p w14:paraId="32261B52" w14:textId="77777777" w:rsidR="00EF34AD" w:rsidRPr="005C5FE2" w:rsidRDefault="00EF34AD" w:rsidP="005C5FE2">
      <w:pPr>
        <w:pStyle w:val="BodyText"/>
        <w:spacing w:before="240" w:after="240"/>
        <w:jc w:val="both"/>
        <w:rPr>
          <w:lang w:val="mk-MK"/>
        </w:rPr>
      </w:pPr>
    </w:p>
    <w:p w14:paraId="7F19DC50" w14:textId="44586634" w:rsidR="00AD1385" w:rsidRPr="000719B3" w:rsidRDefault="00AD1385" w:rsidP="00AD1385">
      <w:pPr>
        <w:pStyle w:val="Heading1"/>
        <w:ind w:left="0"/>
        <w:jc w:val="both"/>
        <w:rPr>
          <w:sz w:val="26"/>
          <w:szCs w:val="26"/>
          <w:lang w:val="en-US"/>
        </w:rPr>
      </w:pPr>
      <w:bookmarkStart w:id="22" w:name="_Toc230523875"/>
      <w:r>
        <w:rPr>
          <w:sz w:val="26"/>
          <w:szCs w:val="26"/>
          <w:lang w:val="mk-MK"/>
        </w:rPr>
        <w:lastRenderedPageBreak/>
        <w:t>Б. М</w:t>
      </w:r>
      <w:r w:rsidRPr="00830E2B">
        <w:rPr>
          <w:sz w:val="26"/>
          <w:szCs w:val="26"/>
          <w:lang w:val="mk-MK"/>
        </w:rPr>
        <w:t xml:space="preserve">еѓународни стандарди за </w:t>
      </w:r>
      <w:r>
        <w:rPr>
          <w:sz w:val="26"/>
          <w:szCs w:val="26"/>
          <w:lang w:val="mk-MK"/>
        </w:rPr>
        <w:t xml:space="preserve">улогата на вработените </w:t>
      </w:r>
      <w:r w:rsidR="00631BDC">
        <w:rPr>
          <w:sz w:val="26"/>
          <w:szCs w:val="26"/>
          <w:lang w:val="mk-MK"/>
        </w:rPr>
        <w:t>во трговските друштва</w:t>
      </w:r>
      <w:bookmarkEnd w:id="22"/>
    </w:p>
    <w:p w14:paraId="7BF51CD0" w14:textId="326F5199" w:rsidR="000F243C" w:rsidRDefault="00205738" w:rsidP="002627EB">
      <w:pPr>
        <w:pStyle w:val="BodyText"/>
        <w:spacing w:before="240"/>
        <w:ind w:firstLine="720"/>
        <w:jc w:val="both"/>
        <w:rPr>
          <w:lang w:val="en-US"/>
        </w:rPr>
      </w:pPr>
      <w:r w:rsidRPr="00205738">
        <w:rPr>
          <w:lang w:val="mk-MK"/>
        </w:rPr>
        <w:t>Меѓународните стандарди за корпоративно управување и за учество на вработените ја формираат нормативната и концептуалната рамка во која денес</w:t>
      </w:r>
      <w:r w:rsidR="00E74C60">
        <w:rPr>
          <w:lang w:val="mk-MK"/>
        </w:rPr>
        <w:t>, на глобално и регионално ниво,</w:t>
      </w:r>
      <w:r w:rsidRPr="00205738">
        <w:rPr>
          <w:lang w:val="mk-MK"/>
        </w:rPr>
        <w:t xml:space="preserve"> се дефинираат јадрото и границите на односите </w:t>
      </w:r>
      <w:r w:rsidR="004F15A4">
        <w:rPr>
          <w:lang w:val="mk-MK"/>
        </w:rPr>
        <w:t>по</w:t>
      </w:r>
      <w:r w:rsidRPr="00205738">
        <w:rPr>
          <w:lang w:val="mk-MK"/>
        </w:rPr>
        <w:t>меѓу капиталот и трудот.</w:t>
      </w:r>
      <w:r w:rsidR="00796816">
        <w:rPr>
          <w:rStyle w:val="FootnoteReference"/>
          <w:lang w:val="mk-MK"/>
        </w:rPr>
        <w:footnoteReference w:id="306"/>
      </w:r>
      <w:r w:rsidRPr="00205738">
        <w:rPr>
          <w:lang w:val="mk-MK"/>
        </w:rPr>
        <w:t xml:space="preserve"> Во услови на глобализација, прекугранично претприемништво и поинтензивна експозиција на </w:t>
      </w:r>
      <w:r w:rsidR="00F2347B">
        <w:rPr>
          <w:lang w:val="mk-MK"/>
        </w:rPr>
        <w:t>корпорациите</w:t>
      </w:r>
      <w:r w:rsidRPr="00205738">
        <w:rPr>
          <w:lang w:val="mk-MK"/>
        </w:rPr>
        <w:t xml:space="preserve"> на меѓународни пазари, националните системи на корпоративно управување се активни примачи и трансформатори на наднационалните норми</w:t>
      </w:r>
      <w:r w:rsidR="00D1031B">
        <w:rPr>
          <w:lang w:val="mk-MK"/>
        </w:rPr>
        <w:t>.</w:t>
      </w:r>
      <w:r w:rsidR="005F4AD3">
        <w:rPr>
          <w:rStyle w:val="FootnoteReference"/>
          <w:lang w:val="mk-MK"/>
        </w:rPr>
        <w:footnoteReference w:id="307"/>
      </w:r>
      <w:r w:rsidRPr="00205738">
        <w:rPr>
          <w:lang w:val="mk-MK"/>
        </w:rPr>
        <w:t xml:space="preserve"> </w:t>
      </w:r>
      <w:r w:rsidR="00D1031B">
        <w:rPr>
          <w:lang w:val="mk-MK"/>
        </w:rPr>
        <w:t>Т</w:t>
      </w:r>
      <w:r w:rsidRPr="00205738">
        <w:rPr>
          <w:lang w:val="mk-MK"/>
        </w:rPr>
        <w:t>ие не само што п</w:t>
      </w:r>
      <w:r w:rsidR="00D1031B">
        <w:rPr>
          <w:lang w:val="mk-MK"/>
        </w:rPr>
        <w:t>оставуваат</w:t>
      </w:r>
      <w:r w:rsidRPr="00205738">
        <w:rPr>
          <w:lang w:val="mk-MK"/>
        </w:rPr>
        <w:t xml:space="preserve"> стандарди, туку и ги интерпретираат и адаптираат во зависност од локалната правна традиција, политичката волја и институционалните капацитети.</w:t>
      </w:r>
      <w:r w:rsidR="00926C49">
        <w:rPr>
          <w:rStyle w:val="FootnoteReference"/>
          <w:lang w:val="mk-MK"/>
        </w:rPr>
        <w:footnoteReference w:id="308"/>
      </w:r>
    </w:p>
    <w:p w14:paraId="7E8A4F1C" w14:textId="5B7D158E" w:rsidR="00D1170E" w:rsidRDefault="00A93FC9" w:rsidP="00D166D9">
      <w:pPr>
        <w:pStyle w:val="BodyText"/>
        <w:spacing w:before="240"/>
        <w:ind w:firstLine="720"/>
        <w:jc w:val="both"/>
        <w:rPr>
          <w:lang w:val="en-US"/>
        </w:rPr>
      </w:pPr>
      <w:r>
        <w:rPr>
          <w:lang w:val="mk-MK"/>
        </w:rPr>
        <w:t>Ова</w:t>
      </w:r>
      <w:r w:rsidR="007723B6">
        <w:rPr>
          <w:lang w:val="mk-MK"/>
        </w:rPr>
        <w:t xml:space="preserve"> поглавје ќе ги постави стандардите и очекувањата од Македонија и ќе </w:t>
      </w:r>
      <w:r w:rsidR="00A70D26">
        <w:rPr>
          <w:lang w:val="mk-MK"/>
        </w:rPr>
        <w:t>направи анализа на степенот на исполнетост</w:t>
      </w:r>
      <w:r w:rsidR="009A2E59">
        <w:rPr>
          <w:lang w:val="mk-MK"/>
        </w:rPr>
        <w:t>,</w:t>
      </w:r>
      <w:r w:rsidR="00B645A7">
        <w:rPr>
          <w:lang w:val="mk-MK"/>
        </w:rPr>
        <w:t xml:space="preserve"> притоа наведувајќи ги следн</w:t>
      </w:r>
      <w:r w:rsidR="00B12E91">
        <w:rPr>
          <w:lang w:val="mk-MK"/>
        </w:rPr>
        <w:t xml:space="preserve">ите потребни чекори за да се воспостави одреден систем на корпоративно управување. </w:t>
      </w:r>
      <w:r w:rsidR="004E16C5">
        <w:rPr>
          <w:lang w:val="mk-MK"/>
        </w:rPr>
        <w:t>Во тој контекст, п</w:t>
      </w:r>
      <w:r w:rsidR="004E16C5" w:rsidRPr="004E16C5">
        <w:rPr>
          <w:lang w:val="mk-MK"/>
        </w:rPr>
        <w:t>рашањето за улогата на вработените во корпоративното управување добива повеќеслојно значење</w:t>
      </w:r>
      <w:r w:rsidR="00A65DD3">
        <w:rPr>
          <w:lang w:val="mk-MK"/>
        </w:rPr>
        <w:t>. Првенствено</w:t>
      </w:r>
      <w:r w:rsidR="004E16C5" w:rsidRPr="004E16C5">
        <w:rPr>
          <w:lang w:val="mk-MK"/>
        </w:rPr>
        <w:t xml:space="preserve"> како </w:t>
      </w:r>
      <w:r w:rsidR="00A65DD3" w:rsidRPr="004E16C5">
        <w:rPr>
          <w:lang w:val="mk-MK"/>
        </w:rPr>
        <w:t>прашање на корпоративна одговорност и управување (stakeholder engagement, board responsibilities),</w:t>
      </w:r>
      <w:r w:rsidR="00A65DD3">
        <w:rPr>
          <w:lang w:val="mk-MK"/>
        </w:rPr>
        <w:t xml:space="preserve"> </w:t>
      </w:r>
      <w:r w:rsidR="004E16C5" w:rsidRPr="004E16C5">
        <w:rPr>
          <w:lang w:val="mk-MK"/>
        </w:rPr>
        <w:t>работно-правно прашање (слобода на здружување и колективно договарање), како и прашање на човековите права и одржливост (due diligence и корпоративна социјална одговорност).</w:t>
      </w:r>
      <w:r w:rsidR="0008724E">
        <w:rPr>
          <w:rStyle w:val="FootnoteReference"/>
          <w:lang w:val="mk-MK"/>
        </w:rPr>
        <w:footnoteReference w:id="309"/>
      </w:r>
      <w:r w:rsidR="004E16C5" w:rsidRPr="004E16C5">
        <w:rPr>
          <w:lang w:val="mk-MK"/>
        </w:rPr>
        <w:t xml:space="preserve"> Овие димензии честопати се преклопуваат</w:t>
      </w:r>
      <w:r w:rsidR="008A632A">
        <w:rPr>
          <w:lang w:val="en-US"/>
        </w:rPr>
        <w:t>,</w:t>
      </w:r>
      <w:r w:rsidR="004E16C5" w:rsidRPr="004E16C5">
        <w:rPr>
          <w:lang w:val="mk-MK"/>
        </w:rPr>
        <w:t xml:space="preserve"> на пример, стандардите за човекови права мож</w:t>
      </w:r>
      <w:r w:rsidR="008A632A">
        <w:rPr>
          <w:lang w:val="mk-MK"/>
        </w:rPr>
        <w:t>ат</w:t>
      </w:r>
      <w:r w:rsidR="004E16C5" w:rsidRPr="004E16C5">
        <w:rPr>
          <w:lang w:val="mk-MK"/>
        </w:rPr>
        <w:t xml:space="preserve"> да ја засилат улогата на вработените низ обврските за информации и консултација, додека принципите на добро управување ги поставуваат институционалните услови за порамноправно учество</w:t>
      </w:r>
      <w:r w:rsidR="008A632A">
        <w:rPr>
          <w:lang w:val="mk-MK"/>
        </w:rPr>
        <w:t>.</w:t>
      </w:r>
      <w:r w:rsidR="0008724E">
        <w:rPr>
          <w:rStyle w:val="FootnoteReference"/>
          <w:lang w:val="mk-MK"/>
        </w:rPr>
        <w:footnoteReference w:id="310"/>
      </w:r>
      <w:r w:rsidR="008A632A">
        <w:rPr>
          <w:lang w:val="mk-MK"/>
        </w:rPr>
        <w:t xml:space="preserve"> </w:t>
      </w:r>
    </w:p>
    <w:p w14:paraId="44790A1A" w14:textId="6A5D83B3" w:rsidR="00611B13" w:rsidRDefault="00D166D9" w:rsidP="008D6774">
      <w:pPr>
        <w:pStyle w:val="BodyText"/>
        <w:spacing w:before="240"/>
        <w:ind w:firstLine="720"/>
        <w:jc w:val="both"/>
        <w:rPr>
          <w:lang w:val="mk-MK"/>
        </w:rPr>
      </w:pPr>
      <w:r>
        <w:rPr>
          <w:lang w:val="mk-MK"/>
        </w:rPr>
        <w:t>Сепак, з</w:t>
      </w:r>
      <w:r w:rsidRPr="00D166D9">
        <w:rPr>
          <w:lang w:val="mk-MK"/>
        </w:rPr>
        <w:t xml:space="preserve">а земја како Македонија, која </w:t>
      </w:r>
      <w:r w:rsidR="00151ADD" w:rsidRPr="00151ADD">
        <w:rPr>
          <w:lang w:val="mk-MK"/>
        </w:rPr>
        <w:t>сè уште</w:t>
      </w:r>
      <w:r w:rsidR="00151ADD">
        <w:rPr>
          <w:lang w:val="mk-MK"/>
        </w:rPr>
        <w:t xml:space="preserve"> е во</w:t>
      </w:r>
      <w:r w:rsidRPr="00D166D9">
        <w:rPr>
          <w:lang w:val="mk-MK"/>
        </w:rPr>
        <w:t xml:space="preserve"> транзиција и кандидат за пристапување кон Европската Унија, меѓународните стандарди имаат практична тежина</w:t>
      </w:r>
      <w:r w:rsidR="0030781D">
        <w:rPr>
          <w:lang w:val="mk-MK"/>
        </w:rPr>
        <w:t>.</w:t>
      </w:r>
      <w:r w:rsidR="004F3278">
        <w:rPr>
          <w:rStyle w:val="FootnoteReference"/>
          <w:lang w:val="mk-MK"/>
        </w:rPr>
        <w:footnoteReference w:id="311"/>
      </w:r>
      <w:r w:rsidR="0030781D">
        <w:rPr>
          <w:lang w:val="mk-MK"/>
        </w:rPr>
        <w:t xml:space="preserve"> Т</w:t>
      </w:r>
      <w:r w:rsidRPr="00D166D9">
        <w:rPr>
          <w:lang w:val="mk-MK"/>
        </w:rPr>
        <w:t>ие создаваат меѓународни очекувања и механизми за надзор</w:t>
      </w:r>
      <w:r w:rsidR="0030781D">
        <w:rPr>
          <w:lang w:val="mk-MK"/>
        </w:rPr>
        <w:t xml:space="preserve">, како </w:t>
      </w:r>
      <w:r w:rsidRPr="00D166D9">
        <w:rPr>
          <w:lang w:val="mk-MK"/>
        </w:rPr>
        <w:t>расправ</w:t>
      </w:r>
      <w:r w:rsidR="00D11E50">
        <w:rPr>
          <w:lang w:val="mk-MK"/>
        </w:rPr>
        <w:t>и</w:t>
      </w:r>
      <w:r w:rsidRPr="00D166D9">
        <w:rPr>
          <w:lang w:val="mk-MK"/>
        </w:rPr>
        <w:t xml:space="preserve">, известување, </w:t>
      </w:r>
      <w:r w:rsidR="0030781D">
        <w:rPr>
          <w:lang w:val="mk-MK"/>
        </w:rPr>
        <w:t xml:space="preserve">следење на </w:t>
      </w:r>
      <w:r w:rsidRPr="00D166D9">
        <w:rPr>
          <w:lang w:val="mk-MK"/>
        </w:rPr>
        <w:t>судска и административна пракса</w:t>
      </w:r>
      <w:r w:rsidR="0030781D">
        <w:rPr>
          <w:lang w:val="mk-MK"/>
        </w:rPr>
        <w:t xml:space="preserve"> и слично,</w:t>
      </w:r>
      <w:r w:rsidRPr="00D166D9">
        <w:rPr>
          <w:lang w:val="mk-MK"/>
        </w:rPr>
        <w:t xml:space="preserve"> кои ја стимулираат усогласеноста и реформите во корпоративното и работн</w:t>
      </w:r>
      <w:r w:rsidR="00D50978">
        <w:rPr>
          <w:lang w:val="mk-MK"/>
        </w:rPr>
        <w:t>ичкото</w:t>
      </w:r>
      <w:r w:rsidRPr="00D166D9">
        <w:rPr>
          <w:lang w:val="mk-MK"/>
        </w:rPr>
        <w:t xml:space="preserve"> право.</w:t>
      </w:r>
      <w:r w:rsidR="00D50978">
        <w:rPr>
          <w:lang w:val="mk-MK"/>
        </w:rPr>
        <w:t xml:space="preserve"> Оттука,</w:t>
      </w:r>
      <w:r w:rsidRPr="00D166D9">
        <w:rPr>
          <w:lang w:val="mk-MK"/>
        </w:rPr>
        <w:t xml:space="preserve"> трансформирањето на наднационалните норми во ефективна домашна пракса на учество бара повеќе од формална транспозиција</w:t>
      </w:r>
      <w:r w:rsidR="00D50978">
        <w:rPr>
          <w:lang w:val="mk-MK"/>
        </w:rPr>
        <w:t>.</w:t>
      </w:r>
      <w:r w:rsidR="003721C5">
        <w:rPr>
          <w:rStyle w:val="FootnoteReference"/>
          <w:lang w:val="mk-MK"/>
        </w:rPr>
        <w:footnoteReference w:id="312"/>
      </w:r>
      <w:r w:rsidR="00D50978">
        <w:rPr>
          <w:lang w:val="mk-MK"/>
        </w:rPr>
        <w:t xml:space="preserve"> П</w:t>
      </w:r>
      <w:r w:rsidRPr="00D166D9">
        <w:rPr>
          <w:lang w:val="mk-MK"/>
        </w:rPr>
        <w:t>отребни се институционална подготвеност, соодветни санкции, култу</w:t>
      </w:r>
      <w:r w:rsidR="00D50978">
        <w:rPr>
          <w:lang w:val="mk-MK"/>
        </w:rPr>
        <w:t>ролошки</w:t>
      </w:r>
      <w:r w:rsidRPr="00D166D9">
        <w:rPr>
          <w:lang w:val="mk-MK"/>
        </w:rPr>
        <w:t xml:space="preserve"> промени и партиципативни механизми кои даваат суштинска моќ на работниците, а не само</w:t>
      </w:r>
      <w:r w:rsidR="004F3278">
        <w:rPr>
          <w:lang w:val="mk-MK"/>
        </w:rPr>
        <w:t xml:space="preserve"> процедурални </w:t>
      </w:r>
      <w:r w:rsidR="00193BC5">
        <w:rPr>
          <w:lang w:val="mk-MK"/>
        </w:rPr>
        <w:t>измени</w:t>
      </w:r>
      <w:r w:rsidR="004F3278">
        <w:rPr>
          <w:lang w:val="mk-MK"/>
        </w:rPr>
        <w:t xml:space="preserve">. </w:t>
      </w:r>
    </w:p>
    <w:p w14:paraId="1ED261BE" w14:textId="7192254C" w:rsidR="008D6774" w:rsidRDefault="00C14D6A" w:rsidP="008D6774">
      <w:pPr>
        <w:pStyle w:val="BodyText"/>
        <w:spacing w:before="240"/>
        <w:ind w:firstLine="720"/>
        <w:jc w:val="both"/>
        <w:rPr>
          <w:lang w:val="en-US"/>
        </w:rPr>
      </w:pPr>
      <w:r>
        <w:rPr>
          <w:lang w:val="mk-MK"/>
        </w:rPr>
        <w:t>Со цел</w:t>
      </w:r>
      <w:r w:rsidRPr="00C14D6A">
        <w:rPr>
          <w:lang w:val="mk-MK"/>
        </w:rPr>
        <w:t xml:space="preserve"> систем</w:t>
      </w:r>
      <w:r w:rsidR="00795D63">
        <w:rPr>
          <w:lang w:val="mk-MK"/>
        </w:rPr>
        <w:t>ско</w:t>
      </w:r>
      <w:r w:rsidRPr="00C14D6A">
        <w:rPr>
          <w:lang w:val="mk-MK"/>
        </w:rPr>
        <w:t xml:space="preserve"> идентификување, презентирање и аналитичка проценка на клучните меѓународни стандарди кои го уредуваат или влијаат на вклучувањето на вработените во корпоративното управување</w:t>
      </w:r>
      <w:r w:rsidR="00E73967">
        <w:rPr>
          <w:lang w:val="mk-MK"/>
        </w:rPr>
        <w:t>,</w:t>
      </w:r>
      <w:r w:rsidRPr="00C14D6A">
        <w:rPr>
          <w:lang w:val="mk-MK"/>
        </w:rPr>
        <w:t xml:space="preserve"> поглавјето ќе опфати</w:t>
      </w:r>
      <w:r w:rsidR="00D94DFB">
        <w:rPr>
          <w:lang w:val="mk-MK"/>
        </w:rPr>
        <w:t xml:space="preserve"> повеќе елементи. </w:t>
      </w:r>
      <w:r w:rsidR="00E73967">
        <w:rPr>
          <w:lang w:val="mk-MK"/>
        </w:rPr>
        <w:t>Во таа линија, особено од значење се</w:t>
      </w:r>
      <w:r w:rsidRPr="00C14D6A">
        <w:rPr>
          <w:lang w:val="mk-MK"/>
        </w:rPr>
        <w:t xml:space="preserve"> инструменти</w:t>
      </w:r>
      <w:r w:rsidR="00E73967">
        <w:rPr>
          <w:lang w:val="mk-MK"/>
        </w:rPr>
        <w:t>те</w:t>
      </w:r>
      <w:r w:rsidRPr="00C14D6A">
        <w:rPr>
          <w:lang w:val="mk-MK"/>
        </w:rPr>
        <w:t xml:space="preserve"> на Меѓународната организација на трудот (МОТ), клучни</w:t>
      </w:r>
      <w:r w:rsidR="00E73967">
        <w:rPr>
          <w:lang w:val="mk-MK"/>
        </w:rPr>
        <w:t>те</w:t>
      </w:r>
      <w:r w:rsidRPr="00C14D6A">
        <w:rPr>
          <w:lang w:val="mk-MK"/>
        </w:rPr>
        <w:t xml:space="preserve"> принципи од Организацијата за економска соработка и развој (ОЕЦД), релевантни</w:t>
      </w:r>
      <w:r w:rsidR="00E73967">
        <w:rPr>
          <w:lang w:val="mk-MK"/>
        </w:rPr>
        <w:t>те</w:t>
      </w:r>
      <w:r w:rsidRPr="00C14D6A">
        <w:rPr>
          <w:lang w:val="mk-MK"/>
        </w:rPr>
        <w:t xml:space="preserve"> инструменти на Советот на Европа и Европската Унија, глобалните иницијативи на Обединетите нации</w:t>
      </w:r>
      <w:r w:rsidR="00EF7AE6">
        <w:rPr>
          <w:lang w:val="mk-MK"/>
        </w:rPr>
        <w:t>,</w:t>
      </w:r>
      <w:r w:rsidRPr="00C14D6A">
        <w:rPr>
          <w:lang w:val="mk-MK"/>
        </w:rPr>
        <w:t xml:space="preserve"> вклучително и Насоките за бизнис и </w:t>
      </w:r>
      <w:r w:rsidRPr="00C14D6A">
        <w:rPr>
          <w:lang w:val="mk-MK"/>
        </w:rPr>
        <w:lastRenderedPageBreak/>
        <w:t xml:space="preserve">човекови права, како и улогата на кодекси и други меки норми. </w:t>
      </w:r>
    </w:p>
    <w:p w14:paraId="39C27F86" w14:textId="0A107485" w:rsidR="00C974E2" w:rsidRDefault="008D6774" w:rsidP="002F20FF">
      <w:pPr>
        <w:pStyle w:val="BodyText"/>
        <w:spacing w:before="240" w:after="240"/>
        <w:ind w:firstLine="720"/>
        <w:jc w:val="both"/>
        <w:rPr>
          <w:lang w:val="mk-MK"/>
        </w:rPr>
      </w:pPr>
      <w:r>
        <w:rPr>
          <w:lang w:val="mk-MK"/>
        </w:rPr>
        <w:t>Од</w:t>
      </w:r>
      <w:r w:rsidR="006F348D" w:rsidRPr="006F348D">
        <w:rPr>
          <w:lang w:val="mk-MK"/>
        </w:rPr>
        <w:t xml:space="preserve"> аналитички</w:t>
      </w:r>
      <w:r>
        <w:rPr>
          <w:lang w:val="mk-MK"/>
        </w:rPr>
        <w:t xml:space="preserve"> аспект</w:t>
      </w:r>
      <w:r w:rsidR="006F348D" w:rsidRPr="006F348D">
        <w:rPr>
          <w:lang w:val="mk-MK"/>
        </w:rPr>
        <w:t xml:space="preserve">, </w:t>
      </w:r>
      <w:r w:rsidR="00851CE3">
        <w:rPr>
          <w:lang w:val="mk-MK"/>
        </w:rPr>
        <w:t>ќе се разгледаат</w:t>
      </w:r>
      <w:r w:rsidR="006F348D" w:rsidRPr="006F348D">
        <w:rPr>
          <w:lang w:val="mk-MK"/>
        </w:rPr>
        <w:t xml:space="preserve"> </w:t>
      </w:r>
      <w:r w:rsidR="00851CE3">
        <w:rPr>
          <w:lang w:val="mk-MK"/>
        </w:rPr>
        <w:t xml:space="preserve">различни извори на </w:t>
      </w:r>
      <w:r w:rsidR="006F348D" w:rsidRPr="006F348D">
        <w:rPr>
          <w:lang w:val="mk-MK"/>
        </w:rPr>
        <w:t>права и процедури за вклучување на работниците</w:t>
      </w:r>
      <w:r w:rsidR="009A0CA5">
        <w:rPr>
          <w:lang w:val="mk-MK"/>
        </w:rPr>
        <w:t xml:space="preserve">, </w:t>
      </w:r>
      <w:r w:rsidR="0072061D">
        <w:rPr>
          <w:lang w:val="mk-MK"/>
        </w:rPr>
        <w:t xml:space="preserve">нивното </w:t>
      </w:r>
      <w:r w:rsidR="009A0CA5">
        <w:rPr>
          <w:lang w:val="mk-MK"/>
        </w:rPr>
        <w:t>институционално спроведување</w:t>
      </w:r>
      <w:r w:rsidR="00445F0F">
        <w:rPr>
          <w:lang w:val="mk-MK"/>
        </w:rPr>
        <w:t>,</w:t>
      </w:r>
      <w:r w:rsidR="0072061D">
        <w:rPr>
          <w:lang w:val="mk-MK"/>
        </w:rPr>
        <w:t xml:space="preserve"> </w:t>
      </w:r>
      <w:r w:rsidR="006F348D" w:rsidRPr="006F348D">
        <w:rPr>
          <w:lang w:val="mk-MK"/>
        </w:rPr>
        <w:t>механизми</w:t>
      </w:r>
      <w:r w:rsidR="0072061D">
        <w:rPr>
          <w:lang w:val="mk-MK"/>
        </w:rPr>
        <w:t>те</w:t>
      </w:r>
      <w:r w:rsidR="006F348D" w:rsidRPr="006F348D">
        <w:rPr>
          <w:lang w:val="mk-MK"/>
        </w:rPr>
        <w:t xml:space="preserve"> за надзор</w:t>
      </w:r>
      <w:r w:rsidR="00445F0F">
        <w:rPr>
          <w:lang w:val="mk-MK"/>
        </w:rPr>
        <w:t>, но и</w:t>
      </w:r>
      <w:r w:rsidR="006F348D" w:rsidRPr="006F348D">
        <w:rPr>
          <w:lang w:val="mk-MK"/>
        </w:rPr>
        <w:t xml:space="preserve"> правни</w:t>
      </w:r>
      <w:r w:rsidR="00876337">
        <w:rPr>
          <w:lang w:val="mk-MK"/>
        </w:rPr>
        <w:t>те</w:t>
      </w:r>
      <w:r w:rsidR="006F348D" w:rsidRPr="006F348D">
        <w:rPr>
          <w:lang w:val="mk-MK"/>
        </w:rPr>
        <w:t xml:space="preserve"> и политички</w:t>
      </w:r>
      <w:r w:rsidR="00876337">
        <w:rPr>
          <w:lang w:val="mk-MK"/>
        </w:rPr>
        <w:t>те</w:t>
      </w:r>
      <w:r w:rsidR="006F348D" w:rsidRPr="006F348D">
        <w:rPr>
          <w:lang w:val="mk-MK"/>
        </w:rPr>
        <w:t xml:space="preserve"> ограничувања</w:t>
      </w:r>
      <w:r w:rsidR="00271B80">
        <w:rPr>
          <w:lang w:val="mk-MK"/>
        </w:rPr>
        <w:t xml:space="preserve"> кои</w:t>
      </w:r>
      <w:r w:rsidR="006F348D" w:rsidRPr="006F348D">
        <w:rPr>
          <w:lang w:val="mk-MK"/>
        </w:rPr>
        <w:t xml:space="preserve"> се јавуваат при трансферот на овие стандарди во национални правни рамки, особено во </w:t>
      </w:r>
      <w:r w:rsidR="00445F0F">
        <w:rPr>
          <w:lang w:val="mk-MK"/>
        </w:rPr>
        <w:t>македонски контекст</w:t>
      </w:r>
      <w:r w:rsidR="006F348D" w:rsidRPr="006F348D">
        <w:rPr>
          <w:lang w:val="mk-MK"/>
        </w:rPr>
        <w:t>. Оваа анализа има за цел да ги открие позитивните ефекти</w:t>
      </w:r>
      <w:r w:rsidR="001239C7">
        <w:rPr>
          <w:lang w:val="en-US"/>
        </w:rPr>
        <w:t xml:space="preserve">, </w:t>
      </w:r>
      <w:r w:rsidR="001239C7">
        <w:rPr>
          <w:lang w:val="mk-MK"/>
        </w:rPr>
        <w:t>како</w:t>
      </w:r>
      <w:r w:rsidR="00A1201F">
        <w:rPr>
          <w:lang w:val="mk-MK"/>
        </w:rPr>
        <w:t xml:space="preserve"> надминувањето на</w:t>
      </w:r>
      <w:r w:rsidR="001239C7">
        <w:rPr>
          <w:lang w:val="mk-MK"/>
        </w:rPr>
        <w:t xml:space="preserve"> </w:t>
      </w:r>
      <w:r w:rsidR="001239C7" w:rsidRPr="006F348D">
        <w:rPr>
          <w:lang w:val="mk-MK"/>
        </w:rPr>
        <w:t>реформска</w:t>
      </w:r>
      <w:r w:rsidR="00C4206B">
        <w:rPr>
          <w:lang w:val="mk-MK"/>
        </w:rPr>
        <w:t>та</w:t>
      </w:r>
      <w:r w:rsidR="001239C7" w:rsidRPr="006F348D">
        <w:rPr>
          <w:lang w:val="mk-MK"/>
        </w:rPr>
        <w:t xml:space="preserve"> инерција</w:t>
      </w:r>
      <w:r w:rsidR="001239C7">
        <w:rPr>
          <w:lang w:val="mk-MK"/>
        </w:rPr>
        <w:t xml:space="preserve"> или</w:t>
      </w:r>
      <w:r w:rsidR="001239C7" w:rsidRPr="006F348D">
        <w:rPr>
          <w:lang w:val="mk-MK"/>
        </w:rPr>
        <w:t xml:space="preserve"> унапреден културен дискурс за партиципација</w:t>
      </w:r>
      <w:r w:rsidR="001239C7">
        <w:rPr>
          <w:lang w:val="mk-MK"/>
        </w:rPr>
        <w:t>,</w:t>
      </w:r>
      <w:r w:rsidR="006F348D" w:rsidRPr="006F348D">
        <w:rPr>
          <w:lang w:val="mk-MK"/>
        </w:rPr>
        <w:t xml:space="preserve"> и ограничувањата</w:t>
      </w:r>
      <w:r w:rsidR="001239C7">
        <w:rPr>
          <w:lang w:val="mk-MK"/>
        </w:rPr>
        <w:t>, како</w:t>
      </w:r>
      <w:r w:rsidR="006F348D" w:rsidRPr="006F348D">
        <w:rPr>
          <w:lang w:val="mk-MK"/>
        </w:rPr>
        <w:t xml:space="preserve"> формализ</w:t>
      </w:r>
      <w:r w:rsidR="00C4206B">
        <w:rPr>
          <w:lang w:val="mk-MK"/>
        </w:rPr>
        <w:t>мот</w:t>
      </w:r>
      <w:r w:rsidR="006F348D" w:rsidRPr="006F348D">
        <w:rPr>
          <w:lang w:val="mk-MK"/>
        </w:rPr>
        <w:t>, слабост</w:t>
      </w:r>
      <w:r w:rsidR="00C4206B">
        <w:rPr>
          <w:lang w:val="mk-MK"/>
        </w:rPr>
        <w:t>а</w:t>
      </w:r>
      <w:r w:rsidR="006F348D" w:rsidRPr="006F348D">
        <w:rPr>
          <w:lang w:val="mk-MK"/>
        </w:rPr>
        <w:t xml:space="preserve"> на институциите</w:t>
      </w:r>
      <w:r w:rsidR="00C4206B">
        <w:rPr>
          <w:lang w:val="mk-MK"/>
        </w:rPr>
        <w:t xml:space="preserve"> и</w:t>
      </w:r>
      <w:r w:rsidR="006F348D" w:rsidRPr="006F348D">
        <w:rPr>
          <w:lang w:val="mk-MK"/>
        </w:rPr>
        <w:t xml:space="preserve"> конфликт</w:t>
      </w:r>
      <w:r w:rsidR="00C4206B">
        <w:rPr>
          <w:lang w:val="mk-MK"/>
        </w:rPr>
        <w:t>от</w:t>
      </w:r>
      <w:r w:rsidR="006F348D" w:rsidRPr="006F348D">
        <w:rPr>
          <w:lang w:val="mk-MK"/>
        </w:rPr>
        <w:t xml:space="preserve"> </w:t>
      </w:r>
      <w:r w:rsidR="008835C8">
        <w:rPr>
          <w:lang w:val="mk-MK"/>
        </w:rPr>
        <w:t>по</w:t>
      </w:r>
      <w:r w:rsidR="006F348D" w:rsidRPr="006F348D">
        <w:rPr>
          <w:lang w:val="mk-MK"/>
        </w:rPr>
        <w:t>меѓу корпоративните и работно-правните интереси.</w:t>
      </w:r>
      <w:r w:rsidR="00244459">
        <w:rPr>
          <w:lang w:val="mk-MK"/>
        </w:rPr>
        <w:t xml:space="preserve"> </w:t>
      </w:r>
    </w:p>
    <w:p w14:paraId="08CD708E" w14:textId="72D6AA5D" w:rsidR="00C974E2" w:rsidRDefault="00C974E2" w:rsidP="002F20FF">
      <w:pPr>
        <w:pStyle w:val="BodyText"/>
        <w:spacing w:before="240" w:after="240"/>
        <w:ind w:firstLine="720"/>
        <w:jc w:val="both"/>
        <w:rPr>
          <w:lang w:val="mk-MK"/>
        </w:rPr>
      </w:pPr>
      <w:r w:rsidRPr="00C974E2">
        <w:rPr>
          <w:lang w:val="mk-MK"/>
        </w:rPr>
        <w:t>Реформската инерција се однесува на тенденцијата на постоечките институции, правила и практики да го одложуваат или успоруваат процесот на промена, дури и кога постои формална или нормативна поддршка за реформа.</w:t>
      </w:r>
      <w:r w:rsidR="00C15AE3">
        <w:rPr>
          <w:rStyle w:val="FootnoteReference"/>
          <w:lang w:val="mk-MK"/>
        </w:rPr>
        <w:footnoteReference w:id="313"/>
      </w:r>
      <w:r w:rsidRPr="00C974E2">
        <w:rPr>
          <w:lang w:val="mk-MK"/>
        </w:rPr>
        <w:t xml:space="preserve"> Идејата е дека постојните структури</w:t>
      </w:r>
      <w:r w:rsidR="0067590A">
        <w:rPr>
          <w:lang w:val="mk-MK"/>
        </w:rPr>
        <w:t xml:space="preserve">, </w:t>
      </w:r>
      <w:r w:rsidRPr="00C974E2">
        <w:rPr>
          <w:lang w:val="mk-MK"/>
        </w:rPr>
        <w:t>законодавство, бирократски процедури, организациски навики, културни очекувања</w:t>
      </w:r>
      <w:r w:rsidR="0067590A">
        <w:rPr>
          <w:lang w:val="mk-MK"/>
        </w:rPr>
        <w:t xml:space="preserve"> и слично,</w:t>
      </w:r>
      <w:r w:rsidRPr="00C974E2">
        <w:rPr>
          <w:lang w:val="mk-MK"/>
        </w:rPr>
        <w:t xml:space="preserve"> создаваат отпор на промена. Во контекст на корпоративно управување, реформската инерција може да се манифестира на повеќе начини</w:t>
      </w:r>
      <w:r w:rsidR="002F3497">
        <w:rPr>
          <w:lang w:val="mk-MK"/>
        </w:rPr>
        <w:t>. Еден</w:t>
      </w:r>
      <w:r w:rsidRPr="00C974E2">
        <w:rPr>
          <w:lang w:val="mk-MK"/>
        </w:rPr>
        <w:t xml:space="preserve"> пример</w:t>
      </w:r>
      <w:r w:rsidR="002F3497">
        <w:rPr>
          <w:lang w:val="mk-MK"/>
        </w:rPr>
        <w:t xml:space="preserve"> за тоа е</w:t>
      </w:r>
      <w:r w:rsidRPr="00C974E2">
        <w:rPr>
          <w:lang w:val="mk-MK"/>
        </w:rPr>
        <w:t xml:space="preserve"> законски предвидено</w:t>
      </w:r>
      <w:r w:rsidR="002F3497">
        <w:rPr>
          <w:lang w:val="mk-MK"/>
        </w:rPr>
        <w:t>то</w:t>
      </w:r>
      <w:r w:rsidRPr="00C974E2">
        <w:rPr>
          <w:lang w:val="mk-MK"/>
        </w:rPr>
        <w:t xml:space="preserve"> информирање и консултирање на работници</w:t>
      </w:r>
      <w:r w:rsidR="000F6698">
        <w:rPr>
          <w:lang w:val="en-US"/>
        </w:rPr>
        <w:t xml:space="preserve"> </w:t>
      </w:r>
      <w:r w:rsidR="000F6698">
        <w:rPr>
          <w:lang w:val="mk-MK"/>
        </w:rPr>
        <w:t>во Македонија</w:t>
      </w:r>
      <w:r w:rsidRPr="00C974E2">
        <w:rPr>
          <w:lang w:val="mk-MK"/>
        </w:rPr>
        <w:t xml:space="preserve">, </w:t>
      </w:r>
      <w:r w:rsidR="002F3497">
        <w:rPr>
          <w:lang w:val="mk-MK"/>
        </w:rPr>
        <w:t>кое</w:t>
      </w:r>
      <w:r w:rsidRPr="00C974E2">
        <w:rPr>
          <w:lang w:val="mk-MK"/>
        </w:rPr>
        <w:t xml:space="preserve"> во практика </w:t>
      </w:r>
      <w:r w:rsidR="002F3497">
        <w:rPr>
          <w:lang w:val="mk-MK"/>
        </w:rPr>
        <w:t>речиси секаде е</w:t>
      </w:r>
      <w:r w:rsidRPr="00C974E2">
        <w:rPr>
          <w:lang w:val="mk-MK"/>
        </w:rPr>
        <w:t xml:space="preserve"> игнорир</w:t>
      </w:r>
      <w:r w:rsidR="002F3497">
        <w:rPr>
          <w:lang w:val="mk-MK"/>
        </w:rPr>
        <w:t>ано</w:t>
      </w:r>
      <w:r w:rsidRPr="00C974E2">
        <w:rPr>
          <w:lang w:val="mk-MK"/>
        </w:rPr>
        <w:t>.</w:t>
      </w:r>
      <w:r w:rsidR="003C6106">
        <w:rPr>
          <w:rStyle w:val="FootnoteReference"/>
          <w:lang w:val="mk-MK"/>
        </w:rPr>
        <w:footnoteReference w:id="314"/>
      </w:r>
      <w:r w:rsidRPr="00C974E2">
        <w:rPr>
          <w:lang w:val="mk-MK"/>
        </w:rPr>
        <w:t xml:space="preserve"> </w:t>
      </w:r>
      <w:r w:rsidR="009D20FC">
        <w:rPr>
          <w:lang w:val="mk-MK"/>
        </w:rPr>
        <w:t>Друг пример е впечатокот што се добива дека</w:t>
      </w:r>
      <w:r w:rsidRPr="00C974E2">
        <w:rPr>
          <w:lang w:val="mk-MK"/>
        </w:rPr>
        <w:t xml:space="preserve"> менаџментот или одборите на компании</w:t>
      </w:r>
      <w:r w:rsidR="009D20FC">
        <w:rPr>
          <w:lang w:val="mk-MK"/>
        </w:rPr>
        <w:t>те во Македонија</w:t>
      </w:r>
      <w:r w:rsidRPr="00C974E2">
        <w:rPr>
          <w:lang w:val="mk-MK"/>
        </w:rPr>
        <w:t xml:space="preserve"> ја блокираат иновацијата заради навики, страв од губење моќ или </w:t>
      </w:r>
      <w:r w:rsidR="00282980">
        <w:rPr>
          <w:lang w:val="mk-MK"/>
        </w:rPr>
        <w:t>непознавање на</w:t>
      </w:r>
      <w:r w:rsidRPr="00C974E2">
        <w:rPr>
          <w:lang w:val="mk-MK"/>
        </w:rPr>
        <w:t xml:space="preserve"> нови стандарди. </w:t>
      </w:r>
      <w:r w:rsidR="009D20FC">
        <w:rPr>
          <w:lang w:val="mk-MK"/>
        </w:rPr>
        <w:t>Ова важи и за</w:t>
      </w:r>
      <w:r w:rsidRPr="00C974E2">
        <w:rPr>
          <w:lang w:val="mk-MK"/>
        </w:rPr>
        <w:t xml:space="preserve"> јавните претпријатија, каде што политички</w:t>
      </w:r>
      <w:r w:rsidR="009D20FC">
        <w:rPr>
          <w:lang w:val="mk-MK"/>
        </w:rPr>
        <w:t>те</w:t>
      </w:r>
      <w:r w:rsidRPr="00C974E2">
        <w:rPr>
          <w:lang w:val="mk-MK"/>
        </w:rPr>
        <w:t xml:space="preserve"> влијанија се силни</w:t>
      </w:r>
      <w:r w:rsidR="009D20FC">
        <w:rPr>
          <w:lang w:val="mk-MK"/>
        </w:rPr>
        <w:t xml:space="preserve"> и природно</w:t>
      </w:r>
      <w:r w:rsidRPr="00C974E2">
        <w:rPr>
          <w:lang w:val="mk-MK"/>
        </w:rPr>
        <w:t xml:space="preserve"> имаат вграден отпор кон ефективни механизми на учество на работниците. Реформската инерција е важен концепт затоа што објаснува зошто формалната транспозиција на европски или меѓународни стандарди не значи автоматски нивна функционална имплементација. Во практиката на Македонија, примерите на ограничена употреба на </w:t>
      </w:r>
      <w:r w:rsidR="00816321">
        <w:rPr>
          <w:lang w:val="mk-MK"/>
        </w:rPr>
        <w:t>р</w:t>
      </w:r>
      <w:r w:rsidRPr="00C974E2">
        <w:rPr>
          <w:lang w:val="mk-MK"/>
        </w:rPr>
        <w:t xml:space="preserve">аботнички совети или формален социјален дијалог </w:t>
      </w:r>
      <w:r w:rsidR="00816321">
        <w:rPr>
          <w:lang w:val="mk-MK"/>
        </w:rPr>
        <w:t xml:space="preserve">дополнително </w:t>
      </w:r>
      <w:r w:rsidRPr="00C974E2">
        <w:rPr>
          <w:lang w:val="mk-MK"/>
        </w:rPr>
        <w:t>ја илустрираат токму оваа појава.</w:t>
      </w:r>
    </w:p>
    <w:p w14:paraId="7D759954" w14:textId="5211DD63" w:rsidR="004E5726" w:rsidRDefault="00003271" w:rsidP="002F20FF">
      <w:pPr>
        <w:pStyle w:val="BodyText"/>
        <w:spacing w:before="240" w:after="240"/>
        <w:ind w:firstLine="720"/>
        <w:jc w:val="both"/>
        <w:rPr>
          <w:lang w:val="mk-MK"/>
        </w:rPr>
      </w:pPr>
      <w:r>
        <w:rPr>
          <w:lang w:val="mk-MK"/>
        </w:rPr>
        <w:t>Од друга страна, у</w:t>
      </w:r>
      <w:r w:rsidR="004E5726" w:rsidRPr="004E5726">
        <w:rPr>
          <w:lang w:val="mk-MK"/>
        </w:rPr>
        <w:t>напреден</w:t>
      </w:r>
      <w:r>
        <w:rPr>
          <w:lang w:val="mk-MK"/>
        </w:rPr>
        <w:t>иот</w:t>
      </w:r>
      <w:r w:rsidR="004E5726" w:rsidRPr="004E5726">
        <w:rPr>
          <w:lang w:val="mk-MK"/>
        </w:rPr>
        <w:t xml:space="preserve"> културен дискурс за партиципација </w:t>
      </w:r>
      <w:r>
        <w:rPr>
          <w:lang w:val="mk-MK"/>
        </w:rPr>
        <w:t>е</w:t>
      </w:r>
      <w:r w:rsidR="004E5726" w:rsidRPr="004E5726">
        <w:rPr>
          <w:lang w:val="mk-MK"/>
        </w:rPr>
        <w:t xml:space="preserve"> концепт</w:t>
      </w:r>
      <w:r>
        <w:rPr>
          <w:lang w:val="mk-MK"/>
        </w:rPr>
        <w:t xml:space="preserve"> кој</w:t>
      </w:r>
      <w:r w:rsidR="004E5726" w:rsidRPr="004E5726">
        <w:rPr>
          <w:lang w:val="mk-MK"/>
        </w:rPr>
        <w:t xml:space="preserve"> се однесува на свесното формирање и промовирање на културни и идеолошки рамки кои поддржуваат активно учество на засегнатите страни во процесите на одлучување.</w:t>
      </w:r>
      <w:r w:rsidR="00D34914">
        <w:rPr>
          <w:rStyle w:val="FootnoteReference"/>
          <w:lang w:val="mk-MK"/>
        </w:rPr>
        <w:footnoteReference w:id="315"/>
      </w:r>
      <w:r w:rsidR="004E5726" w:rsidRPr="004E5726">
        <w:rPr>
          <w:lang w:val="mk-MK"/>
        </w:rPr>
        <w:t xml:space="preserve"> </w:t>
      </w:r>
      <w:r w:rsidR="00D34914">
        <w:rPr>
          <w:lang w:val="mk-MK"/>
        </w:rPr>
        <w:t>Ова не значи само</w:t>
      </w:r>
      <w:r w:rsidR="004E5726" w:rsidRPr="004E5726">
        <w:rPr>
          <w:lang w:val="mk-MK"/>
        </w:rPr>
        <w:t xml:space="preserve"> формално нормирање</w:t>
      </w:r>
      <w:r w:rsidR="00D34914">
        <w:rPr>
          <w:lang w:val="mk-MK"/>
        </w:rPr>
        <w:t>, туку</w:t>
      </w:r>
      <w:r w:rsidR="004E5726" w:rsidRPr="004E5726">
        <w:rPr>
          <w:lang w:val="mk-MK"/>
        </w:rPr>
        <w:t xml:space="preserve"> создавање на колективна свест, вредносни ориентации и говорни практики кои ја прават партиципацијата очекувана, легитимна и културно вкоренета. </w:t>
      </w:r>
      <w:r w:rsidR="00392464">
        <w:rPr>
          <w:lang w:val="mk-MK"/>
        </w:rPr>
        <w:t>Таков пример во</w:t>
      </w:r>
      <w:r w:rsidR="004E5726" w:rsidRPr="004E5726">
        <w:rPr>
          <w:lang w:val="mk-MK"/>
        </w:rPr>
        <w:t xml:space="preserve"> корпоративниот контекст би била организациска култура каде што работниците се охрабруваат да учествуваат во донесување</w:t>
      </w:r>
      <w:r w:rsidR="00392464">
        <w:rPr>
          <w:lang w:val="mk-MK"/>
        </w:rPr>
        <w:t>то</w:t>
      </w:r>
      <w:r w:rsidR="004E5726" w:rsidRPr="004E5726">
        <w:rPr>
          <w:lang w:val="mk-MK"/>
        </w:rPr>
        <w:t xml:space="preserve"> одлуки, се почитуваат нивните совети и нивното застапување се смета за дел од демократската практика во компанијата. Во национални и институционални рамки, тоа е развој на дискурс каде што правата на работниците за информирање, консултација и ко-одлучување се прикажуваат не како формална обврска, туку како етичка и демократска норма</w:t>
      </w:r>
      <w:r w:rsidR="00272D19">
        <w:rPr>
          <w:lang w:val="mk-MK"/>
        </w:rPr>
        <w:t xml:space="preserve"> од која придобивка имаат првенствено трговските друштва</w:t>
      </w:r>
      <w:r w:rsidR="004E5726" w:rsidRPr="004E5726">
        <w:rPr>
          <w:lang w:val="mk-MK"/>
        </w:rPr>
        <w:t xml:space="preserve">. Илустративно, Европската социјална повелба и јуриспруденцијата на ЕСЧП создаваат основа за унапреден културен дискурс бидејќи преку нивното толкување и применување се промовира идеја дека работничкото учество е суштински дел од демократската </w:t>
      </w:r>
      <w:r w:rsidR="004E5726" w:rsidRPr="004E5726">
        <w:rPr>
          <w:lang w:val="mk-MK"/>
        </w:rPr>
        <w:lastRenderedPageBreak/>
        <w:t>легитимност на економските и корпоративните процеси, а не само технички механизам за управување.</w:t>
      </w:r>
    </w:p>
    <w:p w14:paraId="32F27507" w14:textId="3FFE27E2" w:rsidR="00310B7A" w:rsidRDefault="001E047E" w:rsidP="002F20FF">
      <w:pPr>
        <w:pStyle w:val="BodyText"/>
        <w:spacing w:before="240" w:after="240"/>
        <w:ind w:firstLine="720"/>
        <w:jc w:val="both"/>
        <w:rPr>
          <w:lang w:val="mk-MK"/>
        </w:rPr>
      </w:pPr>
      <w:r>
        <w:rPr>
          <w:lang w:val="mk-MK"/>
        </w:rPr>
        <w:t>Во однос на ограничувањата, с</w:t>
      </w:r>
      <w:r w:rsidRPr="001E047E">
        <w:rPr>
          <w:lang w:val="mk-MK"/>
        </w:rPr>
        <w:t xml:space="preserve">лабите институции се карактеризираат со ограничена административна </w:t>
      </w:r>
      <w:r w:rsidR="00E63EF9">
        <w:rPr>
          <w:lang w:val="mk-MK"/>
        </w:rPr>
        <w:t>кадарност</w:t>
      </w:r>
      <w:r w:rsidRPr="001E047E">
        <w:rPr>
          <w:lang w:val="mk-MK"/>
        </w:rPr>
        <w:t>, непредвидлива примена на правото, информирана селективност во регулаторниот надзор и недоволна способност да санкционираат неправилности.</w:t>
      </w:r>
      <w:r w:rsidR="00E63EF9">
        <w:rPr>
          <w:rStyle w:val="FootnoteReference"/>
          <w:lang w:val="mk-MK"/>
        </w:rPr>
        <w:footnoteReference w:id="316"/>
      </w:r>
      <w:r w:rsidRPr="001E047E">
        <w:rPr>
          <w:lang w:val="mk-MK"/>
        </w:rPr>
        <w:t xml:space="preserve"> Во контекст на корпоративното управување, ова </w:t>
      </w:r>
      <w:r w:rsidR="00E95E38">
        <w:rPr>
          <w:lang w:val="mk-MK"/>
        </w:rPr>
        <w:t>се манифестира така што</w:t>
      </w:r>
      <w:r w:rsidRPr="001E047E">
        <w:rPr>
          <w:lang w:val="mk-MK"/>
        </w:rPr>
        <w:t xml:space="preserve"> </w:t>
      </w:r>
      <w:r w:rsidR="00E95E38">
        <w:rPr>
          <w:lang w:val="mk-MK"/>
        </w:rPr>
        <w:t>с</w:t>
      </w:r>
      <w:r w:rsidRPr="001E047E">
        <w:rPr>
          <w:lang w:val="mk-MK"/>
        </w:rPr>
        <w:t xml:space="preserve">тандардите за транспарентност, отчетност, работничко учество или заштита од корупција постојат на хартија, но институциите немаат капацитет </w:t>
      </w:r>
      <w:r w:rsidR="00E95E38">
        <w:rPr>
          <w:lang w:val="mk-MK"/>
        </w:rPr>
        <w:t>и/</w:t>
      </w:r>
      <w:r w:rsidRPr="001E047E">
        <w:rPr>
          <w:lang w:val="mk-MK"/>
        </w:rPr>
        <w:t xml:space="preserve">или волја да ги спроведат. </w:t>
      </w:r>
      <w:r w:rsidR="00292061">
        <w:rPr>
          <w:lang w:val="mk-MK"/>
        </w:rPr>
        <w:t>Понатаму, о</w:t>
      </w:r>
      <w:r w:rsidRPr="001E047E">
        <w:rPr>
          <w:lang w:val="mk-MK"/>
        </w:rPr>
        <w:t>дборите, министерствата или агенциите се под влијание на корпоративни или политички елити, со што нивната способност за независен надзор е значително намалена</w:t>
      </w:r>
      <w:r w:rsidR="00292061">
        <w:rPr>
          <w:lang w:val="mk-MK"/>
        </w:rPr>
        <w:t xml:space="preserve"> или непостоечка.</w:t>
      </w:r>
      <w:r w:rsidRPr="001E047E">
        <w:rPr>
          <w:lang w:val="mk-MK"/>
        </w:rPr>
        <w:t xml:space="preserve"> </w:t>
      </w:r>
      <w:r w:rsidR="00292061">
        <w:rPr>
          <w:lang w:val="mk-MK"/>
        </w:rPr>
        <w:t>Последно, ч</w:t>
      </w:r>
      <w:r w:rsidRPr="001E047E">
        <w:rPr>
          <w:lang w:val="mk-MK"/>
        </w:rPr>
        <w:t>естите измени на законите, слабата пракса на инспекциските органи и отсуството на стабилни судски стандарди создаваат средина во која корпоративните актери можат да маневрираат</w:t>
      </w:r>
      <w:r w:rsidR="00310B7A">
        <w:rPr>
          <w:lang w:val="mk-MK"/>
        </w:rPr>
        <w:t xml:space="preserve"> и да се развиваат</w:t>
      </w:r>
      <w:r w:rsidRPr="001E047E">
        <w:rPr>
          <w:lang w:val="mk-MK"/>
        </w:rPr>
        <w:t xml:space="preserve">, а работниците остануваат </w:t>
      </w:r>
      <w:r w:rsidR="00310B7A">
        <w:rPr>
          <w:lang w:val="mk-MK"/>
        </w:rPr>
        <w:t>ефективно не</w:t>
      </w:r>
      <w:r w:rsidRPr="001E047E">
        <w:rPr>
          <w:lang w:val="mk-MK"/>
        </w:rPr>
        <w:t>заштитени. Во такви услови, корпоративното управување зависи повеќе од индивидуалните одлуки на менаџерите отколку од системски правила. Институционалната слабост, според ова разбирање, не е само административен, туку нормативен проблем, бидејќи ја нарушува способноста на државата да го штити јавниот интерес и правата на работниците</w:t>
      </w:r>
      <w:r w:rsidR="00310B7A">
        <w:rPr>
          <w:lang w:val="mk-MK"/>
        </w:rPr>
        <w:t xml:space="preserve"> и на среден и долг рок создава огромни опортуни трошоци по државата</w:t>
      </w:r>
      <w:r w:rsidR="00646768">
        <w:rPr>
          <w:lang w:val="mk-MK"/>
        </w:rPr>
        <w:t xml:space="preserve">, како и изгубена вредност. </w:t>
      </w:r>
      <w:r w:rsidRPr="001E047E">
        <w:rPr>
          <w:lang w:val="mk-MK"/>
        </w:rPr>
        <w:t xml:space="preserve"> </w:t>
      </w:r>
    </w:p>
    <w:p w14:paraId="468C20BC" w14:textId="08D0AD08" w:rsidR="002B35A7" w:rsidRDefault="00B74079" w:rsidP="002F20FF">
      <w:pPr>
        <w:pStyle w:val="BodyText"/>
        <w:spacing w:before="240" w:after="240"/>
        <w:ind w:firstLine="720"/>
        <w:jc w:val="both"/>
        <w:rPr>
          <w:lang w:val="mk-MK"/>
        </w:rPr>
      </w:pPr>
      <w:r>
        <w:rPr>
          <w:lang w:val="mk-MK"/>
        </w:rPr>
        <w:t>Во слична линија</w:t>
      </w:r>
      <w:r w:rsidR="00B03410">
        <w:rPr>
          <w:lang w:val="mk-MK"/>
        </w:rPr>
        <w:t xml:space="preserve"> е и воведување на</w:t>
      </w:r>
      <w:r>
        <w:rPr>
          <w:lang w:val="mk-MK"/>
        </w:rPr>
        <w:t xml:space="preserve"> </w:t>
      </w:r>
      <w:r w:rsidR="00B03410">
        <w:rPr>
          <w:lang w:val="mk-MK"/>
        </w:rPr>
        <w:t>к</w:t>
      </w:r>
      <w:r w:rsidR="001E047E" w:rsidRPr="001E047E">
        <w:rPr>
          <w:lang w:val="mk-MK"/>
        </w:rPr>
        <w:t xml:space="preserve">онфликтот </w:t>
      </w:r>
      <w:r w:rsidR="00646768">
        <w:rPr>
          <w:lang w:val="mk-MK"/>
        </w:rPr>
        <w:t>по</w:t>
      </w:r>
      <w:r w:rsidR="001E047E" w:rsidRPr="001E047E">
        <w:rPr>
          <w:lang w:val="mk-MK"/>
        </w:rPr>
        <w:t>меѓу корпоративните и работно-правните интереси</w:t>
      </w:r>
      <w:r w:rsidR="00B03410">
        <w:rPr>
          <w:lang w:val="mk-MK"/>
        </w:rPr>
        <w:t>.</w:t>
      </w:r>
      <w:r w:rsidR="00BF04E4">
        <w:rPr>
          <w:rStyle w:val="FootnoteReference"/>
          <w:lang w:val="mk-MK"/>
        </w:rPr>
        <w:footnoteReference w:id="317"/>
      </w:r>
      <w:r w:rsidR="00B03410">
        <w:rPr>
          <w:lang w:val="mk-MK"/>
        </w:rPr>
        <w:t xml:space="preserve"> Деловното</w:t>
      </w:r>
      <w:r w:rsidR="001E047E" w:rsidRPr="001E047E">
        <w:rPr>
          <w:lang w:val="mk-MK"/>
        </w:rPr>
        <w:t xml:space="preserve"> </w:t>
      </w:r>
      <w:r w:rsidR="00B03410">
        <w:rPr>
          <w:lang w:val="mk-MK"/>
        </w:rPr>
        <w:t xml:space="preserve">и </w:t>
      </w:r>
      <w:r w:rsidR="00A91C93">
        <w:rPr>
          <w:lang w:val="mk-MK"/>
        </w:rPr>
        <w:t>трудовото</w:t>
      </w:r>
      <w:r w:rsidR="001E047E" w:rsidRPr="001E047E">
        <w:rPr>
          <w:lang w:val="mk-MK"/>
        </w:rPr>
        <w:t xml:space="preserve"> право историски се развивале како одделни, понекогаш конфликтни регулаторни домени. Корпоративното право се фокусира на автономија на менаџментот и максимизација на вредноста за акционерите</w:t>
      </w:r>
      <w:r w:rsidR="00C04C6A">
        <w:rPr>
          <w:lang w:val="mk-MK"/>
        </w:rPr>
        <w:t>,</w:t>
      </w:r>
      <w:r w:rsidR="00C04C6A">
        <w:rPr>
          <w:rStyle w:val="FootnoteReference"/>
          <w:lang w:val="mk-MK"/>
        </w:rPr>
        <w:footnoteReference w:id="318"/>
      </w:r>
      <w:r w:rsidR="001E047E" w:rsidRPr="001E047E">
        <w:rPr>
          <w:lang w:val="mk-MK"/>
        </w:rPr>
        <w:t xml:space="preserve"> </w:t>
      </w:r>
      <w:r w:rsidR="00C04C6A">
        <w:rPr>
          <w:lang w:val="mk-MK"/>
        </w:rPr>
        <w:t>додека трудовото право</w:t>
      </w:r>
      <w:r w:rsidR="001E047E" w:rsidRPr="001E047E">
        <w:rPr>
          <w:lang w:val="mk-MK"/>
        </w:rPr>
        <w:t xml:space="preserve"> се концентрира на заштита на достоинството, безбедноста и економската сигурност на работниците. Овој структурен дуализам создава неколку напнатост</w:t>
      </w:r>
      <w:r w:rsidR="00243699">
        <w:rPr>
          <w:lang w:val="mk-MK"/>
        </w:rPr>
        <w:t>и што донесуваат до д</w:t>
      </w:r>
      <w:r w:rsidR="001E047E" w:rsidRPr="001E047E">
        <w:rPr>
          <w:lang w:val="mk-MK"/>
        </w:rPr>
        <w:t>истрибутивна асиметрија</w:t>
      </w:r>
      <w:r w:rsidR="00243699">
        <w:rPr>
          <w:lang w:val="mk-MK"/>
        </w:rPr>
        <w:t>. Ова значи дека</w:t>
      </w:r>
      <w:r w:rsidR="001E047E" w:rsidRPr="001E047E">
        <w:rPr>
          <w:lang w:val="mk-MK"/>
        </w:rPr>
        <w:t xml:space="preserve"> </w:t>
      </w:r>
      <w:r w:rsidR="00243699">
        <w:rPr>
          <w:lang w:val="mk-MK"/>
        </w:rPr>
        <w:t>к</w:t>
      </w:r>
      <w:r w:rsidR="001E047E" w:rsidRPr="001E047E">
        <w:rPr>
          <w:lang w:val="mk-MK"/>
        </w:rPr>
        <w:t>орпоративните интереси го привилегираат капиталот, додека работн</w:t>
      </w:r>
      <w:r w:rsidR="00243699">
        <w:rPr>
          <w:lang w:val="mk-MK"/>
        </w:rPr>
        <w:t>ичкото</w:t>
      </w:r>
      <w:r w:rsidR="001E047E" w:rsidRPr="001E047E">
        <w:rPr>
          <w:lang w:val="mk-MK"/>
        </w:rPr>
        <w:t xml:space="preserve"> право го штити трудот; без силни институции, капиталот речиси секогаш има поголема преговарачка моќ.</w:t>
      </w:r>
      <w:r w:rsidR="002B35A7">
        <w:rPr>
          <w:rStyle w:val="FootnoteReference"/>
          <w:lang w:val="mk-MK"/>
        </w:rPr>
        <w:footnoteReference w:id="319"/>
      </w:r>
      <w:r w:rsidR="001E047E" w:rsidRPr="001E047E">
        <w:rPr>
          <w:lang w:val="mk-MK"/>
        </w:rPr>
        <w:t xml:space="preserve"> </w:t>
      </w:r>
    </w:p>
    <w:p w14:paraId="51FFA6EB" w14:textId="39D697B5" w:rsidR="001E047E" w:rsidRDefault="001E047E" w:rsidP="002F20FF">
      <w:pPr>
        <w:pStyle w:val="BodyText"/>
        <w:spacing w:before="240" w:after="240"/>
        <w:ind w:firstLine="720"/>
        <w:jc w:val="both"/>
        <w:rPr>
          <w:lang w:val="mk-MK"/>
        </w:rPr>
      </w:pPr>
      <w:r w:rsidRPr="001E047E">
        <w:rPr>
          <w:lang w:val="mk-MK"/>
        </w:rPr>
        <w:t>Работниците, без механизми за учество или информирање, влегуваат во систем на „слепо следење“ на менаџерските одлуки;</w:t>
      </w:r>
      <w:r w:rsidR="00357072">
        <w:rPr>
          <w:rStyle w:val="FootnoteReference"/>
          <w:lang w:val="mk-MK"/>
        </w:rPr>
        <w:footnoteReference w:id="320"/>
      </w:r>
      <w:r w:rsidRPr="001E047E">
        <w:rPr>
          <w:lang w:val="mk-MK"/>
        </w:rPr>
        <w:t xml:space="preserve"> тоа го ослабува ко-управувањето и ја зголемува корпоративната непрегледност</w:t>
      </w:r>
      <w:r w:rsidR="000F27EA">
        <w:rPr>
          <w:lang w:val="mk-MK"/>
        </w:rPr>
        <w:t xml:space="preserve"> што носи незадоволство за вработените и ризици за компаниите. </w:t>
      </w:r>
      <w:r w:rsidRPr="001E047E">
        <w:rPr>
          <w:lang w:val="mk-MK"/>
        </w:rPr>
        <w:t>Практики како аутсорсинг, фиктивни нарачателски односи, временски договори или неправилно советување при организациски промени ја префрлаат корпоративната економска несигурност врз работниците. Слаб</w:t>
      </w:r>
      <w:r w:rsidR="00FD44D4">
        <w:rPr>
          <w:lang w:val="mk-MK"/>
        </w:rPr>
        <w:t>иот</w:t>
      </w:r>
      <w:r w:rsidRPr="001E047E">
        <w:rPr>
          <w:lang w:val="mk-MK"/>
        </w:rPr>
        <w:t xml:space="preserve"> социјален дијалог, ниска</w:t>
      </w:r>
      <w:r w:rsidR="00FD44D4">
        <w:rPr>
          <w:lang w:val="mk-MK"/>
        </w:rPr>
        <w:t>та</w:t>
      </w:r>
      <w:r w:rsidRPr="001E047E">
        <w:rPr>
          <w:lang w:val="mk-MK"/>
        </w:rPr>
        <w:t xml:space="preserve"> профилација на синдикатите и ретки</w:t>
      </w:r>
      <w:r w:rsidR="00FD44D4">
        <w:rPr>
          <w:lang w:val="mk-MK"/>
        </w:rPr>
        <w:t>те</w:t>
      </w:r>
      <w:r w:rsidRPr="001E047E">
        <w:rPr>
          <w:lang w:val="mk-MK"/>
        </w:rPr>
        <w:t xml:space="preserve"> механизми за работничко учество</w:t>
      </w:r>
      <w:r w:rsidR="00FD44D4">
        <w:rPr>
          <w:lang w:val="mk-MK"/>
        </w:rPr>
        <w:t xml:space="preserve"> дополнително</w:t>
      </w:r>
      <w:r w:rsidRPr="001E047E">
        <w:rPr>
          <w:lang w:val="mk-MK"/>
        </w:rPr>
        <w:t xml:space="preserve"> знач</w:t>
      </w:r>
      <w:r w:rsidR="00FD44D4">
        <w:rPr>
          <w:lang w:val="mk-MK"/>
        </w:rPr>
        <w:t>ат</w:t>
      </w:r>
      <w:r w:rsidRPr="001E047E">
        <w:rPr>
          <w:lang w:val="mk-MK"/>
        </w:rPr>
        <w:t xml:space="preserve"> дека страте</w:t>
      </w:r>
      <w:r w:rsidR="00FD44D4">
        <w:rPr>
          <w:lang w:val="mk-MK"/>
        </w:rPr>
        <w:t>шките</w:t>
      </w:r>
      <w:r w:rsidRPr="001E047E">
        <w:rPr>
          <w:lang w:val="mk-MK"/>
        </w:rPr>
        <w:t xml:space="preserve"> одлуки</w:t>
      </w:r>
      <w:r w:rsidR="00FD44D4">
        <w:rPr>
          <w:lang w:val="mk-MK"/>
        </w:rPr>
        <w:t>,</w:t>
      </w:r>
      <w:r w:rsidRPr="001E047E">
        <w:rPr>
          <w:lang w:val="mk-MK"/>
        </w:rPr>
        <w:t xml:space="preserve"> </w:t>
      </w:r>
      <w:r w:rsidR="00FD44D4">
        <w:rPr>
          <w:lang w:val="mk-MK"/>
        </w:rPr>
        <w:t xml:space="preserve">како </w:t>
      </w:r>
      <w:r w:rsidRPr="001E047E">
        <w:rPr>
          <w:lang w:val="mk-MK"/>
        </w:rPr>
        <w:t>реструктурирање, приватизација, инвестиции</w:t>
      </w:r>
      <w:r w:rsidR="00FD44D4">
        <w:rPr>
          <w:lang w:val="mk-MK"/>
        </w:rPr>
        <w:t>,</w:t>
      </w:r>
      <w:r w:rsidRPr="001E047E">
        <w:rPr>
          <w:lang w:val="mk-MK"/>
        </w:rPr>
        <w:t xml:space="preserve"> се носат без реални контрабаланси. Кога институциите се слаби, овој конфликт се радикализира: корпоративното право ја задржува својата сила</w:t>
      </w:r>
      <w:r w:rsidR="0001594F">
        <w:rPr>
          <w:lang w:val="mk-MK"/>
        </w:rPr>
        <w:t xml:space="preserve">, </w:t>
      </w:r>
      <w:r w:rsidRPr="001E047E">
        <w:rPr>
          <w:lang w:val="mk-MK"/>
        </w:rPr>
        <w:t xml:space="preserve">поради интересите што ги фаворизира, додека </w:t>
      </w:r>
      <w:r w:rsidR="001B33B8">
        <w:rPr>
          <w:lang w:val="mk-MK"/>
        </w:rPr>
        <w:t>трудовото</w:t>
      </w:r>
      <w:r w:rsidRPr="001E047E">
        <w:rPr>
          <w:lang w:val="mk-MK"/>
        </w:rPr>
        <w:t xml:space="preserve"> право станува декларативно, а </w:t>
      </w:r>
      <w:r w:rsidRPr="001E047E">
        <w:rPr>
          <w:lang w:val="mk-MK"/>
        </w:rPr>
        <w:lastRenderedPageBreak/>
        <w:t xml:space="preserve">не оперативно. Во земји како Македонија, слабоста на институциите и конфликтот </w:t>
      </w:r>
      <w:r w:rsidR="00BF4431">
        <w:rPr>
          <w:lang w:val="mk-MK"/>
        </w:rPr>
        <w:t>по</w:t>
      </w:r>
      <w:r w:rsidRPr="001E047E">
        <w:rPr>
          <w:lang w:val="mk-MK"/>
        </w:rPr>
        <w:t>меѓу корпоративните и работно-правните интереси не се само регулаторни недостатоци</w:t>
      </w:r>
      <w:r w:rsidR="00BF4431">
        <w:rPr>
          <w:lang w:val="mk-MK"/>
        </w:rPr>
        <w:t>,</w:t>
      </w:r>
      <w:r w:rsidRPr="001E047E">
        <w:rPr>
          <w:lang w:val="mk-MK"/>
        </w:rPr>
        <w:t xml:space="preserve"> тие се структурни ограничувања кои ја попречуваат демократизацијата на корпоративното управување, ја намалуваат економската праведност и ја ограничуваат ефикасната трансформација кон европски модели на ко-управување.</w:t>
      </w:r>
    </w:p>
    <w:p w14:paraId="616657D1" w14:textId="61F024D1" w:rsidR="00E36770" w:rsidRDefault="001B33B8" w:rsidP="002F20FF">
      <w:pPr>
        <w:pStyle w:val="BodyText"/>
        <w:spacing w:before="240" w:after="240"/>
        <w:ind w:firstLine="720"/>
        <w:jc w:val="both"/>
        <w:rPr>
          <w:lang w:val="mk-MK"/>
        </w:rPr>
      </w:pPr>
      <w:r>
        <w:rPr>
          <w:lang w:val="mk-MK"/>
        </w:rPr>
        <w:t>Конечно</w:t>
      </w:r>
      <w:r w:rsidR="00244459">
        <w:rPr>
          <w:lang w:val="mk-MK"/>
        </w:rPr>
        <w:t>, п</w:t>
      </w:r>
      <w:r w:rsidR="00244459" w:rsidRPr="00244459">
        <w:rPr>
          <w:lang w:val="mk-MK"/>
        </w:rPr>
        <w:t>осебен</w:t>
      </w:r>
      <w:r w:rsidR="00244459">
        <w:rPr>
          <w:lang w:val="mk-MK"/>
        </w:rPr>
        <w:t xml:space="preserve"> акцент</w:t>
      </w:r>
      <w:r>
        <w:rPr>
          <w:lang w:val="mk-MK"/>
        </w:rPr>
        <w:t xml:space="preserve"> во ова поглавје</w:t>
      </w:r>
      <w:r w:rsidR="00244459" w:rsidRPr="00244459">
        <w:rPr>
          <w:lang w:val="mk-MK"/>
        </w:rPr>
        <w:t xml:space="preserve"> ќе биде ставен на д</w:t>
      </w:r>
      <w:r w:rsidR="00244459">
        <w:rPr>
          <w:lang w:val="mk-MK"/>
        </w:rPr>
        <w:t>ихотомијата</w:t>
      </w:r>
      <w:r w:rsidR="00244459" w:rsidRPr="00244459">
        <w:rPr>
          <w:lang w:val="mk-MK"/>
        </w:rPr>
        <w:t xml:space="preserve"> помеѓу „тврди“ правни извори</w:t>
      </w:r>
      <w:r w:rsidR="0053638D">
        <w:rPr>
          <w:lang w:val="mk-MK"/>
        </w:rPr>
        <w:t>, односно ратификувани</w:t>
      </w:r>
      <w:r w:rsidR="00244459" w:rsidRPr="00244459">
        <w:rPr>
          <w:lang w:val="mk-MK"/>
        </w:rPr>
        <w:t xml:space="preserve"> конвенции, директиви и договори и „меки“ или стандарди</w:t>
      </w:r>
      <w:r w:rsidR="0053638D">
        <w:rPr>
          <w:lang w:val="mk-MK"/>
        </w:rPr>
        <w:t xml:space="preserve"> на добрата волја, како</w:t>
      </w:r>
      <w:r w:rsidR="00244459" w:rsidRPr="00244459">
        <w:rPr>
          <w:lang w:val="mk-MK"/>
        </w:rPr>
        <w:t xml:space="preserve"> ОЕЦД принципи</w:t>
      </w:r>
      <w:r w:rsidR="0053638D">
        <w:rPr>
          <w:lang w:val="mk-MK"/>
        </w:rPr>
        <w:t>те</w:t>
      </w:r>
      <w:r w:rsidR="00244459" w:rsidRPr="00244459">
        <w:rPr>
          <w:lang w:val="mk-MK"/>
        </w:rPr>
        <w:t>, UNGPs, корпоративни</w:t>
      </w:r>
      <w:r w:rsidR="0053638D">
        <w:rPr>
          <w:lang w:val="mk-MK"/>
        </w:rPr>
        <w:t>те</w:t>
      </w:r>
      <w:r w:rsidR="00244459" w:rsidRPr="00244459">
        <w:rPr>
          <w:lang w:val="mk-MK"/>
        </w:rPr>
        <w:t xml:space="preserve"> кодекси</w:t>
      </w:r>
      <w:r w:rsidR="0053638D">
        <w:rPr>
          <w:lang w:val="mk-MK"/>
        </w:rPr>
        <w:t xml:space="preserve"> и</w:t>
      </w:r>
      <w:r w:rsidR="00244459" w:rsidRPr="00244459">
        <w:rPr>
          <w:lang w:val="mk-MK"/>
        </w:rPr>
        <w:t xml:space="preserve"> глобални</w:t>
      </w:r>
      <w:r w:rsidR="0053638D">
        <w:rPr>
          <w:lang w:val="mk-MK"/>
        </w:rPr>
        <w:t>те</w:t>
      </w:r>
      <w:r w:rsidR="00244459" w:rsidRPr="00244459">
        <w:rPr>
          <w:lang w:val="mk-MK"/>
        </w:rPr>
        <w:t xml:space="preserve"> иницијативи. Анализата ќе покаже дека во практиката овие нивоа често се комплементарни: обврзувачките норми обезбедуваат минимална рамка и механизми за правна заштита, додека меките норми ги промовираат најдобрите практики и создаваат очекувања без директна обврзност</w:t>
      </w:r>
      <w:r w:rsidR="002F20FF">
        <w:rPr>
          <w:lang w:val="mk-MK"/>
        </w:rPr>
        <w:t>,</w:t>
      </w:r>
      <w:r w:rsidR="00244459" w:rsidRPr="00244459">
        <w:rPr>
          <w:lang w:val="mk-MK"/>
        </w:rPr>
        <w:t xml:space="preserve"> фактор кој е особено релевантен за мотивирање на компании и инвеститори</w:t>
      </w:r>
      <w:r w:rsidR="002F20FF">
        <w:rPr>
          <w:lang w:val="mk-MK"/>
        </w:rPr>
        <w:t>.</w:t>
      </w:r>
    </w:p>
    <w:p w14:paraId="2E43C93D" w14:textId="28C3FB60" w:rsidR="00E36770" w:rsidRPr="00D22054" w:rsidRDefault="006408CD" w:rsidP="009330C0">
      <w:pPr>
        <w:pStyle w:val="Heading1"/>
        <w:numPr>
          <w:ilvl w:val="0"/>
          <w:numId w:val="10"/>
        </w:numPr>
        <w:jc w:val="both"/>
      </w:pPr>
      <w:bookmarkStart w:id="23" w:name="_Toc230523876"/>
      <w:r w:rsidRPr="006408CD">
        <w:rPr>
          <w:lang w:val="mk-MK"/>
        </w:rPr>
        <w:t>Односот помеѓу меѓународните стандарди и домашната реформа на корпоративното управување</w:t>
      </w:r>
      <w:bookmarkEnd w:id="23"/>
    </w:p>
    <w:p w14:paraId="716E5459" w14:textId="77777777" w:rsidR="00D1170E" w:rsidRDefault="00D1170E" w:rsidP="00D1170E">
      <w:pPr>
        <w:pStyle w:val="BodyText"/>
        <w:rPr>
          <w:lang w:val="mk-MK"/>
        </w:rPr>
      </w:pPr>
    </w:p>
    <w:p w14:paraId="087175AE" w14:textId="127A3A28" w:rsidR="00D1170E" w:rsidRDefault="00D17B6E" w:rsidP="00D17B6E">
      <w:pPr>
        <w:pStyle w:val="BodyText"/>
        <w:ind w:firstLine="720"/>
        <w:jc w:val="both"/>
        <w:rPr>
          <w:lang w:val="mk-MK"/>
        </w:rPr>
      </w:pPr>
      <w:r w:rsidRPr="00D17B6E">
        <w:rPr>
          <w:lang w:val="mk-MK"/>
        </w:rPr>
        <w:t xml:space="preserve">Односот помеѓу меѓународните стандарди и домашната реформа на корпоративното управување е </w:t>
      </w:r>
      <w:r w:rsidR="000D7CF1">
        <w:rPr>
          <w:lang w:val="mk-MK"/>
        </w:rPr>
        <w:t>динамичен</w:t>
      </w:r>
      <w:r w:rsidRPr="00D17B6E">
        <w:rPr>
          <w:lang w:val="mk-MK"/>
        </w:rPr>
        <w:t xml:space="preserve"> процес што се одвива низ интеракција на правни, економски и институционални фактори.</w:t>
      </w:r>
      <w:r w:rsidR="00016D5C">
        <w:rPr>
          <w:rStyle w:val="FootnoteReference"/>
          <w:lang w:val="mk-MK"/>
        </w:rPr>
        <w:footnoteReference w:id="321"/>
      </w:r>
      <w:r w:rsidRPr="00D17B6E">
        <w:rPr>
          <w:lang w:val="mk-MK"/>
        </w:rPr>
        <w:t xml:space="preserve"> Меѓународните стандарди не се наметнуваат еднострано; тие дејствуваат преку процеси на превод, адаптација и интернализација, во кои националните институции имаат клучна улога во медијацијата на глобалните норми во домашниот контекст</w:t>
      </w:r>
      <w:r w:rsidR="000D7CF1">
        <w:rPr>
          <w:lang w:val="mk-MK"/>
        </w:rPr>
        <w:t>.</w:t>
      </w:r>
      <w:r w:rsidR="000D7CF1">
        <w:rPr>
          <w:rStyle w:val="FootnoteReference"/>
          <w:lang w:val="mk-MK"/>
        </w:rPr>
        <w:footnoteReference w:id="322"/>
      </w:r>
      <w:r w:rsidRPr="00D17B6E">
        <w:rPr>
          <w:lang w:val="mk-MK"/>
        </w:rPr>
        <w:t xml:space="preserve"> На тој начин, реформите во корпоративното управување не претставуваат само технички трансфер на прописи, туку и длабока нормативна трансформација што го менува односот </w:t>
      </w:r>
      <w:r w:rsidR="00DB7C34">
        <w:rPr>
          <w:lang w:val="mk-MK"/>
        </w:rPr>
        <w:t>по</w:t>
      </w:r>
      <w:r w:rsidRPr="00D17B6E">
        <w:rPr>
          <w:lang w:val="mk-MK"/>
        </w:rPr>
        <w:t>меѓу пазарот, државата и трудот.</w:t>
      </w:r>
      <w:r w:rsidR="00967248">
        <w:rPr>
          <w:rStyle w:val="FootnoteReference"/>
          <w:lang w:val="mk-MK"/>
        </w:rPr>
        <w:footnoteReference w:id="323"/>
      </w:r>
    </w:p>
    <w:p w14:paraId="72316146" w14:textId="5C6E417C" w:rsidR="00C47033" w:rsidRDefault="00C47033" w:rsidP="00C47033">
      <w:pPr>
        <w:pStyle w:val="BodyText"/>
        <w:spacing w:before="240"/>
        <w:ind w:firstLine="720"/>
        <w:jc w:val="both"/>
        <w:rPr>
          <w:lang w:val="mk-MK"/>
        </w:rPr>
      </w:pPr>
      <w:r w:rsidRPr="00C47033">
        <w:rPr>
          <w:lang w:val="mk-MK"/>
        </w:rPr>
        <w:t>Во постсоцијалистичкиот контекст, како што е случајот со Македонија, овој процес е дополнително</w:t>
      </w:r>
      <w:r w:rsidR="00812127">
        <w:rPr>
          <w:lang w:val="mk-MK"/>
        </w:rPr>
        <w:t xml:space="preserve"> отежнат и</w:t>
      </w:r>
      <w:r w:rsidRPr="00C47033">
        <w:rPr>
          <w:lang w:val="mk-MK"/>
        </w:rPr>
        <w:t xml:space="preserve"> </w:t>
      </w:r>
      <w:r w:rsidR="00812127">
        <w:rPr>
          <w:lang w:val="mk-MK"/>
        </w:rPr>
        <w:t>ис</w:t>
      </w:r>
      <w:r w:rsidRPr="00C47033">
        <w:rPr>
          <w:lang w:val="mk-MK"/>
        </w:rPr>
        <w:t xml:space="preserve">комплициран со истовремениот премин од планска во пазарна економија, слабата институционална инфраструктура и условите на </w:t>
      </w:r>
      <w:r w:rsidR="00812127">
        <w:rPr>
          <w:lang w:val="mk-MK"/>
        </w:rPr>
        <w:t xml:space="preserve">условна </w:t>
      </w:r>
      <w:r w:rsidRPr="00C47033">
        <w:rPr>
          <w:lang w:val="mk-MK"/>
        </w:rPr>
        <w:t xml:space="preserve">европеизација кои ја </w:t>
      </w:r>
      <w:r w:rsidR="00812127">
        <w:rPr>
          <w:lang w:val="mk-MK"/>
        </w:rPr>
        <w:t>диктираат</w:t>
      </w:r>
      <w:r w:rsidRPr="00C47033">
        <w:rPr>
          <w:lang w:val="mk-MK"/>
        </w:rPr>
        <w:t xml:space="preserve"> динамиката на домашното право.</w:t>
      </w:r>
      <w:r w:rsidR="00D11AEB">
        <w:rPr>
          <w:rStyle w:val="FootnoteReference"/>
          <w:lang w:val="mk-MK"/>
        </w:rPr>
        <w:footnoteReference w:id="324"/>
      </w:r>
      <w:r w:rsidRPr="00C47033">
        <w:rPr>
          <w:lang w:val="mk-MK"/>
        </w:rPr>
        <w:t xml:space="preserve"> Европската Унија, преку пристапниот процес, создава регулаторен притисок што ја насочува државата кон усогласување на корпоративното и трудовото право со европските директиви и принципи</w:t>
      </w:r>
      <w:r w:rsidR="003836D7">
        <w:rPr>
          <w:lang w:val="mk-MK"/>
        </w:rPr>
        <w:t>.</w:t>
      </w:r>
      <w:r w:rsidR="003836D7">
        <w:rPr>
          <w:rStyle w:val="FootnoteReference"/>
          <w:lang w:val="mk-MK"/>
        </w:rPr>
        <w:footnoteReference w:id="325"/>
      </w:r>
      <w:r w:rsidR="003836D7">
        <w:rPr>
          <w:lang w:val="mk-MK"/>
        </w:rPr>
        <w:t xml:space="preserve"> </w:t>
      </w:r>
      <w:r w:rsidRPr="00C47033">
        <w:rPr>
          <w:lang w:val="mk-MK"/>
        </w:rPr>
        <w:t xml:space="preserve">Во овој процес, меѓународните стандарди функционираат како </w:t>
      </w:r>
      <w:r w:rsidR="000D2BAC">
        <w:rPr>
          <w:lang w:val="mk-MK"/>
        </w:rPr>
        <w:t>„</w:t>
      </w:r>
      <w:r w:rsidRPr="00C47033">
        <w:rPr>
          <w:lang w:val="mk-MK"/>
        </w:rPr>
        <w:t>нормативен арсенал</w:t>
      </w:r>
      <w:r w:rsidR="000D2BAC">
        <w:rPr>
          <w:lang w:val="mk-MK"/>
        </w:rPr>
        <w:t>“</w:t>
      </w:r>
      <w:r w:rsidRPr="00C47033">
        <w:rPr>
          <w:lang w:val="mk-MK"/>
        </w:rPr>
        <w:t xml:space="preserve"> кој ја засилува легитимноста на реформите и ја олеснува нивната политичка прифатливост.</w:t>
      </w:r>
    </w:p>
    <w:p w14:paraId="41D72C55" w14:textId="73177B07" w:rsidR="00DD743C" w:rsidRDefault="00DD743C" w:rsidP="00F60C1D">
      <w:pPr>
        <w:pStyle w:val="BodyText"/>
        <w:spacing w:before="240"/>
        <w:ind w:firstLine="720"/>
        <w:jc w:val="both"/>
        <w:rPr>
          <w:lang w:val="mk-MK"/>
        </w:rPr>
      </w:pPr>
      <w:r w:rsidRPr="00DD743C">
        <w:rPr>
          <w:lang w:val="mk-MK"/>
        </w:rPr>
        <w:t>Сепак, практиката покажува дека формалната транспозиција на меѓународни норми не секогаш води кон суштинска промена во корпоративното управување. Во многу случаи, домашните актери</w:t>
      </w:r>
      <w:r w:rsidR="00CE28C8">
        <w:rPr>
          <w:lang w:val="en-US"/>
        </w:rPr>
        <w:t xml:space="preserve"> </w:t>
      </w:r>
      <w:r w:rsidR="00CE28C8">
        <w:rPr>
          <w:lang w:val="mk-MK"/>
        </w:rPr>
        <w:t>како</w:t>
      </w:r>
      <w:r w:rsidRPr="00DD743C">
        <w:rPr>
          <w:lang w:val="mk-MK"/>
        </w:rPr>
        <w:t xml:space="preserve"> државни</w:t>
      </w:r>
      <w:r w:rsidR="00CE28C8">
        <w:rPr>
          <w:lang w:val="mk-MK"/>
        </w:rPr>
        <w:t>те</w:t>
      </w:r>
      <w:r w:rsidRPr="00DD743C">
        <w:rPr>
          <w:lang w:val="mk-MK"/>
        </w:rPr>
        <w:t xml:space="preserve"> институции, стопански</w:t>
      </w:r>
      <w:r w:rsidR="00CE28C8">
        <w:rPr>
          <w:lang w:val="mk-MK"/>
        </w:rPr>
        <w:t>те</w:t>
      </w:r>
      <w:r w:rsidRPr="00DD743C">
        <w:rPr>
          <w:lang w:val="mk-MK"/>
        </w:rPr>
        <w:t xml:space="preserve"> комори и </w:t>
      </w:r>
      <w:r w:rsidR="00F60C1D">
        <w:rPr>
          <w:lang w:val="mk-MK"/>
        </w:rPr>
        <w:t>здруженијата на работодавачи</w:t>
      </w:r>
      <w:r w:rsidRPr="00DD743C">
        <w:rPr>
          <w:lang w:val="mk-MK"/>
        </w:rPr>
        <w:t xml:space="preserve"> ги прифаќаат меѓународните стандарди декларативно, без да ги вградат во институционалните практики или во корпоративната култура. Овој </w:t>
      </w:r>
      <w:r w:rsidRPr="00DD743C">
        <w:rPr>
          <w:lang w:val="mk-MK"/>
        </w:rPr>
        <w:lastRenderedPageBreak/>
        <w:t>феномен, честопати нарекуван „европеизација без демократизација“,</w:t>
      </w:r>
      <w:r w:rsidR="00C865D6">
        <w:rPr>
          <w:rStyle w:val="FootnoteReference"/>
          <w:lang w:val="mk-MK"/>
        </w:rPr>
        <w:footnoteReference w:id="326"/>
      </w:r>
      <w:r w:rsidR="007979D2">
        <w:rPr>
          <w:lang w:val="mk-MK"/>
        </w:rPr>
        <w:t xml:space="preserve"> </w:t>
      </w:r>
      <w:r w:rsidRPr="00DD743C">
        <w:rPr>
          <w:lang w:val="mk-MK"/>
        </w:rPr>
        <w:t xml:space="preserve">создава ситуација во која реформите служат повеќе за симболичка усогласеност отколку за реално зајакнување на учеството на работниците. </w:t>
      </w:r>
      <w:r w:rsidR="007979D2">
        <w:rPr>
          <w:lang w:val="mk-MK"/>
        </w:rPr>
        <w:t>За жал, во најголема мера, таков е и примерот со Македонија.</w:t>
      </w:r>
      <w:r w:rsidR="00F75570">
        <w:rPr>
          <w:rStyle w:val="FootnoteReference"/>
          <w:lang w:val="mk-MK"/>
        </w:rPr>
        <w:footnoteReference w:id="327"/>
      </w:r>
      <w:r w:rsidR="007979D2">
        <w:rPr>
          <w:lang w:val="mk-MK"/>
        </w:rPr>
        <w:t xml:space="preserve"> </w:t>
      </w:r>
    </w:p>
    <w:p w14:paraId="0E3263E0" w14:textId="65FDADCF" w:rsidR="00BC70C8" w:rsidRDefault="00BC70C8" w:rsidP="00F60C1D">
      <w:pPr>
        <w:pStyle w:val="BodyText"/>
        <w:spacing w:before="240"/>
        <w:ind w:firstLine="720"/>
        <w:jc w:val="both"/>
        <w:rPr>
          <w:lang w:val="en-US"/>
        </w:rPr>
      </w:pPr>
      <w:r w:rsidRPr="00BC70C8">
        <w:rPr>
          <w:lang w:val="mk-MK"/>
        </w:rPr>
        <w:t xml:space="preserve">Понатаму, во корпоративниот контекст, вработените честопати остануваат периферни актери во процесите на управување. Додека трудовото законодавство обезбедува основни права за информации, консултација и колективно договарање, компаниите во приватниот сектор ретко воспоставуваат институционализирани механизми за вклучување на работниците во одборите на директори или во надзорните </w:t>
      </w:r>
      <w:r w:rsidR="00DF5FBB">
        <w:rPr>
          <w:lang w:val="mk-MK"/>
        </w:rPr>
        <w:t>органи</w:t>
      </w:r>
      <w:r w:rsidR="00217837">
        <w:rPr>
          <w:lang w:val="mk-MK"/>
        </w:rPr>
        <w:t xml:space="preserve"> без експлицитно да постои таква законска обврска</w:t>
      </w:r>
      <w:r w:rsidRPr="00BC70C8">
        <w:rPr>
          <w:lang w:val="mk-MK"/>
        </w:rPr>
        <w:t>.</w:t>
      </w:r>
      <w:r w:rsidR="00DF5FBB">
        <w:rPr>
          <w:rStyle w:val="FootnoteReference"/>
          <w:lang w:val="mk-MK"/>
        </w:rPr>
        <w:footnoteReference w:id="328"/>
      </w:r>
      <w:r w:rsidRPr="00BC70C8">
        <w:rPr>
          <w:lang w:val="mk-MK"/>
        </w:rPr>
        <w:t xml:space="preserve"> Тука се манифестира една од главните дихотомии </w:t>
      </w:r>
      <w:r w:rsidR="00D47F51">
        <w:rPr>
          <w:lang w:val="mk-MK"/>
        </w:rPr>
        <w:t>по</w:t>
      </w:r>
      <w:r w:rsidRPr="00BC70C8">
        <w:rPr>
          <w:lang w:val="mk-MK"/>
        </w:rPr>
        <w:t xml:space="preserve">меѓу меѓународните стандарди и домашната реалност: универзалните норми претпоставуваат симетричен однос </w:t>
      </w:r>
      <w:r w:rsidR="001427BC">
        <w:rPr>
          <w:lang w:val="mk-MK"/>
        </w:rPr>
        <w:t>по</w:t>
      </w:r>
      <w:r w:rsidRPr="00BC70C8">
        <w:rPr>
          <w:lang w:val="mk-MK"/>
        </w:rPr>
        <w:t xml:space="preserve">меѓу капиталот и трудот, </w:t>
      </w:r>
      <w:r w:rsidR="00FC495D">
        <w:rPr>
          <w:lang w:val="mk-MK"/>
        </w:rPr>
        <w:t xml:space="preserve">колку и да е тоа нереално, </w:t>
      </w:r>
      <w:r w:rsidRPr="00BC70C8">
        <w:rPr>
          <w:lang w:val="mk-MK"/>
        </w:rPr>
        <w:t>додека домашната економска структура</w:t>
      </w:r>
      <w:r w:rsidR="008373C7">
        <w:rPr>
          <w:lang w:val="mk-MK"/>
        </w:rPr>
        <w:t>,</w:t>
      </w:r>
      <w:r w:rsidRPr="00BC70C8">
        <w:rPr>
          <w:lang w:val="mk-MK"/>
        </w:rPr>
        <w:t xml:space="preserve"> обележана со висока концентрација на сопственоста, слаба синдикална моќ и ограничени механизми за социјален дијалог</w:t>
      </w:r>
      <w:r w:rsidR="008373C7">
        <w:rPr>
          <w:lang w:val="mk-MK"/>
        </w:rPr>
        <w:t>,</w:t>
      </w:r>
      <w:r w:rsidRPr="00BC70C8">
        <w:rPr>
          <w:lang w:val="mk-MK"/>
        </w:rPr>
        <w:t xml:space="preserve"> создава реалност на асиметрија.</w:t>
      </w:r>
      <w:r w:rsidR="008373C7">
        <w:rPr>
          <w:rStyle w:val="FootnoteReference"/>
          <w:lang w:val="mk-MK"/>
        </w:rPr>
        <w:footnoteReference w:id="329"/>
      </w:r>
      <w:r w:rsidRPr="00BC70C8">
        <w:rPr>
          <w:lang w:val="mk-MK"/>
        </w:rPr>
        <w:t xml:space="preserve"> </w:t>
      </w:r>
      <w:r w:rsidR="003E3A86">
        <w:rPr>
          <w:lang w:val="mk-MK"/>
        </w:rPr>
        <w:t>Значи, к</w:t>
      </w:r>
      <w:r w:rsidR="00337197">
        <w:rPr>
          <w:lang w:val="mk-MK"/>
        </w:rPr>
        <w:t>олку и да се нереални претпоставките во однос на</w:t>
      </w:r>
      <w:r w:rsidR="00F65970">
        <w:rPr>
          <w:lang w:val="mk-MK"/>
        </w:rPr>
        <w:t xml:space="preserve"> симетриите во</w:t>
      </w:r>
      <w:r w:rsidR="00337197">
        <w:rPr>
          <w:lang w:val="mk-MK"/>
        </w:rPr>
        <w:t xml:space="preserve"> западниот капиталистички свет, </w:t>
      </w:r>
      <w:r w:rsidR="003E3A86">
        <w:rPr>
          <w:lang w:val="mk-MK"/>
        </w:rPr>
        <w:t xml:space="preserve">неспорно е дека истите претставуваат основа за градење на систем, кој во моментов целосно отсуствува во Македонија. </w:t>
      </w:r>
    </w:p>
    <w:p w14:paraId="7FC67149" w14:textId="77777777" w:rsidR="00435A84" w:rsidRDefault="005031D1" w:rsidP="00435A84">
      <w:pPr>
        <w:pStyle w:val="BodyText"/>
        <w:spacing w:before="240"/>
        <w:ind w:firstLine="720"/>
        <w:jc w:val="both"/>
        <w:rPr>
          <w:lang w:val="mk-MK"/>
        </w:rPr>
      </w:pPr>
      <w:r w:rsidRPr="005031D1">
        <w:rPr>
          <w:lang w:val="mk-MK"/>
        </w:rPr>
        <w:t>Од друга страна, некои меѓународни механизми, како што се супервизијата на МОТ, механизмите на Советот на Европа, и рамката на ЕУ директивите, имаат потенцијал да создадат повратен ефект („policy feedback“) врз националните политики. На пример, редовните извештаи на МОТ Комитетот на експерти за примената на конвенциите мож</w:t>
      </w:r>
      <w:r w:rsidR="00A75CF8">
        <w:rPr>
          <w:lang w:val="mk-MK"/>
        </w:rPr>
        <w:t>ат</w:t>
      </w:r>
      <w:r w:rsidRPr="005031D1">
        <w:rPr>
          <w:lang w:val="mk-MK"/>
        </w:rPr>
        <w:t xml:space="preserve"> да послужат како инструмент за транспарентност и притисок врз државата, додека процесот на усогласување со европското </w:t>
      </w:r>
      <w:r w:rsidRPr="008A0522">
        <w:rPr>
          <w:i/>
          <w:iCs/>
          <w:lang w:val="mk-MK"/>
        </w:rPr>
        <w:t>acquis communautaire</w:t>
      </w:r>
      <w:r w:rsidRPr="005031D1">
        <w:rPr>
          <w:lang w:val="mk-MK"/>
        </w:rPr>
        <w:t xml:space="preserve"> функционира како канал за имплементација на најдобрите практики</w:t>
      </w:r>
      <w:r w:rsidR="008A0522">
        <w:rPr>
          <w:lang w:val="en-US"/>
        </w:rPr>
        <w:t>.</w:t>
      </w:r>
      <w:r w:rsidR="008A0522">
        <w:rPr>
          <w:rStyle w:val="FootnoteReference"/>
          <w:lang w:val="en-US"/>
        </w:rPr>
        <w:footnoteReference w:id="330"/>
      </w:r>
      <w:r w:rsidR="008A0522">
        <w:rPr>
          <w:lang w:val="en-US"/>
        </w:rPr>
        <w:t xml:space="preserve"> </w:t>
      </w:r>
      <w:r w:rsidRPr="005031D1">
        <w:rPr>
          <w:lang w:val="mk-MK"/>
        </w:rPr>
        <w:t xml:space="preserve">Во тој </w:t>
      </w:r>
      <w:r w:rsidR="00C16512">
        <w:rPr>
          <w:lang w:val="mk-MK"/>
        </w:rPr>
        <w:t>правец</w:t>
      </w:r>
      <w:r w:rsidRPr="005031D1">
        <w:rPr>
          <w:lang w:val="mk-MK"/>
        </w:rPr>
        <w:t>, меѓународните стандарди не се само извор на норми, туку и агенти на институционална промена</w:t>
      </w:r>
      <w:r w:rsidR="004F53FD">
        <w:rPr>
          <w:lang w:val="mk-MK"/>
        </w:rPr>
        <w:t xml:space="preserve"> и истите ќе бидат разгледани во македонски</w:t>
      </w:r>
      <w:r w:rsidR="00C16512">
        <w:rPr>
          <w:lang w:val="mk-MK"/>
        </w:rPr>
        <w:t xml:space="preserve"> контекст. </w:t>
      </w:r>
    </w:p>
    <w:p w14:paraId="6ED9CE71" w14:textId="4D5B6FCF" w:rsidR="00C16512" w:rsidRDefault="00C16512" w:rsidP="00435A84">
      <w:pPr>
        <w:pStyle w:val="BodyText"/>
        <w:spacing w:before="240"/>
        <w:ind w:firstLine="720"/>
        <w:jc w:val="both"/>
        <w:rPr>
          <w:lang w:val="mk-MK"/>
        </w:rPr>
      </w:pPr>
      <w:r w:rsidRPr="00C16512">
        <w:rPr>
          <w:lang w:val="mk-MK"/>
        </w:rPr>
        <w:t>Конечно, односот помеѓу меѓународното и домашното не треба да се поима како еднонасочен процес на пренос, туку како реципрочна размена во која националните искуства и практики понекогаш придонесуваат за ревидирање и подобрување на меѓународните стандарди. Примерите од земјите во Централна и Источна Европа покажуваат дека постепеното институционализирање на работничкото учество во корпоративното управување може да резултира со нови модели на партиципација кои ги надминуваат традиционалните западноевропски форми. Македонија, иако сè уште нема стабилен модел, може да ја искористи оваа можност за да развие хибриден систем кој ќе ги комбинира најдобрите елементи од европската правна традиција и локалните економско-социјални специфики</w:t>
      </w:r>
      <w:r w:rsidR="00D01149">
        <w:rPr>
          <w:lang w:val="mk-MK"/>
        </w:rPr>
        <w:t>.</w:t>
      </w:r>
      <w:r w:rsidR="00D76A53">
        <w:rPr>
          <w:rStyle w:val="FootnoteReference"/>
          <w:lang w:val="mk-MK"/>
        </w:rPr>
        <w:footnoteReference w:id="331"/>
      </w:r>
    </w:p>
    <w:p w14:paraId="782C82DA" w14:textId="5B6C2E85" w:rsidR="00007E07" w:rsidRPr="00D22054" w:rsidRDefault="003765FF" w:rsidP="009330C0">
      <w:pPr>
        <w:pStyle w:val="Heading1"/>
        <w:numPr>
          <w:ilvl w:val="0"/>
          <w:numId w:val="10"/>
        </w:numPr>
        <w:jc w:val="both"/>
      </w:pPr>
      <w:bookmarkStart w:id="24" w:name="_Toc230523877"/>
      <w:r w:rsidRPr="003765FF">
        <w:rPr>
          <w:lang w:val="mk-MK"/>
        </w:rPr>
        <w:lastRenderedPageBreak/>
        <w:t>Стандарди на Меѓународната организација на трудот (МОТ)</w:t>
      </w:r>
      <w:bookmarkEnd w:id="24"/>
    </w:p>
    <w:p w14:paraId="599E5D6A" w14:textId="41A9B591" w:rsidR="00D1170E" w:rsidRDefault="00AE461A" w:rsidP="00526202">
      <w:pPr>
        <w:pStyle w:val="BodyText"/>
        <w:spacing w:before="240"/>
        <w:ind w:firstLine="720"/>
        <w:jc w:val="both"/>
        <w:rPr>
          <w:lang w:val="mk-MK"/>
        </w:rPr>
      </w:pPr>
      <w:r w:rsidRPr="00AE461A">
        <w:rPr>
          <w:lang w:val="mk-MK"/>
        </w:rPr>
        <w:t>Меѓународната организација на трудот (МОТ), како прва специјализирана агенција на Обединетите нации, има централна улога во кодификацијата на основните принципи на трудот, слободата на здружување и индустриската демократија. Основана во 1919 година, МОТ ја постав</w:t>
      </w:r>
      <w:r w:rsidR="003E643C">
        <w:rPr>
          <w:lang w:val="mk-MK"/>
        </w:rPr>
        <w:t>ува</w:t>
      </w:r>
      <w:r w:rsidRPr="00AE461A">
        <w:rPr>
          <w:lang w:val="mk-MK"/>
        </w:rPr>
        <w:t xml:space="preserve"> идејата дека општествениот мир и економската стабилност зависат од праведноста во односите </w:t>
      </w:r>
      <w:r w:rsidR="00EE0D63">
        <w:rPr>
          <w:lang w:val="mk-MK"/>
        </w:rPr>
        <w:t>по</w:t>
      </w:r>
      <w:r w:rsidRPr="00AE461A">
        <w:rPr>
          <w:lang w:val="mk-MK"/>
        </w:rPr>
        <w:t>меѓу трудот и капиталот</w:t>
      </w:r>
      <w:r w:rsidR="00EE0D63">
        <w:rPr>
          <w:lang w:val="mk-MK"/>
        </w:rPr>
        <w:t>,</w:t>
      </w:r>
      <w:r w:rsidRPr="00AE461A">
        <w:rPr>
          <w:lang w:val="mk-MK"/>
        </w:rPr>
        <w:t xml:space="preserve"> идеја што подоцна станува темел на современите концепции на корпоративна одговорност и учество</w:t>
      </w:r>
      <w:r w:rsidR="0039483A">
        <w:rPr>
          <w:lang w:val="mk-MK"/>
        </w:rPr>
        <w:t>то на вработените</w:t>
      </w:r>
      <w:r w:rsidR="00317F64">
        <w:rPr>
          <w:lang w:val="en-US"/>
        </w:rPr>
        <w:t>.</w:t>
      </w:r>
      <w:r w:rsidR="00317F64">
        <w:rPr>
          <w:rStyle w:val="FootnoteReference"/>
          <w:lang w:val="en-US"/>
        </w:rPr>
        <w:footnoteReference w:id="332"/>
      </w:r>
    </w:p>
    <w:p w14:paraId="2B36590F" w14:textId="4B6E0F0D" w:rsidR="00323490" w:rsidRDefault="00EC285E" w:rsidP="00526202">
      <w:pPr>
        <w:pStyle w:val="BodyText"/>
        <w:spacing w:before="240"/>
        <w:ind w:firstLine="720"/>
        <w:jc w:val="both"/>
        <w:rPr>
          <w:lang w:val="mk-MK"/>
        </w:rPr>
      </w:pPr>
      <w:r w:rsidRPr="00EC285E">
        <w:rPr>
          <w:lang w:val="mk-MK"/>
        </w:rPr>
        <w:t>МОТ е создаден</w:t>
      </w:r>
      <w:r>
        <w:rPr>
          <w:lang w:val="mk-MK"/>
        </w:rPr>
        <w:t>а</w:t>
      </w:r>
      <w:r w:rsidRPr="00EC285E">
        <w:rPr>
          <w:lang w:val="mk-MK"/>
        </w:rPr>
        <w:t xml:space="preserve"> по Првата светска војна како мултилатерална институција со јасна мисија да ја уреди работната сфера преку стандарди</w:t>
      </w:r>
      <w:r w:rsidR="00FD6097">
        <w:rPr>
          <w:lang w:val="mk-MK"/>
        </w:rPr>
        <w:t>,</w:t>
      </w:r>
      <w:r w:rsidR="00FD6097">
        <w:rPr>
          <w:rStyle w:val="FootnoteReference"/>
          <w:lang w:val="mk-MK"/>
        </w:rPr>
        <w:footnoteReference w:id="333"/>
      </w:r>
      <w:r w:rsidR="00FD6097">
        <w:rPr>
          <w:lang w:val="mk-MK"/>
        </w:rPr>
        <w:t xml:space="preserve"> </w:t>
      </w:r>
      <w:r w:rsidRPr="00EC285E">
        <w:rPr>
          <w:lang w:val="mk-MK"/>
        </w:rPr>
        <w:t>мониторинг и техничка помош</w:t>
      </w:r>
      <w:r w:rsidR="00083D2F">
        <w:rPr>
          <w:lang w:val="mk-MK"/>
        </w:rPr>
        <w:t>.</w:t>
      </w:r>
      <w:r w:rsidRPr="00EC285E">
        <w:rPr>
          <w:lang w:val="mk-MK"/>
        </w:rPr>
        <w:t xml:space="preserve"> </w:t>
      </w:r>
      <w:r w:rsidR="00083D2F">
        <w:rPr>
          <w:lang w:val="mk-MK"/>
        </w:rPr>
        <w:t>О</w:t>
      </w:r>
      <w:r w:rsidR="00FD6097">
        <w:rPr>
          <w:lang w:val="mk-MK"/>
        </w:rPr>
        <w:t>рганизацијата тоа го прави преку таканаречениот трипартитен</w:t>
      </w:r>
      <w:r w:rsidRPr="00EC285E">
        <w:rPr>
          <w:lang w:val="mk-MK"/>
        </w:rPr>
        <w:t xml:space="preserve"> модел</w:t>
      </w:r>
      <w:r w:rsidR="00FD6097">
        <w:rPr>
          <w:lang w:val="mk-MK"/>
        </w:rPr>
        <w:t xml:space="preserve"> составен од</w:t>
      </w:r>
      <w:r w:rsidRPr="00EC285E">
        <w:rPr>
          <w:lang w:val="mk-MK"/>
        </w:rPr>
        <w:t xml:space="preserve"> работнички организации, работодавачи и </w:t>
      </w:r>
      <w:r w:rsidR="00FD6097">
        <w:rPr>
          <w:lang w:val="mk-MK"/>
        </w:rPr>
        <w:t>претставници на властите,</w:t>
      </w:r>
      <w:r w:rsidR="00083D2F">
        <w:rPr>
          <w:lang w:val="mk-MK"/>
        </w:rPr>
        <w:t xml:space="preserve"> кои </w:t>
      </w:r>
      <w:r w:rsidRPr="00EC285E">
        <w:rPr>
          <w:lang w:val="mk-MK"/>
        </w:rPr>
        <w:t>седнуваат заедно при креирањето на нормите</w:t>
      </w:r>
      <w:r w:rsidR="00083D2F">
        <w:rPr>
          <w:lang w:val="mk-MK"/>
        </w:rPr>
        <w:t xml:space="preserve"> и се обидуваат да пронајдат консензус</w:t>
      </w:r>
      <w:r w:rsidRPr="00EC285E">
        <w:rPr>
          <w:lang w:val="mk-MK"/>
        </w:rPr>
        <w:t>. Клучните достигнувања на МОТ се несомнени: основните конвенции</w:t>
      </w:r>
      <w:r w:rsidR="00F44187">
        <w:rPr>
          <w:lang w:val="mk-MK"/>
        </w:rPr>
        <w:t xml:space="preserve"> што ќе бидат разгледани подолу</w:t>
      </w:r>
      <w:r w:rsidRPr="00EC285E">
        <w:rPr>
          <w:lang w:val="mk-MK"/>
        </w:rPr>
        <w:t>, Декларацијата за фундаменталните принципи и права при работа (1998),</w:t>
      </w:r>
      <w:r w:rsidR="00A716DA">
        <w:rPr>
          <w:rStyle w:val="FootnoteReference"/>
          <w:lang w:val="mk-MK"/>
        </w:rPr>
        <w:footnoteReference w:id="334"/>
      </w:r>
      <w:r w:rsidRPr="00EC285E">
        <w:rPr>
          <w:lang w:val="mk-MK"/>
        </w:rPr>
        <w:t xml:space="preserve"> и агендата</w:t>
      </w:r>
      <w:r w:rsidR="00A716DA">
        <w:rPr>
          <w:lang w:val="mk-MK"/>
        </w:rPr>
        <w:t xml:space="preserve"> за пристојна работа</w:t>
      </w:r>
      <w:r w:rsidRPr="00EC285E">
        <w:rPr>
          <w:lang w:val="mk-MK"/>
        </w:rPr>
        <w:t xml:space="preserve"> која ги артикулира правата, работните услови, пристапот до пазарите и социјалната заштита како интегрирани цели.</w:t>
      </w:r>
      <w:r w:rsidR="00323490">
        <w:rPr>
          <w:rStyle w:val="FootnoteReference"/>
          <w:lang w:val="mk-MK"/>
        </w:rPr>
        <w:footnoteReference w:id="335"/>
      </w:r>
      <w:r w:rsidRPr="00EC285E">
        <w:rPr>
          <w:lang w:val="mk-MK"/>
        </w:rPr>
        <w:t xml:space="preserve"> </w:t>
      </w:r>
    </w:p>
    <w:p w14:paraId="7EB341A9" w14:textId="57E569E2" w:rsidR="002C5991" w:rsidRDefault="00323490" w:rsidP="00EA34F6">
      <w:pPr>
        <w:pStyle w:val="BodyText"/>
        <w:spacing w:before="240"/>
        <w:ind w:firstLine="720"/>
        <w:jc w:val="both"/>
        <w:rPr>
          <w:lang w:val="mk-MK"/>
        </w:rPr>
      </w:pPr>
      <w:r>
        <w:rPr>
          <w:lang w:val="mk-MK"/>
        </w:rPr>
        <w:t>Организацијата</w:t>
      </w:r>
      <w:r w:rsidR="00EC285E" w:rsidRPr="00EC285E">
        <w:rPr>
          <w:lang w:val="mk-MK"/>
        </w:rPr>
        <w:t xml:space="preserve">, исто така, игра важна улога во </w:t>
      </w:r>
      <w:r w:rsidR="006965C8">
        <w:rPr>
          <w:lang w:val="mk-MK"/>
        </w:rPr>
        <w:t xml:space="preserve">обезбедувањето </w:t>
      </w:r>
      <w:r w:rsidR="00EC285E" w:rsidRPr="00EC285E">
        <w:rPr>
          <w:lang w:val="mk-MK"/>
        </w:rPr>
        <w:t xml:space="preserve">техничка помош, статистика и развој на меки норми кои често служат како референтни точки за национални реформи и за други мултилатерални агенции. </w:t>
      </w:r>
      <w:r w:rsidR="00415846">
        <w:rPr>
          <w:lang w:val="mk-MK"/>
        </w:rPr>
        <w:t>Сепак, МОТ е исто така</w:t>
      </w:r>
      <w:r w:rsidR="00C91594">
        <w:rPr>
          <w:lang w:val="mk-MK"/>
        </w:rPr>
        <w:t xml:space="preserve"> често критикувана</w:t>
      </w:r>
      <w:r w:rsidR="00415846">
        <w:rPr>
          <w:lang w:val="mk-MK"/>
        </w:rPr>
        <w:t xml:space="preserve"> за нејзината бир</w:t>
      </w:r>
      <w:r w:rsidR="00EC285E" w:rsidRPr="00EC285E">
        <w:rPr>
          <w:lang w:val="mk-MK"/>
        </w:rPr>
        <w:t>ократската природа</w:t>
      </w:r>
      <w:r w:rsidR="00415846">
        <w:rPr>
          <w:lang w:val="mk-MK"/>
        </w:rPr>
        <w:t>, како дел од корпусот</w:t>
      </w:r>
      <w:r w:rsidR="00EC285E" w:rsidRPr="00EC285E">
        <w:rPr>
          <w:lang w:val="mk-MK"/>
        </w:rPr>
        <w:t xml:space="preserve"> на модерните институции</w:t>
      </w:r>
      <w:r w:rsidR="00415846">
        <w:rPr>
          <w:lang w:val="mk-MK"/>
        </w:rPr>
        <w:t>,</w:t>
      </w:r>
      <w:r w:rsidR="00415846">
        <w:rPr>
          <w:rStyle w:val="FootnoteReference"/>
          <w:lang w:val="mk-MK"/>
        </w:rPr>
        <w:footnoteReference w:id="336"/>
      </w:r>
      <w:r w:rsidR="00EC285E" w:rsidRPr="00EC285E">
        <w:rPr>
          <w:lang w:val="mk-MK"/>
        </w:rPr>
        <w:t xml:space="preserve"> </w:t>
      </w:r>
      <w:r w:rsidR="001C2771">
        <w:rPr>
          <w:lang w:val="mk-MK"/>
        </w:rPr>
        <w:t xml:space="preserve">претераната </w:t>
      </w:r>
      <w:r w:rsidR="00EC285E" w:rsidRPr="00EC285E">
        <w:rPr>
          <w:lang w:val="mk-MK"/>
        </w:rPr>
        <w:t xml:space="preserve">тенденција кон </w:t>
      </w:r>
      <w:r w:rsidR="001C2771">
        <w:rPr>
          <w:lang w:val="mk-MK"/>
        </w:rPr>
        <w:t>процедурални</w:t>
      </w:r>
      <w:r w:rsidR="00EC285E" w:rsidRPr="00EC285E">
        <w:rPr>
          <w:lang w:val="mk-MK"/>
        </w:rPr>
        <w:t xml:space="preserve"> решенија, формализирани ритуали и создавање на „административни монструми“ кои често ги задушуваат живите политички процеси.</w:t>
      </w:r>
      <w:r w:rsidR="001C2771">
        <w:rPr>
          <w:rStyle w:val="FootnoteReference"/>
          <w:lang w:val="mk-MK"/>
        </w:rPr>
        <w:footnoteReference w:id="337"/>
      </w:r>
      <w:r w:rsidR="00EC285E" w:rsidRPr="00EC285E">
        <w:rPr>
          <w:lang w:val="mk-MK"/>
        </w:rPr>
        <w:t xml:space="preserve"> </w:t>
      </w:r>
      <w:r w:rsidR="00AF6CB3">
        <w:rPr>
          <w:lang w:val="mk-MK"/>
        </w:rPr>
        <w:t>Впрочем</w:t>
      </w:r>
      <w:r w:rsidR="00EC285E" w:rsidRPr="00EC285E">
        <w:rPr>
          <w:lang w:val="mk-MK"/>
        </w:rPr>
        <w:t>,</w:t>
      </w:r>
      <w:r w:rsidR="00AF6CB3">
        <w:rPr>
          <w:lang w:val="mk-MK"/>
        </w:rPr>
        <w:t xml:space="preserve"> добар дел од авторите тврдат дека</w:t>
      </w:r>
      <w:r w:rsidR="00EC285E" w:rsidRPr="00EC285E">
        <w:rPr>
          <w:lang w:val="mk-MK"/>
        </w:rPr>
        <w:t xml:space="preserve"> преку својата бирократска архитектура и прифатливи компромиси помеѓу работодавачи</w:t>
      </w:r>
      <w:r w:rsidR="00AF6CB3">
        <w:rPr>
          <w:lang w:val="mk-MK"/>
        </w:rPr>
        <w:t>те</w:t>
      </w:r>
      <w:r w:rsidR="00EC285E" w:rsidRPr="00EC285E">
        <w:rPr>
          <w:lang w:val="mk-MK"/>
        </w:rPr>
        <w:t xml:space="preserve"> и </w:t>
      </w:r>
      <w:r w:rsidR="00AF6CB3">
        <w:rPr>
          <w:lang w:val="mk-MK"/>
        </w:rPr>
        <w:t>властите</w:t>
      </w:r>
      <w:r w:rsidR="00EC285E" w:rsidRPr="00EC285E">
        <w:rPr>
          <w:lang w:val="mk-MK"/>
        </w:rPr>
        <w:t>,</w:t>
      </w:r>
      <w:r w:rsidR="00AF6CB3">
        <w:rPr>
          <w:lang w:val="mk-MK"/>
        </w:rPr>
        <w:t xml:space="preserve"> Организацијата</w:t>
      </w:r>
      <w:r w:rsidR="00EC285E" w:rsidRPr="00EC285E">
        <w:rPr>
          <w:lang w:val="mk-MK"/>
        </w:rPr>
        <w:t xml:space="preserve"> всушност ре-условува статус-кво на штетни полити</w:t>
      </w:r>
      <w:r w:rsidR="00D0220C">
        <w:rPr>
          <w:lang w:val="mk-MK"/>
        </w:rPr>
        <w:t>ч</w:t>
      </w:r>
      <w:r w:rsidR="00EC285E" w:rsidRPr="00EC285E">
        <w:rPr>
          <w:lang w:val="mk-MK"/>
        </w:rPr>
        <w:t>ко-економски структури наместо да ги трансформира</w:t>
      </w:r>
      <w:r w:rsidR="00D0220C">
        <w:rPr>
          <w:lang w:val="mk-MK"/>
        </w:rPr>
        <w:t>.</w:t>
      </w:r>
      <w:r w:rsidR="002F1166">
        <w:rPr>
          <w:rStyle w:val="FootnoteReference"/>
          <w:lang w:val="mk-MK"/>
        </w:rPr>
        <w:footnoteReference w:id="338"/>
      </w:r>
      <w:r w:rsidR="00EC285E" w:rsidRPr="00EC285E">
        <w:rPr>
          <w:lang w:val="mk-MK"/>
        </w:rPr>
        <w:t xml:space="preserve"> </w:t>
      </w:r>
      <w:r w:rsidR="00EA34F6">
        <w:rPr>
          <w:lang w:val="mk-MK"/>
        </w:rPr>
        <w:t xml:space="preserve">Покрај тоа, дури и најголемите критичари се согласуваат дека </w:t>
      </w:r>
      <w:r w:rsidR="00EC285E" w:rsidRPr="00EC285E">
        <w:rPr>
          <w:lang w:val="mk-MK"/>
        </w:rPr>
        <w:t>МОТ успеа да создаде универзална „лексика“ за правата на работниците</w:t>
      </w:r>
      <w:r w:rsidR="00EA34F6">
        <w:rPr>
          <w:lang w:val="mk-MK"/>
        </w:rPr>
        <w:t xml:space="preserve"> и дека</w:t>
      </w:r>
      <w:r w:rsidR="00EC285E" w:rsidRPr="00EC285E">
        <w:rPr>
          <w:lang w:val="mk-MK"/>
        </w:rPr>
        <w:t xml:space="preserve"> нејзините конвенции и препораки се познати</w:t>
      </w:r>
      <w:r w:rsidR="00EA34F6">
        <w:rPr>
          <w:lang w:val="mk-MK"/>
        </w:rPr>
        <w:t xml:space="preserve"> и</w:t>
      </w:r>
      <w:r w:rsidR="00EC285E" w:rsidRPr="00EC285E">
        <w:rPr>
          <w:lang w:val="mk-MK"/>
        </w:rPr>
        <w:t xml:space="preserve"> честопати референтни при национални реформи, судски решенија и на меѓународни дебати. </w:t>
      </w:r>
      <w:r w:rsidR="00EA34F6">
        <w:rPr>
          <w:lang w:val="mk-MK"/>
        </w:rPr>
        <w:t>Трипартитноста</w:t>
      </w:r>
      <w:r w:rsidR="00EC285E" w:rsidRPr="00EC285E">
        <w:rPr>
          <w:lang w:val="mk-MK"/>
        </w:rPr>
        <w:t xml:space="preserve"> дава институционал</w:t>
      </w:r>
      <w:r w:rsidR="00EA34F6">
        <w:rPr>
          <w:lang w:val="mk-MK"/>
        </w:rPr>
        <w:t>ен</w:t>
      </w:r>
      <w:r w:rsidR="00EC285E" w:rsidRPr="00EC285E">
        <w:rPr>
          <w:lang w:val="mk-MK"/>
        </w:rPr>
        <w:t xml:space="preserve"> легитимност и потенцијален простор за социјален дијалог</w:t>
      </w:r>
      <w:r w:rsidR="00CE52CB">
        <w:rPr>
          <w:lang w:val="mk-MK"/>
        </w:rPr>
        <w:t>, а агендата за пристојна работа</w:t>
      </w:r>
      <w:r w:rsidR="00EC285E" w:rsidRPr="00EC285E">
        <w:rPr>
          <w:lang w:val="mk-MK"/>
        </w:rPr>
        <w:t xml:space="preserve"> </w:t>
      </w:r>
      <w:r w:rsidR="00CE52CB">
        <w:rPr>
          <w:lang w:val="mk-MK"/>
        </w:rPr>
        <w:t>го</w:t>
      </w:r>
      <w:r w:rsidR="00EC285E" w:rsidRPr="00EC285E">
        <w:rPr>
          <w:lang w:val="mk-MK"/>
        </w:rPr>
        <w:t xml:space="preserve"> проширува </w:t>
      </w:r>
      <w:r w:rsidR="00CE52CB">
        <w:rPr>
          <w:lang w:val="mk-MK"/>
        </w:rPr>
        <w:t>мандатот од</w:t>
      </w:r>
      <w:r w:rsidR="00EC285E" w:rsidRPr="00EC285E">
        <w:rPr>
          <w:lang w:val="mk-MK"/>
        </w:rPr>
        <w:t xml:space="preserve"> чисто економска продуктивност кон човековоправни критериуми.</w:t>
      </w:r>
    </w:p>
    <w:p w14:paraId="7396DAC3" w14:textId="4B7794C1" w:rsidR="00A01FF7" w:rsidRDefault="00526202" w:rsidP="00526202">
      <w:pPr>
        <w:pStyle w:val="BodyText"/>
        <w:spacing w:before="240"/>
        <w:ind w:firstLine="720"/>
        <w:jc w:val="both"/>
        <w:rPr>
          <w:lang w:val="mk-MK"/>
        </w:rPr>
      </w:pPr>
      <w:r w:rsidRPr="00526202">
        <w:rPr>
          <w:lang w:val="mk-MK"/>
        </w:rPr>
        <w:t xml:space="preserve">Од големиот корпус на над 190 конвенции и 200 препораки, неколку документи на МОТ се особено значајни за уредување на учеството на работниците во процесите на </w:t>
      </w:r>
      <w:r w:rsidRPr="00526202">
        <w:rPr>
          <w:lang w:val="mk-MK"/>
        </w:rPr>
        <w:lastRenderedPageBreak/>
        <w:t xml:space="preserve">одлучување и корпоративното управување. </w:t>
      </w:r>
      <w:r w:rsidR="00BB57FE">
        <w:rPr>
          <w:lang w:val="mk-MK"/>
        </w:rPr>
        <w:t xml:space="preserve">Првенствено, </w:t>
      </w:r>
      <w:r w:rsidR="00A7070E">
        <w:rPr>
          <w:lang w:val="mk-MK"/>
        </w:rPr>
        <w:t>К</w:t>
      </w:r>
      <w:r w:rsidRPr="00526202">
        <w:rPr>
          <w:lang w:val="mk-MK"/>
        </w:rPr>
        <w:t xml:space="preserve">онвенцијата бр. 87 за слободата на здружување и заштита на правото на организирање </w:t>
      </w:r>
      <w:r w:rsidR="009066CA">
        <w:rPr>
          <w:lang w:val="mk-MK"/>
        </w:rPr>
        <w:t xml:space="preserve">од </w:t>
      </w:r>
      <w:r w:rsidRPr="00526202">
        <w:rPr>
          <w:lang w:val="mk-MK"/>
        </w:rPr>
        <w:t>1948</w:t>
      </w:r>
      <w:r w:rsidR="009066CA">
        <w:rPr>
          <w:lang w:val="mk-MK"/>
        </w:rPr>
        <w:t xml:space="preserve"> година</w:t>
      </w:r>
      <w:r w:rsidRPr="00526202">
        <w:rPr>
          <w:lang w:val="mk-MK"/>
        </w:rPr>
        <w:t xml:space="preserve"> ја утврдува основната претпоставка дека работниците имаат право да формираат и да се приклучуваат кон организации по свој избор без претходно одобрување од властите. Таа претставува темел на секоја форма на застапување</w:t>
      </w:r>
      <w:r w:rsidR="00F24F6B">
        <w:rPr>
          <w:lang w:val="mk-MK"/>
        </w:rPr>
        <w:t xml:space="preserve"> на вработените</w:t>
      </w:r>
      <w:r w:rsidRPr="00526202">
        <w:rPr>
          <w:lang w:val="mk-MK"/>
        </w:rPr>
        <w:t>.</w:t>
      </w:r>
      <w:r w:rsidR="00F24F6B">
        <w:rPr>
          <w:rStyle w:val="FootnoteReference"/>
          <w:lang w:val="mk-MK"/>
        </w:rPr>
        <w:footnoteReference w:id="339"/>
      </w:r>
      <w:r w:rsidRPr="00526202">
        <w:rPr>
          <w:lang w:val="mk-MK"/>
        </w:rPr>
        <w:t xml:space="preserve"> </w:t>
      </w:r>
      <w:r w:rsidR="00BB57FE">
        <w:rPr>
          <w:lang w:val="mk-MK"/>
        </w:rPr>
        <w:t xml:space="preserve">Понатаму, </w:t>
      </w:r>
      <w:r w:rsidR="00A7070E">
        <w:rPr>
          <w:lang w:val="mk-MK"/>
        </w:rPr>
        <w:t>К</w:t>
      </w:r>
      <w:r w:rsidRPr="00526202">
        <w:rPr>
          <w:lang w:val="mk-MK"/>
        </w:rPr>
        <w:t xml:space="preserve">онвенцијата бр. 98 за примената на принципите на правото на организирање и колективно договарање </w:t>
      </w:r>
      <w:r w:rsidR="005C0F6A">
        <w:rPr>
          <w:lang w:val="mk-MK"/>
        </w:rPr>
        <w:t xml:space="preserve">од </w:t>
      </w:r>
      <w:r w:rsidRPr="00526202">
        <w:rPr>
          <w:lang w:val="mk-MK"/>
        </w:rPr>
        <w:t>1949</w:t>
      </w:r>
      <w:r w:rsidR="005C0F6A">
        <w:rPr>
          <w:lang w:val="mk-MK"/>
        </w:rPr>
        <w:t xml:space="preserve"> година</w:t>
      </w:r>
      <w:r w:rsidRPr="00526202">
        <w:rPr>
          <w:lang w:val="mk-MK"/>
        </w:rPr>
        <w:t xml:space="preserve"> дополнително гарантира дека работниците се заштитени од дискриминација поради синдикална припадност и дека колективното договарање е признат инструмент за регулирање на работните односи.</w:t>
      </w:r>
      <w:r w:rsidR="00A01FF7">
        <w:rPr>
          <w:rStyle w:val="FootnoteReference"/>
          <w:lang w:val="mk-MK"/>
        </w:rPr>
        <w:footnoteReference w:id="340"/>
      </w:r>
      <w:r w:rsidRPr="00526202">
        <w:rPr>
          <w:lang w:val="mk-MK"/>
        </w:rPr>
        <w:t xml:space="preserve"> </w:t>
      </w:r>
    </w:p>
    <w:p w14:paraId="75AFD4D1" w14:textId="77777777" w:rsidR="00F92FFC" w:rsidRDefault="00526202" w:rsidP="00526202">
      <w:pPr>
        <w:pStyle w:val="BodyText"/>
        <w:spacing w:before="240"/>
        <w:ind w:firstLine="720"/>
        <w:jc w:val="both"/>
        <w:rPr>
          <w:lang w:val="mk-MK"/>
        </w:rPr>
      </w:pPr>
      <w:r w:rsidRPr="00526202">
        <w:rPr>
          <w:lang w:val="mk-MK"/>
        </w:rPr>
        <w:t xml:space="preserve">Конвенцијата бр. 135 за заштита и олеснување на активностите на претставниците на работниците </w:t>
      </w:r>
      <w:r w:rsidR="00071CD1">
        <w:rPr>
          <w:lang w:val="mk-MK"/>
        </w:rPr>
        <w:t xml:space="preserve">од </w:t>
      </w:r>
      <w:r w:rsidRPr="00526202">
        <w:rPr>
          <w:lang w:val="mk-MK"/>
        </w:rPr>
        <w:t>1971</w:t>
      </w:r>
      <w:r w:rsidR="00071CD1">
        <w:rPr>
          <w:lang w:val="mk-MK"/>
        </w:rPr>
        <w:t xml:space="preserve"> година</w:t>
      </w:r>
      <w:r w:rsidRPr="00526202">
        <w:rPr>
          <w:lang w:val="mk-MK"/>
        </w:rPr>
        <w:t xml:space="preserve"> го проширува концептот на застапување и вклучува не само синдикални, туку и избрани работнички претставници на ниво на претпријатие, со што се приближува кон корпоративниот контекст на учество</w:t>
      </w:r>
      <w:r w:rsidR="008C21C7">
        <w:rPr>
          <w:lang w:val="mk-MK"/>
        </w:rPr>
        <w:t>.</w:t>
      </w:r>
      <w:r w:rsidR="008C21C7">
        <w:rPr>
          <w:rStyle w:val="FootnoteReference"/>
          <w:lang w:val="mk-MK"/>
        </w:rPr>
        <w:footnoteReference w:id="341"/>
      </w:r>
      <w:r w:rsidR="00A7070E">
        <w:rPr>
          <w:lang w:val="mk-MK"/>
        </w:rPr>
        <w:t xml:space="preserve"> </w:t>
      </w:r>
      <w:r w:rsidR="00BB57FE">
        <w:rPr>
          <w:lang w:val="mk-MK"/>
        </w:rPr>
        <w:t>Конечно,</w:t>
      </w:r>
      <w:r w:rsidRPr="00526202">
        <w:rPr>
          <w:lang w:val="mk-MK"/>
        </w:rPr>
        <w:t xml:space="preserve"> </w:t>
      </w:r>
      <w:r w:rsidR="00A7070E">
        <w:rPr>
          <w:lang w:val="mk-MK"/>
        </w:rPr>
        <w:t>К</w:t>
      </w:r>
      <w:r w:rsidRPr="00526202">
        <w:rPr>
          <w:lang w:val="mk-MK"/>
        </w:rPr>
        <w:t>онвенцијата бр. 154 за колективно договарање (1981) и Препораката бр. 163 дополнително ја зајакнуваат обврската за создавање рамки на ефективен социјален дијалог, што подразбира не само договарање на плати и услови, туку и консултација за пошироки економски и управувачки прашања.</w:t>
      </w:r>
      <w:r w:rsidR="00B461FD">
        <w:rPr>
          <w:rStyle w:val="FootnoteReference"/>
          <w:lang w:val="mk-MK"/>
        </w:rPr>
        <w:footnoteReference w:id="342"/>
      </w:r>
      <w:r w:rsidRPr="00526202">
        <w:rPr>
          <w:lang w:val="mk-MK"/>
        </w:rPr>
        <w:t xml:space="preserve"> Најмалку, но концептуално важна, е </w:t>
      </w:r>
      <w:r w:rsidR="000F6E10">
        <w:rPr>
          <w:lang w:val="mk-MK"/>
        </w:rPr>
        <w:t xml:space="preserve">и </w:t>
      </w:r>
      <w:r w:rsidRPr="00526202">
        <w:rPr>
          <w:lang w:val="mk-MK"/>
        </w:rPr>
        <w:t xml:space="preserve">Препораката бр. 94 за консултација во рамки на претпријатието </w:t>
      </w:r>
      <w:r w:rsidR="000F6E10">
        <w:rPr>
          <w:lang w:val="mk-MK"/>
        </w:rPr>
        <w:t xml:space="preserve">од </w:t>
      </w:r>
      <w:r w:rsidRPr="00526202">
        <w:rPr>
          <w:lang w:val="mk-MK"/>
        </w:rPr>
        <w:t>1952</w:t>
      </w:r>
      <w:r w:rsidR="000F6E10">
        <w:rPr>
          <w:lang w:val="mk-MK"/>
        </w:rPr>
        <w:t xml:space="preserve"> година</w:t>
      </w:r>
      <w:r w:rsidRPr="00526202">
        <w:rPr>
          <w:lang w:val="mk-MK"/>
        </w:rPr>
        <w:t>, која</w:t>
      </w:r>
      <w:r w:rsidR="000F6E10">
        <w:rPr>
          <w:lang w:val="mk-MK"/>
        </w:rPr>
        <w:t>,</w:t>
      </w:r>
      <w:r w:rsidRPr="00526202">
        <w:rPr>
          <w:lang w:val="mk-MK"/>
        </w:rPr>
        <w:t xml:space="preserve"> иако често занемарена во литерат</w:t>
      </w:r>
      <w:r w:rsidR="0097436E">
        <w:rPr>
          <w:lang w:val="mk-MK"/>
        </w:rPr>
        <w:t>у</w:t>
      </w:r>
      <w:r w:rsidRPr="00526202">
        <w:rPr>
          <w:lang w:val="mk-MK"/>
        </w:rPr>
        <w:t>р</w:t>
      </w:r>
      <w:r w:rsidR="0097436E">
        <w:rPr>
          <w:lang w:val="mk-MK"/>
        </w:rPr>
        <w:t>ата</w:t>
      </w:r>
      <w:r w:rsidRPr="00526202">
        <w:rPr>
          <w:lang w:val="mk-MK"/>
        </w:rPr>
        <w:t xml:space="preserve"> за корпоративно управување</w:t>
      </w:r>
      <w:r w:rsidR="0097436E">
        <w:rPr>
          <w:lang w:val="mk-MK"/>
        </w:rPr>
        <w:t>,</w:t>
      </w:r>
      <w:r w:rsidRPr="00526202">
        <w:rPr>
          <w:lang w:val="mk-MK"/>
        </w:rPr>
        <w:t xml:space="preserve"> ја формулира идејата за “information and consultation within the undertaking” како суштински елемент на индустриската демократија.</w:t>
      </w:r>
      <w:r w:rsidR="0097436E">
        <w:rPr>
          <w:rStyle w:val="FootnoteReference"/>
          <w:lang w:val="mk-MK"/>
        </w:rPr>
        <w:footnoteReference w:id="343"/>
      </w:r>
      <w:r w:rsidRPr="00526202">
        <w:rPr>
          <w:lang w:val="mk-MK"/>
        </w:rPr>
        <w:t xml:space="preserve"> </w:t>
      </w:r>
    </w:p>
    <w:p w14:paraId="7A0A213D" w14:textId="52D45548" w:rsidR="00526202" w:rsidRDefault="00526202" w:rsidP="00526202">
      <w:pPr>
        <w:pStyle w:val="BodyText"/>
        <w:spacing w:before="240"/>
        <w:ind w:firstLine="720"/>
        <w:jc w:val="both"/>
        <w:rPr>
          <w:lang w:val="mk-MK"/>
        </w:rPr>
      </w:pPr>
      <w:r w:rsidRPr="00526202">
        <w:rPr>
          <w:lang w:val="mk-MK"/>
        </w:rPr>
        <w:t xml:space="preserve">Овие </w:t>
      </w:r>
      <w:r w:rsidR="00F92FFC">
        <w:rPr>
          <w:lang w:val="mk-MK"/>
        </w:rPr>
        <w:t xml:space="preserve">четири конвенции и две препораки како </w:t>
      </w:r>
      <w:r w:rsidRPr="00526202">
        <w:rPr>
          <w:lang w:val="mk-MK"/>
        </w:rPr>
        <w:t>инструменти го сочинуваат нормативното јадро на индустриската демократија и ја поставуваат правната основа за учество</w:t>
      </w:r>
      <w:r w:rsidR="001045D3">
        <w:rPr>
          <w:lang w:val="en-US"/>
        </w:rPr>
        <w:t xml:space="preserve"> </w:t>
      </w:r>
      <w:r w:rsidR="001045D3">
        <w:rPr>
          <w:lang w:val="mk-MK"/>
        </w:rPr>
        <w:t>на вработените</w:t>
      </w:r>
      <w:r w:rsidRPr="00526202">
        <w:rPr>
          <w:lang w:val="mk-MK"/>
        </w:rPr>
        <w:t xml:space="preserve"> во процесите на управување,</w:t>
      </w:r>
      <w:r w:rsidR="00E05219">
        <w:rPr>
          <w:rStyle w:val="FootnoteReference"/>
          <w:lang w:val="mk-MK"/>
        </w:rPr>
        <w:footnoteReference w:id="344"/>
      </w:r>
      <w:r w:rsidRPr="00526202">
        <w:rPr>
          <w:lang w:val="mk-MK"/>
        </w:rPr>
        <w:t xml:space="preserve"> не само во рамките на колективните преговори, туку и во поширокиот контекст на корпоративната политика и надзорните структури.</w:t>
      </w:r>
      <w:r w:rsidR="00CF0C21">
        <w:rPr>
          <w:lang w:val="mk-MK"/>
        </w:rPr>
        <w:t xml:space="preserve"> Македонија ги има ратификувано сите четири конвенции и јавно го има подржано текстот на двете препораки.</w:t>
      </w:r>
      <w:r w:rsidR="00CF0C21">
        <w:rPr>
          <w:rStyle w:val="FootnoteReference"/>
          <w:lang w:val="mk-MK"/>
        </w:rPr>
        <w:footnoteReference w:id="345"/>
      </w:r>
      <w:r w:rsidR="00724B35">
        <w:rPr>
          <w:lang w:val="mk-MK"/>
        </w:rPr>
        <w:t xml:space="preserve"> Ова значи дека тие носат директни обврски за државата и нудат основа за правење на систем за корпоративно управување. </w:t>
      </w:r>
    </w:p>
    <w:p w14:paraId="010C6C0B" w14:textId="60DDE36F" w:rsidR="004D06B2" w:rsidRPr="001528C1" w:rsidRDefault="00112349" w:rsidP="001528C1">
      <w:pPr>
        <w:pStyle w:val="BodyText"/>
        <w:spacing w:before="240"/>
        <w:ind w:firstLine="720"/>
        <w:jc w:val="both"/>
        <w:rPr>
          <w:lang w:val="en-US"/>
        </w:rPr>
      </w:pPr>
      <w:r w:rsidRPr="00112349">
        <w:rPr>
          <w:lang w:val="mk-MK"/>
        </w:rPr>
        <w:t xml:space="preserve">Иако конвенциите на МОТ првенствено се фокусираат на работните односи, нивното поле на примена може да се прошири врз корпоративното управување, особено кога се разгледува улогата на вработените како </w:t>
      </w:r>
      <w:r w:rsidR="006C5667">
        <w:rPr>
          <w:lang w:val="mk-MK"/>
        </w:rPr>
        <w:t>засегнати страни</w:t>
      </w:r>
      <w:r w:rsidRPr="00112349">
        <w:rPr>
          <w:lang w:val="mk-MK"/>
        </w:rPr>
        <w:t xml:space="preserve"> во рамките на претпријатието.</w:t>
      </w:r>
      <w:r w:rsidR="006C5667">
        <w:rPr>
          <w:rStyle w:val="FootnoteReference"/>
          <w:lang w:val="mk-MK"/>
        </w:rPr>
        <w:footnoteReference w:id="346"/>
      </w:r>
      <w:r w:rsidRPr="00112349">
        <w:rPr>
          <w:lang w:val="mk-MK"/>
        </w:rPr>
        <w:t xml:space="preserve"> Како што покажува експертската пракса на МОТ, правото на информации, консултација и учество во одлуките поврзани со економските и организациските прашања претставува природен продолжеток на слободата на здружување и колективното договарање</w:t>
      </w:r>
      <w:r w:rsidR="005F26E4">
        <w:rPr>
          <w:lang w:val="en-US"/>
        </w:rPr>
        <w:t>.</w:t>
      </w:r>
      <w:r w:rsidR="005F26E4">
        <w:rPr>
          <w:rStyle w:val="FootnoteReference"/>
          <w:lang w:val="en-US"/>
        </w:rPr>
        <w:footnoteReference w:id="347"/>
      </w:r>
      <w:r w:rsidR="009E0EBE">
        <w:rPr>
          <w:lang w:val="en-US"/>
        </w:rPr>
        <w:t xml:space="preserve"> </w:t>
      </w:r>
      <w:r w:rsidR="009E0EBE" w:rsidRPr="009E0EBE">
        <w:rPr>
          <w:lang w:val="mk-MK"/>
        </w:rPr>
        <w:t xml:space="preserve">Во поширок смисол, МОТ ги третира работниците како активни чинители во корпоративните процеси, а не само како субјекти на заштита. Така, корпоративното управување што ги интегрира гласовите на </w:t>
      </w:r>
      <w:r w:rsidR="009E0EBE" w:rsidRPr="009E0EBE">
        <w:rPr>
          <w:lang w:val="mk-MK"/>
        </w:rPr>
        <w:lastRenderedPageBreak/>
        <w:t>вработените</w:t>
      </w:r>
      <w:r w:rsidR="009E0EBE">
        <w:rPr>
          <w:lang w:val="mk-MK"/>
        </w:rPr>
        <w:t xml:space="preserve">, </w:t>
      </w:r>
      <w:r w:rsidR="009E0EBE" w:rsidRPr="009E0EBE">
        <w:rPr>
          <w:lang w:val="mk-MK"/>
        </w:rPr>
        <w:t>преку претставници во одбори, преку системи за консултација или преку социјални партнери</w:t>
      </w:r>
      <w:r w:rsidR="009E0EBE">
        <w:rPr>
          <w:lang w:val="mk-MK"/>
        </w:rPr>
        <w:t>,</w:t>
      </w:r>
      <w:r w:rsidR="009E0EBE" w:rsidRPr="009E0EBE">
        <w:rPr>
          <w:lang w:val="mk-MK"/>
        </w:rPr>
        <w:t xml:space="preserve"> се смета за усогласено со духот на конвенциите на МОТ, бидејќи обезбедува демократски баланс на интересите во претпријатието</w:t>
      </w:r>
      <w:r w:rsidR="003D214F">
        <w:rPr>
          <w:lang w:val="mk-MK"/>
        </w:rPr>
        <w:t>.</w:t>
      </w:r>
      <w:r w:rsidR="007C2DC0">
        <w:rPr>
          <w:rStyle w:val="FootnoteReference"/>
          <w:lang w:val="mk-MK"/>
        </w:rPr>
        <w:footnoteReference w:id="348"/>
      </w:r>
    </w:p>
    <w:p w14:paraId="549983A3" w14:textId="72C75294" w:rsidR="004D06B2" w:rsidRPr="007903A6" w:rsidRDefault="004D06B2" w:rsidP="009330C0">
      <w:pPr>
        <w:pStyle w:val="Heading2"/>
        <w:numPr>
          <w:ilvl w:val="1"/>
          <w:numId w:val="12"/>
        </w:numPr>
        <w:jc w:val="both"/>
        <w:rPr>
          <w:rFonts w:ascii="Times New Roman" w:hAnsi="Times New Roman" w:cs="Times New Roman"/>
          <w:b w:val="0"/>
          <w:bCs w:val="0"/>
          <w:color w:val="000000" w:themeColor="text1"/>
          <w:sz w:val="24"/>
          <w:szCs w:val="24"/>
        </w:rPr>
      </w:pPr>
      <w:r w:rsidRPr="007903A6">
        <w:rPr>
          <w:rFonts w:ascii="Times New Roman" w:hAnsi="Times New Roman" w:cs="Times New Roman"/>
          <w:b w:val="0"/>
          <w:bCs w:val="0"/>
          <w:color w:val="000000" w:themeColor="text1"/>
          <w:sz w:val="24"/>
          <w:szCs w:val="24"/>
          <w:lang w:val="en-US"/>
        </w:rPr>
        <w:t xml:space="preserve"> </w:t>
      </w:r>
      <w:bookmarkStart w:id="25" w:name="_Toc230523878"/>
      <w:r w:rsidR="0050256C">
        <w:rPr>
          <w:rFonts w:ascii="Times New Roman" w:hAnsi="Times New Roman" w:cs="Times New Roman"/>
          <w:b w:val="0"/>
          <w:bCs w:val="0"/>
          <w:color w:val="000000" w:themeColor="text1"/>
          <w:sz w:val="24"/>
          <w:szCs w:val="24"/>
          <w:lang w:val="mk-MK"/>
        </w:rPr>
        <w:t>К</w:t>
      </w:r>
      <w:r w:rsidR="0050256C" w:rsidRPr="0050256C">
        <w:rPr>
          <w:rFonts w:ascii="Times New Roman" w:hAnsi="Times New Roman" w:cs="Times New Roman"/>
          <w:b w:val="0"/>
          <w:bCs w:val="0"/>
          <w:color w:val="000000" w:themeColor="text1"/>
          <w:sz w:val="24"/>
          <w:szCs w:val="24"/>
          <w:lang w:val="mk-MK"/>
        </w:rPr>
        <w:t>онвенција бр</w:t>
      </w:r>
      <w:r w:rsidR="00526D87">
        <w:rPr>
          <w:rFonts w:ascii="Times New Roman" w:hAnsi="Times New Roman" w:cs="Times New Roman"/>
          <w:b w:val="0"/>
          <w:bCs w:val="0"/>
          <w:color w:val="000000" w:themeColor="text1"/>
          <w:sz w:val="24"/>
          <w:szCs w:val="24"/>
          <w:lang w:val="mk-MK"/>
        </w:rPr>
        <w:t>ој</w:t>
      </w:r>
      <w:r w:rsidR="0050256C" w:rsidRPr="0050256C">
        <w:rPr>
          <w:rFonts w:ascii="Times New Roman" w:hAnsi="Times New Roman" w:cs="Times New Roman"/>
          <w:b w:val="0"/>
          <w:bCs w:val="0"/>
          <w:color w:val="000000" w:themeColor="text1"/>
          <w:sz w:val="24"/>
          <w:szCs w:val="24"/>
          <w:lang w:val="mk-MK"/>
        </w:rPr>
        <w:t xml:space="preserve"> 87 за слобода</w:t>
      </w:r>
      <w:r w:rsidR="0050256C">
        <w:rPr>
          <w:rFonts w:ascii="Times New Roman" w:hAnsi="Times New Roman" w:cs="Times New Roman"/>
          <w:b w:val="0"/>
          <w:bCs w:val="0"/>
          <w:color w:val="000000" w:themeColor="text1"/>
          <w:sz w:val="24"/>
          <w:szCs w:val="24"/>
          <w:lang w:val="mk-MK"/>
        </w:rPr>
        <w:t>та</w:t>
      </w:r>
      <w:r w:rsidR="0050256C" w:rsidRPr="0050256C">
        <w:rPr>
          <w:rFonts w:ascii="Times New Roman" w:hAnsi="Times New Roman" w:cs="Times New Roman"/>
          <w:b w:val="0"/>
          <w:bCs w:val="0"/>
          <w:color w:val="000000" w:themeColor="text1"/>
          <w:sz w:val="24"/>
          <w:szCs w:val="24"/>
          <w:lang w:val="mk-MK"/>
        </w:rPr>
        <w:t xml:space="preserve"> на здружување и заштита на правото на организирање</w:t>
      </w:r>
      <w:bookmarkEnd w:id="25"/>
    </w:p>
    <w:p w14:paraId="3F99379D" w14:textId="3213039F" w:rsidR="003B2ED2" w:rsidRDefault="00E674BB" w:rsidP="00E674BB">
      <w:pPr>
        <w:pStyle w:val="BodyText"/>
        <w:spacing w:before="240"/>
        <w:ind w:firstLine="720"/>
        <w:jc w:val="both"/>
        <w:rPr>
          <w:lang w:val="mk-MK"/>
        </w:rPr>
      </w:pPr>
      <w:r w:rsidRPr="00E674BB">
        <w:rPr>
          <w:lang w:val="mk-MK"/>
        </w:rPr>
        <w:t>Конвенцијата бр</w:t>
      </w:r>
      <w:r>
        <w:rPr>
          <w:lang w:val="mk-MK"/>
        </w:rPr>
        <w:t>ој</w:t>
      </w:r>
      <w:r w:rsidRPr="00E674BB">
        <w:rPr>
          <w:lang w:val="mk-MK"/>
        </w:rPr>
        <w:t xml:space="preserve"> 87 на МОТ, усвоена во 1948 година, претставува </w:t>
      </w:r>
      <w:r w:rsidR="00FB522E">
        <w:rPr>
          <w:lang w:val="mk-MK"/>
        </w:rPr>
        <w:t xml:space="preserve">темелен </w:t>
      </w:r>
      <w:r w:rsidRPr="00E674BB">
        <w:rPr>
          <w:lang w:val="mk-MK"/>
        </w:rPr>
        <w:t>нормативен акт за слободата на здружување и заштитата на правото на организирањ</w:t>
      </w:r>
      <w:r w:rsidR="00FB522E">
        <w:rPr>
          <w:lang w:val="mk-MK"/>
        </w:rPr>
        <w:t xml:space="preserve">е, </w:t>
      </w:r>
      <w:r w:rsidRPr="00E674BB">
        <w:rPr>
          <w:lang w:val="mk-MK"/>
        </w:rPr>
        <w:t>право што подоцна станува централен столб на меѓународното трудово уредување</w:t>
      </w:r>
      <w:r w:rsidR="00FB522E">
        <w:rPr>
          <w:lang w:val="mk-MK"/>
        </w:rPr>
        <w:t xml:space="preserve"> и концептот за човекови права</w:t>
      </w:r>
      <w:r w:rsidRPr="00E674BB">
        <w:rPr>
          <w:lang w:val="mk-MK"/>
        </w:rPr>
        <w:t>.</w:t>
      </w:r>
      <w:r w:rsidR="008934B4">
        <w:rPr>
          <w:rStyle w:val="FootnoteReference"/>
          <w:lang w:val="mk-MK"/>
        </w:rPr>
        <w:footnoteReference w:id="349"/>
      </w:r>
      <w:r w:rsidRPr="00E674BB">
        <w:rPr>
          <w:lang w:val="mk-MK"/>
        </w:rPr>
        <w:t xml:space="preserve"> Таа ја утврдува автономијата на работниците и работодавците да формираат организации по свој избор, без претходно одобрување од државата, како и нивната слобода да се приклучуваат кон постојни организации без страв од санкции, одмазда или дискриминација.</w:t>
      </w:r>
      <w:r w:rsidR="00D66937">
        <w:rPr>
          <w:rStyle w:val="FootnoteReference"/>
          <w:lang w:val="mk-MK"/>
        </w:rPr>
        <w:footnoteReference w:id="350"/>
      </w:r>
      <w:r w:rsidRPr="00E674BB">
        <w:rPr>
          <w:lang w:val="mk-MK"/>
        </w:rPr>
        <w:t xml:space="preserve"> Конвенцијата воспоставува принципи на институционална независност, самоуправување на синдикатите, слобода на усвојување статути и програми, слобода на избор на претставници и заштита од административно распуштање или суспензија. Воедно, државите се задолжуваат да обезбедат услови во кои овие права ќе бидат не само формално признати, туку и фактички остварливи. </w:t>
      </w:r>
    </w:p>
    <w:p w14:paraId="263A8B39" w14:textId="77777777" w:rsidR="00162756" w:rsidRDefault="00E674BB" w:rsidP="00E674BB">
      <w:pPr>
        <w:pStyle w:val="BodyText"/>
        <w:spacing w:before="240"/>
        <w:ind w:firstLine="720"/>
        <w:jc w:val="both"/>
        <w:rPr>
          <w:lang w:val="mk-MK"/>
        </w:rPr>
      </w:pPr>
      <w:r w:rsidRPr="00E674BB">
        <w:rPr>
          <w:lang w:val="mk-MK"/>
        </w:rPr>
        <w:t>Ставена во поширокиот контекст на корпоративното управување, Конвенцијата делува како неопходна пре</w:t>
      </w:r>
      <w:r w:rsidR="00630158">
        <w:rPr>
          <w:lang w:val="mk-MK"/>
        </w:rPr>
        <w:t>т</w:t>
      </w:r>
      <w:r w:rsidRPr="00E674BB">
        <w:rPr>
          <w:lang w:val="mk-MK"/>
        </w:rPr>
        <w:t>поставка за каква било форма на демократска партиципација на работниците во одлучувањето во компаниите. Без вистинска слобода на здружување, сите понатамошни модели на учество</w:t>
      </w:r>
      <w:r w:rsidR="00D52359">
        <w:rPr>
          <w:lang w:val="mk-MK"/>
        </w:rPr>
        <w:t xml:space="preserve">, </w:t>
      </w:r>
      <w:r w:rsidRPr="00E674BB">
        <w:rPr>
          <w:lang w:val="mk-MK"/>
        </w:rPr>
        <w:t>од класично колективно договарање до пософистицирани режими на кодетерминација, работнички совети или партиципативни управни одбори</w:t>
      </w:r>
      <w:r w:rsidR="00D52359">
        <w:rPr>
          <w:lang w:val="mk-MK"/>
        </w:rPr>
        <w:t xml:space="preserve">, </w:t>
      </w:r>
      <w:r w:rsidRPr="00E674BB">
        <w:rPr>
          <w:lang w:val="mk-MK"/>
        </w:rPr>
        <w:t>стануваат празни институции, лишени од капацитет да влијаат врз распределбата на моќта во фирмата. И токму тука се гледа значењето на Конвенцијата 87 како конститутивна норма: таа не е само гаранција на негативна слобода,</w:t>
      </w:r>
      <w:r w:rsidR="00A33F64">
        <w:rPr>
          <w:rStyle w:val="FootnoteReference"/>
          <w:lang w:val="mk-MK"/>
        </w:rPr>
        <w:footnoteReference w:id="351"/>
      </w:r>
      <w:r w:rsidRPr="00E674BB">
        <w:rPr>
          <w:lang w:val="mk-MK"/>
        </w:rPr>
        <w:t xml:space="preserve"> туку структурен услов за создавање организирана работничка контрамоќ без која корпоративното право останува асиметрично и пристрасно кон капиталот. </w:t>
      </w:r>
    </w:p>
    <w:p w14:paraId="47E5CEAE" w14:textId="77777777" w:rsidR="001453BA" w:rsidRDefault="00E674BB" w:rsidP="00E674BB">
      <w:pPr>
        <w:pStyle w:val="BodyText"/>
        <w:spacing w:before="240"/>
        <w:ind w:firstLine="720"/>
        <w:jc w:val="both"/>
        <w:rPr>
          <w:lang w:val="mk-MK"/>
        </w:rPr>
      </w:pPr>
      <w:r w:rsidRPr="00E674BB">
        <w:rPr>
          <w:lang w:val="mk-MK"/>
        </w:rPr>
        <w:t>Во контекст на современите дебати за слабите институции, демократскиот дефицит и реформската инерција во Македонија, Конвенцијата може да се чита и како критичка алатка. Формалното ратификување</w:t>
      </w:r>
      <w:r w:rsidR="00F256D3">
        <w:rPr>
          <w:lang w:val="mk-MK"/>
        </w:rPr>
        <w:t>,</w:t>
      </w:r>
      <w:r w:rsidR="00F256D3">
        <w:rPr>
          <w:rStyle w:val="FootnoteReference"/>
          <w:lang w:val="mk-MK"/>
        </w:rPr>
        <w:footnoteReference w:id="352"/>
      </w:r>
      <w:r w:rsidR="00F256D3">
        <w:rPr>
          <w:lang w:val="mk-MK"/>
        </w:rPr>
        <w:t xml:space="preserve"> </w:t>
      </w:r>
      <w:r w:rsidRPr="00E674BB">
        <w:rPr>
          <w:lang w:val="mk-MK"/>
        </w:rPr>
        <w:t>не гарантира имплементација. Напротив, во многу пост-транзициски системи синдикатите се фрагментирани, политизирани или маргинализирани, а работниците фактички се обесхрабрени да се организираат преку суптилни форми на притисок, прекаризација, неформалност или културни бариери. Во таква средина, Конвенцијата функционира како меѓународен коректив: таа ги поставува минималните стандарди за демократска работничка репрезентација кои потоа институциите</w:t>
      </w:r>
      <w:r w:rsidR="001453BA">
        <w:rPr>
          <w:lang w:val="mk-MK"/>
        </w:rPr>
        <w:t xml:space="preserve">, </w:t>
      </w:r>
      <w:r w:rsidRPr="00E674BB">
        <w:rPr>
          <w:lang w:val="mk-MK"/>
        </w:rPr>
        <w:t>судовите, инспекторатите, соци</w:t>
      </w:r>
      <w:r w:rsidR="001453BA">
        <w:rPr>
          <w:lang w:val="mk-MK"/>
        </w:rPr>
        <w:t>ј</w:t>
      </w:r>
      <w:r w:rsidRPr="00E674BB">
        <w:rPr>
          <w:lang w:val="mk-MK"/>
        </w:rPr>
        <w:t xml:space="preserve">алните партнери, корпоративните </w:t>
      </w:r>
      <w:r w:rsidR="001453BA">
        <w:rPr>
          <w:lang w:val="mk-MK"/>
        </w:rPr>
        <w:t xml:space="preserve">органи, </w:t>
      </w:r>
      <w:r w:rsidRPr="00E674BB">
        <w:rPr>
          <w:lang w:val="mk-MK"/>
        </w:rPr>
        <w:t xml:space="preserve">се обврзани да ги земат предвид кога одлучуваат за прашања од социо-економска природа. </w:t>
      </w:r>
    </w:p>
    <w:p w14:paraId="2BF44922" w14:textId="77777777" w:rsidR="001C48B2" w:rsidRDefault="00E674BB" w:rsidP="00E674BB">
      <w:pPr>
        <w:pStyle w:val="BodyText"/>
        <w:spacing w:before="240"/>
        <w:ind w:firstLine="720"/>
        <w:jc w:val="both"/>
        <w:rPr>
          <w:lang w:val="mk-MK"/>
        </w:rPr>
      </w:pPr>
      <w:r w:rsidRPr="00E674BB">
        <w:rPr>
          <w:lang w:val="mk-MK"/>
        </w:rPr>
        <w:t xml:space="preserve">Дополнително, во рамките на корпоративното управување, Конвенцијата </w:t>
      </w:r>
      <w:r w:rsidR="0098020A">
        <w:rPr>
          <w:lang w:val="mk-MK"/>
        </w:rPr>
        <w:t xml:space="preserve">број </w:t>
      </w:r>
      <w:r w:rsidRPr="00E674BB">
        <w:rPr>
          <w:lang w:val="mk-MK"/>
        </w:rPr>
        <w:t xml:space="preserve">87 ја отвора вратата за преформулирање </w:t>
      </w:r>
      <w:r w:rsidR="0098020A">
        <w:rPr>
          <w:lang w:val="mk-MK"/>
        </w:rPr>
        <w:t>на трговското друштво</w:t>
      </w:r>
      <w:r w:rsidRPr="00E674BB">
        <w:rPr>
          <w:lang w:val="mk-MK"/>
        </w:rPr>
        <w:t xml:space="preserve"> не како приватноправен </w:t>
      </w:r>
      <w:r w:rsidRPr="00E674BB">
        <w:rPr>
          <w:lang w:val="mk-MK"/>
        </w:rPr>
        <w:lastRenderedPageBreak/>
        <w:t xml:space="preserve">ентитет чија цел е максимизација на профитот, туку како социјална институција во која различните засегнати страни имаат легитимно учество. Преку овозможувањето на синдикална автономија, документот не само што ја зајакнува способноста на работниците да преговараат за подобри материјални услови, туку создава институционална основа за посуштинско учество во </w:t>
      </w:r>
      <w:r w:rsidR="0098020A">
        <w:rPr>
          <w:lang w:val="mk-MK"/>
        </w:rPr>
        <w:t xml:space="preserve">органите на друштвото, </w:t>
      </w:r>
      <w:r w:rsidRPr="00E674BB">
        <w:rPr>
          <w:lang w:val="mk-MK"/>
        </w:rPr>
        <w:t xml:space="preserve">што е од суштинско значење за реформите во правец на европеизација и усогласување со стандардите на Советот на Европа и ЕУ. </w:t>
      </w:r>
    </w:p>
    <w:p w14:paraId="60549B62" w14:textId="5F606EED" w:rsidR="008E225E" w:rsidRPr="008E225E" w:rsidRDefault="00E674BB" w:rsidP="008E225E">
      <w:pPr>
        <w:pStyle w:val="BodyText"/>
        <w:spacing w:before="240"/>
        <w:ind w:firstLine="720"/>
        <w:jc w:val="both"/>
        <w:rPr>
          <w:lang w:val="mk-MK"/>
        </w:rPr>
      </w:pPr>
      <w:r w:rsidRPr="00E674BB">
        <w:rPr>
          <w:lang w:val="mk-MK"/>
        </w:rPr>
        <w:t xml:space="preserve">Оттаму, Конвенцијата не е само класичен инструмент на трудовото право, туку и основна точка на пресек помеѓу човековите права, институционалната демократија и корпоративното управување. Таа претставува </w:t>
      </w:r>
      <w:r w:rsidR="001C48B2">
        <w:rPr>
          <w:i/>
          <w:iCs/>
          <w:lang w:val="en-US"/>
        </w:rPr>
        <w:t>sine qua non</w:t>
      </w:r>
      <w:r w:rsidRPr="00E674BB">
        <w:rPr>
          <w:lang w:val="mk-MK"/>
        </w:rPr>
        <w:t xml:space="preserve"> без кое сите повисоки норми</w:t>
      </w:r>
      <w:r w:rsidR="00947131">
        <w:rPr>
          <w:lang w:val="en-US"/>
        </w:rPr>
        <w:t xml:space="preserve">, </w:t>
      </w:r>
      <w:r w:rsidRPr="00E674BB">
        <w:rPr>
          <w:lang w:val="mk-MK"/>
        </w:rPr>
        <w:t>Европската социјална повелба, препораките на Советот на Европа, Директивите на ЕУ за информирање и консултирање, па дури и преседанското право на ЕСЧП</w:t>
      </w:r>
      <w:r w:rsidR="00947131">
        <w:rPr>
          <w:lang w:val="en-US"/>
        </w:rPr>
        <w:t xml:space="preserve">, </w:t>
      </w:r>
      <w:r w:rsidRPr="00E674BB">
        <w:rPr>
          <w:lang w:val="mk-MK"/>
        </w:rPr>
        <w:t xml:space="preserve">би останале без практичен ефект. Во анализата на реформите во Македонија, Конвенцијата </w:t>
      </w:r>
      <w:r w:rsidR="008E225E">
        <w:rPr>
          <w:lang w:val="mk-MK"/>
        </w:rPr>
        <w:t xml:space="preserve">број </w:t>
      </w:r>
      <w:r w:rsidRPr="00E674BB">
        <w:rPr>
          <w:lang w:val="mk-MK"/>
        </w:rPr>
        <w:t>87 е логична почетна точка, затоа што ги дефинира минималните предуслови за секој модел на работничко учество да биде демократски легитимен, правно одржлив и социјално ефективен.</w:t>
      </w:r>
    </w:p>
    <w:p w14:paraId="18D93861" w14:textId="417C584C" w:rsidR="008E225E" w:rsidRPr="008E225E" w:rsidRDefault="008E225E" w:rsidP="009330C0">
      <w:pPr>
        <w:pStyle w:val="Heading2"/>
        <w:numPr>
          <w:ilvl w:val="1"/>
          <w:numId w:val="12"/>
        </w:numPr>
        <w:jc w:val="both"/>
        <w:rPr>
          <w:rFonts w:ascii="Times New Roman" w:hAnsi="Times New Roman" w:cs="Times New Roman"/>
          <w:b w:val="0"/>
          <w:bCs w:val="0"/>
          <w:color w:val="000000" w:themeColor="text1"/>
          <w:sz w:val="24"/>
          <w:szCs w:val="24"/>
        </w:rPr>
      </w:pPr>
      <w:r w:rsidRPr="007903A6">
        <w:rPr>
          <w:rFonts w:ascii="Times New Roman" w:hAnsi="Times New Roman" w:cs="Times New Roman"/>
          <w:b w:val="0"/>
          <w:bCs w:val="0"/>
          <w:color w:val="000000" w:themeColor="text1"/>
          <w:sz w:val="24"/>
          <w:szCs w:val="24"/>
          <w:lang w:val="en-US"/>
        </w:rPr>
        <w:t xml:space="preserve"> </w:t>
      </w:r>
      <w:bookmarkStart w:id="26" w:name="_Toc230523879"/>
      <w:r>
        <w:rPr>
          <w:rFonts w:ascii="Times New Roman" w:hAnsi="Times New Roman" w:cs="Times New Roman"/>
          <w:b w:val="0"/>
          <w:bCs w:val="0"/>
          <w:color w:val="000000" w:themeColor="text1"/>
          <w:sz w:val="24"/>
          <w:szCs w:val="24"/>
          <w:lang w:val="mk-MK"/>
        </w:rPr>
        <w:t>К</w:t>
      </w:r>
      <w:r w:rsidRPr="0050256C">
        <w:rPr>
          <w:rFonts w:ascii="Times New Roman" w:hAnsi="Times New Roman" w:cs="Times New Roman"/>
          <w:b w:val="0"/>
          <w:bCs w:val="0"/>
          <w:color w:val="000000" w:themeColor="text1"/>
          <w:sz w:val="24"/>
          <w:szCs w:val="24"/>
          <w:lang w:val="mk-MK"/>
        </w:rPr>
        <w:t>онвенција бр</w:t>
      </w:r>
      <w:r>
        <w:rPr>
          <w:rFonts w:ascii="Times New Roman" w:hAnsi="Times New Roman" w:cs="Times New Roman"/>
          <w:b w:val="0"/>
          <w:bCs w:val="0"/>
          <w:color w:val="000000" w:themeColor="text1"/>
          <w:sz w:val="24"/>
          <w:szCs w:val="24"/>
          <w:lang w:val="mk-MK"/>
        </w:rPr>
        <w:t>ој</w:t>
      </w:r>
      <w:r w:rsidRPr="0050256C">
        <w:rPr>
          <w:rFonts w:ascii="Times New Roman" w:hAnsi="Times New Roman" w:cs="Times New Roman"/>
          <w:b w:val="0"/>
          <w:bCs w:val="0"/>
          <w:color w:val="000000" w:themeColor="text1"/>
          <w:sz w:val="24"/>
          <w:szCs w:val="24"/>
          <w:lang w:val="mk-MK"/>
        </w:rPr>
        <w:t xml:space="preserve"> </w:t>
      </w:r>
      <w:r w:rsidR="00E7544F" w:rsidRPr="00E7544F">
        <w:rPr>
          <w:rFonts w:ascii="Times New Roman" w:hAnsi="Times New Roman" w:cs="Times New Roman"/>
          <w:b w:val="0"/>
          <w:bCs w:val="0"/>
          <w:color w:val="000000" w:themeColor="text1"/>
          <w:sz w:val="24"/>
          <w:szCs w:val="24"/>
          <w:lang w:val="mk-MK"/>
        </w:rPr>
        <w:t>98 за примената на принципите на правото на организирање и колективно договарање</w:t>
      </w:r>
      <w:bookmarkEnd w:id="26"/>
    </w:p>
    <w:p w14:paraId="1372021C" w14:textId="4EBE1634" w:rsidR="00C32225" w:rsidRDefault="00C32225" w:rsidP="00924E7A">
      <w:pPr>
        <w:pStyle w:val="BodyText"/>
        <w:spacing w:before="240"/>
        <w:ind w:firstLine="720"/>
        <w:jc w:val="both"/>
        <w:rPr>
          <w:lang w:val="mk-MK"/>
        </w:rPr>
      </w:pPr>
      <w:r w:rsidRPr="00C32225">
        <w:rPr>
          <w:lang w:val="mk-MK"/>
        </w:rPr>
        <w:t>Конвенцијата</w:t>
      </w:r>
      <w:r w:rsidR="00D87BB7">
        <w:rPr>
          <w:lang w:val="mk-MK"/>
        </w:rPr>
        <w:t xml:space="preserve"> број</w:t>
      </w:r>
      <w:r w:rsidRPr="00C32225">
        <w:rPr>
          <w:lang w:val="mk-MK"/>
        </w:rPr>
        <w:t xml:space="preserve"> 98 на МОТ</w:t>
      </w:r>
      <w:r w:rsidR="00C94CE0">
        <w:rPr>
          <w:lang w:val="mk-MK"/>
        </w:rPr>
        <w:t>,</w:t>
      </w:r>
      <w:r w:rsidRPr="00C32225">
        <w:rPr>
          <w:lang w:val="mk-MK"/>
        </w:rPr>
        <w:t xml:space="preserve"> од 1949 година</w:t>
      </w:r>
      <w:r w:rsidR="00C94CE0">
        <w:rPr>
          <w:lang w:val="mk-MK"/>
        </w:rPr>
        <w:t xml:space="preserve">, </w:t>
      </w:r>
      <w:r w:rsidRPr="00C32225">
        <w:rPr>
          <w:lang w:val="mk-MK"/>
        </w:rPr>
        <w:t>претставува логичен продолжеток на Конвенцијата 87 и е вториот фундаментален столб врз кој се гради меѓународната архитектура на работничките права.</w:t>
      </w:r>
      <w:r w:rsidR="00F32993">
        <w:rPr>
          <w:rStyle w:val="FootnoteReference"/>
          <w:lang w:val="mk-MK"/>
        </w:rPr>
        <w:footnoteReference w:id="353"/>
      </w:r>
      <w:r w:rsidRPr="00C32225">
        <w:rPr>
          <w:lang w:val="mk-MK"/>
        </w:rPr>
        <w:t xml:space="preserve"> Додека Конвенцијата 87 ја штити слободата на здружување како негативно право,</w:t>
      </w:r>
      <w:r w:rsidR="00A7217B">
        <w:rPr>
          <w:lang w:val="mk-MK"/>
        </w:rPr>
        <w:t xml:space="preserve"> односно п</w:t>
      </w:r>
      <w:r w:rsidR="00A7217B" w:rsidRPr="00A7217B">
        <w:rPr>
          <w:lang w:val="mk-MK"/>
        </w:rPr>
        <w:t>раво</w:t>
      </w:r>
      <w:r w:rsidR="00A7217B">
        <w:rPr>
          <w:lang w:val="mk-MK"/>
        </w:rPr>
        <w:t>то</w:t>
      </w:r>
      <w:r w:rsidR="00A7217B" w:rsidRPr="00A7217B">
        <w:rPr>
          <w:lang w:val="mk-MK"/>
        </w:rPr>
        <w:t xml:space="preserve"> </w:t>
      </w:r>
      <w:r w:rsidR="00A7217B">
        <w:rPr>
          <w:lang w:val="mk-MK"/>
        </w:rPr>
        <w:t>„</w:t>
      </w:r>
      <w:r w:rsidR="00A7217B" w:rsidRPr="00A7217B">
        <w:rPr>
          <w:lang w:val="mk-MK"/>
        </w:rPr>
        <w:t>да не ме спречуваат</w:t>
      </w:r>
      <w:r w:rsidR="00A7217B">
        <w:rPr>
          <w:lang w:val="mk-MK"/>
        </w:rPr>
        <w:t>“,</w:t>
      </w:r>
      <w:r w:rsidRPr="00C32225">
        <w:rPr>
          <w:lang w:val="mk-MK"/>
        </w:rPr>
        <w:t xml:space="preserve"> Конвенцијата 98 ја обезбедува активната, материјална, практична димензија на тоа здружување: правото синдикатите реално да преговараат, да склучуваат колективни договори и да функционираат без страв од репрес</w:t>
      </w:r>
      <w:r w:rsidR="00A7217B">
        <w:rPr>
          <w:lang w:val="mk-MK"/>
        </w:rPr>
        <w:t>ивни мерки</w:t>
      </w:r>
      <w:r w:rsidRPr="00C32225">
        <w:rPr>
          <w:lang w:val="mk-MK"/>
        </w:rPr>
        <w:t>. Со тоа, Конвенцијата 98 ја претвора синдикалната автономија во ефективен инструмент за балансирање на моќта помеѓу трудот и капиталот.</w:t>
      </w:r>
    </w:p>
    <w:p w14:paraId="4C0D7236" w14:textId="68E65F2A" w:rsidR="004E3D27" w:rsidRDefault="004E3D27" w:rsidP="00924E7A">
      <w:pPr>
        <w:pStyle w:val="BodyText"/>
        <w:spacing w:before="240"/>
        <w:ind w:firstLine="720"/>
        <w:jc w:val="both"/>
        <w:rPr>
          <w:lang w:val="mk-MK"/>
        </w:rPr>
      </w:pPr>
      <w:r w:rsidRPr="004E3D27">
        <w:rPr>
          <w:lang w:val="mk-MK"/>
        </w:rPr>
        <w:t>Едно од нејзините централни достигнувања е забраната на анти-синдикална дискриминација, формулирана јасно</w:t>
      </w:r>
      <w:r w:rsidR="00C17E7C">
        <w:rPr>
          <w:lang w:val="mk-MK"/>
        </w:rPr>
        <w:t xml:space="preserve"> во насока на тоа дека</w:t>
      </w:r>
      <w:r w:rsidRPr="004E3D27">
        <w:rPr>
          <w:lang w:val="mk-MK"/>
        </w:rPr>
        <w:t xml:space="preserve"> ниту еден работник не смее да биде отпуштен, деградиран, санкциониран или принуден да се откаже од синдикално членство.</w:t>
      </w:r>
      <w:r w:rsidR="00532532">
        <w:rPr>
          <w:rStyle w:val="FootnoteReference"/>
          <w:lang w:val="mk-MK"/>
        </w:rPr>
        <w:footnoteReference w:id="354"/>
      </w:r>
      <w:r w:rsidRPr="004E3D27">
        <w:rPr>
          <w:lang w:val="mk-MK"/>
        </w:rPr>
        <w:t xml:space="preserve"> Вториот клучен елемент е ограничувањето на мешањето на работодавачите во синдикалните организации, односно спречување на т.н. “company unions” и други форми на инструментализација.</w:t>
      </w:r>
      <w:r w:rsidR="005F2E36">
        <w:rPr>
          <w:rStyle w:val="FootnoteReference"/>
          <w:lang w:val="mk-MK"/>
        </w:rPr>
        <w:footnoteReference w:id="355"/>
      </w:r>
      <w:r w:rsidRPr="004E3D27">
        <w:rPr>
          <w:lang w:val="mk-MK"/>
        </w:rPr>
        <w:t xml:space="preserve"> Конечно, Конвенцијата 98 охрабрува активно развивање на доброволни и независни механизми на колективно договарање, со што создава правна инфраструктура преку која работниците и работодавачите можат системски да регулираат услови на труд, плати и права.</w:t>
      </w:r>
    </w:p>
    <w:p w14:paraId="7BAD521F" w14:textId="716A916D" w:rsidR="00531985" w:rsidRDefault="00531985" w:rsidP="00924E7A">
      <w:pPr>
        <w:pStyle w:val="BodyText"/>
        <w:spacing w:before="240"/>
        <w:ind w:firstLine="720"/>
        <w:jc w:val="both"/>
        <w:rPr>
          <w:lang w:val="mk-MK"/>
        </w:rPr>
      </w:pPr>
      <w:r w:rsidRPr="00531985">
        <w:rPr>
          <w:lang w:val="mk-MK"/>
        </w:rPr>
        <w:t xml:space="preserve">Во контекст на корпоративното управување и реформите за работничка партиципација, Конвенцијата 98 има уште подлабоко значење. Таа се однесува директно на материјалните односи во </w:t>
      </w:r>
      <w:r>
        <w:rPr>
          <w:lang w:val="mk-MK"/>
        </w:rPr>
        <w:t>трговското друштво</w:t>
      </w:r>
      <w:r w:rsidRPr="00531985">
        <w:rPr>
          <w:lang w:val="mk-MK"/>
        </w:rPr>
        <w:t xml:space="preserve"> и создава мост </w:t>
      </w:r>
      <w:r w:rsidR="0090463E">
        <w:rPr>
          <w:lang w:val="mk-MK"/>
        </w:rPr>
        <w:t>по</w:t>
      </w:r>
      <w:r w:rsidRPr="00531985">
        <w:rPr>
          <w:lang w:val="mk-MK"/>
        </w:rPr>
        <w:t xml:space="preserve">меѓу класичното трудово право и современите модели на ко-управување. Колективното договарање претставува прв степен на колективна рационализација на интересите во рамките на </w:t>
      </w:r>
      <w:r w:rsidR="0090463E">
        <w:rPr>
          <w:lang w:val="mk-MK"/>
        </w:rPr>
        <w:lastRenderedPageBreak/>
        <w:t>друштвото,</w:t>
      </w:r>
      <w:r w:rsidRPr="00531985">
        <w:rPr>
          <w:lang w:val="mk-MK"/>
        </w:rPr>
        <w:t xml:space="preserve"> оној момент кога работниците настапуваат не како индивидуализирани субјекти на пазарот на труд, туку како организирана група што преговара со рационален капацитет. Тоа е предуслов за секој понатамошен модел на учество во одбори, надзорни тела или делегирани механизми на контрола.</w:t>
      </w:r>
    </w:p>
    <w:p w14:paraId="4FBF9832" w14:textId="789CD87F" w:rsidR="00C546B0" w:rsidRDefault="00C546B0" w:rsidP="00924E7A">
      <w:pPr>
        <w:pStyle w:val="BodyText"/>
        <w:spacing w:before="240"/>
        <w:ind w:firstLine="720"/>
        <w:jc w:val="both"/>
        <w:rPr>
          <w:lang w:val="mk-MK"/>
        </w:rPr>
      </w:pPr>
      <w:r>
        <w:rPr>
          <w:lang w:val="mk-MK"/>
        </w:rPr>
        <w:t>Како претходната, така и оваа Конвенција добива п</w:t>
      </w:r>
      <w:r w:rsidRPr="00C546B0">
        <w:rPr>
          <w:lang w:val="mk-MK"/>
        </w:rPr>
        <w:t xml:space="preserve">осебно значење во земји со структурно слаби институции, каква што е Македонија. Во </w:t>
      </w:r>
      <w:r w:rsidR="00E02A64">
        <w:rPr>
          <w:lang w:val="mk-MK"/>
        </w:rPr>
        <w:t>вакви околности</w:t>
      </w:r>
      <w:r w:rsidRPr="00C546B0">
        <w:rPr>
          <w:lang w:val="mk-MK"/>
        </w:rPr>
        <w:t>, колективното договарање</w:t>
      </w:r>
      <w:r w:rsidR="009912D7">
        <w:rPr>
          <w:lang w:val="mk-MK"/>
        </w:rPr>
        <w:t>,</w:t>
      </w:r>
      <w:r w:rsidRPr="00C546B0">
        <w:rPr>
          <w:lang w:val="mk-MK"/>
        </w:rPr>
        <w:t xml:space="preserve"> барем формално регулирано</w:t>
      </w:r>
      <w:r w:rsidR="009912D7">
        <w:rPr>
          <w:lang w:val="mk-MK"/>
        </w:rPr>
        <w:t>,</w:t>
      </w:r>
      <w:r w:rsidRPr="00C546B0">
        <w:rPr>
          <w:lang w:val="mk-MK"/>
        </w:rPr>
        <w:t xml:space="preserve"> често е ограничено со </w:t>
      </w:r>
      <w:r w:rsidR="00273642">
        <w:rPr>
          <w:lang w:val="mk-MK"/>
        </w:rPr>
        <w:t>распрскани</w:t>
      </w:r>
      <w:r w:rsidRPr="00C546B0">
        <w:rPr>
          <w:lang w:val="mk-MK"/>
        </w:rPr>
        <w:t xml:space="preserve"> синдикати, висока зависност од политички центри, и корпоративни практики кои ја фаворизираат дискрецијата на работодавачот. Конвенцијата овде се јавува како норма на меѓународен притисок, барајќи од државата не само да ги ратификува стандардите, туку и позитивно да воспостави систем на стимули, гаранции и санкции што ќе овозможат колективното договарање да функционира како реална алатка за економска и социјална рамнотежа.</w:t>
      </w:r>
    </w:p>
    <w:p w14:paraId="71D9148B" w14:textId="77777777" w:rsidR="007613C4" w:rsidRDefault="00E02A64" w:rsidP="007613C4">
      <w:pPr>
        <w:pStyle w:val="BodyText"/>
        <w:spacing w:before="240"/>
        <w:ind w:firstLine="720"/>
        <w:jc w:val="both"/>
        <w:rPr>
          <w:lang w:val="mk-MK"/>
        </w:rPr>
      </w:pPr>
      <w:r w:rsidRPr="00E02A64">
        <w:rPr>
          <w:lang w:val="mk-MK"/>
        </w:rPr>
        <w:t>Во поширокиот европски контекст</w:t>
      </w:r>
      <w:r>
        <w:rPr>
          <w:lang w:val="mk-MK"/>
        </w:rPr>
        <w:t>,</w:t>
      </w:r>
      <w:r w:rsidR="008C568D">
        <w:rPr>
          <w:rStyle w:val="FootnoteReference"/>
          <w:lang w:val="mk-MK"/>
        </w:rPr>
        <w:footnoteReference w:id="356"/>
      </w:r>
      <w:r w:rsidRPr="00E02A64">
        <w:rPr>
          <w:lang w:val="mk-MK"/>
        </w:rPr>
        <w:t xml:space="preserve"> Конвенцијата 98 е основната референтна точка врз која се надоградуваат сите понатамошни стандарди: правото на информирање и консултирање (2002/14/EC), европски работнички совети, директивите за транснационални преструктурирања, ка</w:t>
      </w:r>
      <w:r w:rsidR="00E35BEA">
        <w:rPr>
          <w:lang w:val="mk-MK"/>
        </w:rPr>
        <w:t>к</w:t>
      </w:r>
      <w:r w:rsidRPr="00E02A64">
        <w:rPr>
          <w:lang w:val="mk-MK"/>
        </w:rPr>
        <w:t xml:space="preserve">о и современите иницијативи за </w:t>
      </w:r>
      <w:r w:rsidRPr="00E35BEA">
        <w:rPr>
          <w:i/>
          <w:iCs/>
          <w:lang w:val="mk-MK"/>
        </w:rPr>
        <w:t>due diligence</w:t>
      </w:r>
      <w:r w:rsidRPr="00E02A64">
        <w:rPr>
          <w:lang w:val="mk-MK"/>
        </w:rPr>
        <w:t xml:space="preserve"> и корпоративна одговорност. Таа го култивира она што во корпоративното право недостига: признание дека фирмата не е “приватен остров” на сопственичка автономија, туку арена во која колективните права имаат уставна тежина. </w:t>
      </w:r>
    </w:p>
    <w:p w14:paraId="2F697D1D" w14:textId="2037D681" w:rsidR="00E346A6" w:rsidRPr="008E225E" w:rsidRDefault="00E02A64" w:rsidP="00E346A6">
      <w:pPr>
        <w:pStyle w:val="BodyText"/>
        <w:spacing w:before="240"/>
        <w:ind w:firstLine="720"/>
        <w:jc w:val="both"/>
        <w:rPr>
          <w:lang w:val="mk-MK"/>
        </w:rPr>
      </w:pPr>
      <w:r w:rsidRPr="00E02A64">
        <w:rPr>
          <w:lang w:val="mk-MK"/>
        </w:rPr>
        <w:t>Во таа смисла, Конвенцијата бр</w:t>
      </w:r>
      <w:r w:rsidR="007613C4">
        <w:rPr>
          <w:lang w:val="mk-MK"/>
        </w:rPr>
        <w:t>ој</w:t>
      </w:r>
      <w:r w:rsidRPr="00E02A64">
        <w:rPr>
          <w:lang w:val="mk-MK"/>
        </w:rPr>
        <w:t xml:space="preserve"> 98 не е само заштита од неправда</w:t>
      </w:r>
      <w:r w:rsidR="007613C4">
        <w:rPr>
          <w:lang w:val="mk-MK"/>
        </w:rPr>
        <w:t>,</w:t>
      </w:r>
      <w:r w:rsidRPr="00E02A64">
        <w:rPr>
          <w:lang w:val="mk-MK"/>
        </w:rPr>
        <w:t xml:space="preserve"> таа е структурен предуслов за демократско корпоративно управување. Таа ја создава институционалната и нормативна логика што ги поврзува работничките права со модерните реформи на управните модели. Исто како 87, но со уште поголема материјална сила, таа го артикулира принципот дека учеството не е милостина, туку право засновано на организирана колективна моќ</w:t>
      </w:r>
      <w:r w:rsidR="00E346A6">
        <w:rPr>
          <w:lang w:val="mk-MK"/>
        </w:rPr>
        <w:t xml:space="preserve"> од која корист имаат двете страни.</w:t>
      </w:r>
    </w:p>
    <w:p w14:paraId="17519262" w14:textId="69436398" w:rsidR="00E346A6" w:rsidRPr="00E346A6" w:rsidRDefault="00E346A6" w:rsidP="009330C0">
      <w:pPr>
        <w:pStyle w:val="Heading2"/>
        <w:numPr>
          <w:ilvl w:val="1"/>
          <w:numId w:val="12"/>
        </w:numPr>
        <w:jc w:val="both"/>
        <w:rPr>
          <w:rFonts w:ascii="Times New Roman" w:hAnsi="Times New Roman" w:cs="Times New Roman"/>
          <w:b w:val="0"/>
          <w:bCs w:val="0"/>
          <w:color w:val="000000" w:themeColor="text1"/>
          <w:sz w:val="24"/>
          <w:szCs w:val="24"/>
        </w:rPr>
      </w:pPr>
      <w:r w:rsidRPr="007903A6">
        <w:rPr>
          <w:rFonts w:ascii="Times New Roman" w:hAnsi="Times New Roman" w:cs="Times New Roman"/>
          <w:b w:val="0"/>
          <w:bCs w:val="0"/>
          <w:color w:val="000000" w:themeColor="text1"/>
          <w:sz w:val="24"/>
          <w:szCs w:val="24"/>
          <w:lang w:val="en-US"/>
        </w:rPr>
        <w:t xml:space="preserve"> </w:t>
      </w:r>
      <w:bookmarkStart w:id="27" w:name="_Toc230523880"/>
      <w:r>
        <w:rPr>
          <w:rFonts w:ascii="Times New Roman" w:hAnsi="Times New Roman" w:cs="Times New Roman"/>
          <w:b w:val="0"/>
          <w:bCs w:val="0"/>
          <w:color w:val="000000" w:themeColor="text1"/>
          <w:sz w:val="24"/>
          <w:szCs w:val="24"/>
          <w:lang w:val="mk-MK"/>
        </w:rPr>
        <w:t>К</w:t>
      </w:r>
      <w:r w:rsidRPr="0050256C">
        <w:rPr>
          <w:rFonts w:ascii="Times New Roman" w:hAnsi="Times New Roman" w:cs="Times New Roman"/>
          <w:b w:val="0"/>
          <w:bCs w:val="0"/>
          <w:color w:val="000000" w:themeColor="text1"/>
          <w:sz w:val="24"/>
          <w:szCs w:val="24"/>
          <w:lang w:val="mk-MK"/>
        </w:rPr>
        <w:t>онвенција</w:t>
      </w:r>
      <w:r w:rsidR="006D108C" w:rsidRPr="006D108C">
        <w:rPr>
          <w:rFonts w:ascii="Times New Roman" w:hAnsi="Times New Roman" w:cs="Times New Roman"/>
          <w:b w:val="0"/>
          <w:bCs w:val="0"/>
          <w:color w:val="000000" w:themeColor="text1"/>
          <w:sz w:val="24"/>
          <w:szCs w:val="24"/>
          <w:lang w:val="mk-MK"/>
        </w:rPr>
        <w:t xml:space="preserve"> бр</w:t>
      </w:r>
      <w:r w:rsidR="006D108C">
        <w:rPr>
          <w:rFonts w:ascii="Times New Roman" w:hAnsi="Times New Roman" w:cs="Times New Roman"/>
          <w:b w:val="0"/>
          <w:bCs w:val="0"/>
          <w:color w:val="000000" w:themeColor="text1"/>
          <w:sz w:val="24"/>
          <w:szCs w:val="24"/>
          <w:lang w:val="mk-MK"/>
        </w:rPr>
        <w:t>ој</w:t>
      </w:r>
      <w:r w:rsidR="006D108C" w:rsidRPr="006D108C">
        <w:rPr>
          <w:rFonts w:ascii="Times New Roman" w:hAnsi="Times New Roman" w:cs="Times New Roman"/>
          <w:b w:val="0"/>
          <w:bCs w:val="0"/>
          <w:color w:val="000000" w:themeColor="text1"/>
          <w:sz w:val="24"/>
          <w:szCs w:val="24"/>
          <w:lang w:val="mk-MK"/>
        </w:rPr>
        <w:t xml:space="preserve"> 135 за заштита и олеснување на активностите на претставниците на работниците</w:t>
      </w:r>
      <w:bookmarkEnd w:id="27"/>
    </w:p>
    <w:p w14:paraId="61C28847" w14:textId="05917589" w:rsidR="00AF7AF6" w:rsidRDefault="00AF7AF6" w:rsidP="00924E7A">
      <w:pPr>
        <w:pStyle w:val="BodyText"/>
        <w:spacing w:before="240"/>
        <w:ind w:firstLine="720"/>
        <w:jc w:val="both"/>
        <w:rPr>
          <w:lang w:val="mk-MK"/>
        </w:rPr>
      </w:pPr>
      <w:r w:rsidRPr="00AF7AF6">
        <w:rPr>
          <w:lang w:val="mk-MK"/>
        </w:rPr>
        <w:t>Конвенцијата бр</w:t>
      </w:r>
      <w:r w:rsidR="00BC0C1F">
        <w:rPr>
          <w:lang w:val="mk-MK"/>
        </w:rPr>
        <w:t>ој</w:t>
      </w:r>
      <w:r w:rsidRPr="00AF7AF6">
        <w:rPr>
          <w:lang w:val="mk-MK"/>
        </w:rPr>
        <w:t xml:space="preserve"> 135 на МОТ од 1971 година </w:t>
      </w:r>
      <w:r w:rsidR="00BC0C1F">
        <w:rPr>
          <w:lang w:val="mk-MK"/>
        </w:rPr>
        <w:t xml:space="preserve">го </w:t>
      </w:r>
      <w:r w:rsidRPr="00AF7AF6">
        <w:rPr>
          <w:lang w:val="mk-MK"/>
        </w:rPr>
        <w:t>претставува третиот клучен темел во тријадата што ја формираат Конвенциите 87 и 98. Ако првите две конвенции го утврдуваат правото на здружување и можноста за ефективно колективно договарање, тогаш Конвенцијата 135 ја воспоставува стабилната институционална инфраструктура преку која тие права можат да се практикуваат одвнатре: преку јасна, заштитена и функционална улога на работничките претставници во работното место и во фирмата. Таа ја признава реалноста дека без сигурност, автономија и материјални услови за работа на претставниците, синдикалната слобода и колективното договарање остануваат декларативни.</w:t>
      </w:r>
      <w:r w:rsidR="00C24733">
        <w:rPr>
          <w:rStyle w:val="FootnoteReference"/>
          <w:lang w:val="mk-MK"/>
        </w:rPr>
        <w:footnoteReference w:id="357"/>
      </w:r>
    </w:p>
    <w:p w14:paraId="208E723F" w14:textId="25F6F02E" w:rsidR="00C61201" w:rsidRDefault="00C61201" w:rsidP="00924E7A">
      <w:pPr>
        <w:pStyle w:val="BodyText"/>
        <w:spacing w:before="240"/>
        <w:ind w:firstLine="720"/>
        <w:jc w:val="both"/>
        <w:rPr>
          <w:lang w:val="mk-MK"/>
        </w:rPr>
      </w:pPr>
      <w:r w:rsidRPr="00C61201">
        <w:rPr>
          <w:lang w:val="mk-MK"/>
        </w:rPr>
        <w:t>Содржински, Конвенцијата 135 воведува две групи обврски за државите</w:t>
      </w:r>
      <w:r>
        <w:rPr>
          <w:lang w:val="mk-MK"/>
        </w:rPr>
        <w:t>. Првата бара з</w:t>
      </w:r>
      <w:r w:rsidRPr="00C61201">
        <w:rPr>
          <w:lang w:val="mk-MK"/>
        </w:rPr>
        <w:t>ајакната заштита од дискриминација, репрес</w:t>
      </w:r>
      <w:r>
        <w:rPr>
          <w:lang w:val="mk-MK"/>
        </w:rPr>
        <w:t>ија</w:t>
      </w:r>
      <w:r w:rsidRPr="00C61201">
        <w:rPr>
          <w:lang w:val="mk-MK"/>
        </w:rPr>
        <w:t xml:space="preserve"> или притисок, особено од страна на работодавачите, насочена кон работничките претставници поради нивната улога во застапувањето на работниците. Тоа вклучува заштита од отпуштања, дисциплински </w:t>
      </w:r>
      <w:r w:rsidRPr="00C61201">
        <w:rPr>
          <w:lang w:val="mk-MK"/>
        </w:rPr>
        <w:lastRenderedPageBreak/>
        <w:t xml:space="preserve">мерки, одземање на бенефиции, изолација или суптилни форми на маргинализација. </w:t>
      </w:r>
      <w:r w:rsidR="006D6BF0">
        <w:rPr>
          <w:lang w:val="mk-MK"/>
        </w:rPr>
        <w:t>Втората група на обврски налага</w:t>
      </w:r>
      <w:r w:rsidRPr="00C61201">
        <w:rPr>
          <w:lang w:val="mk-MK"/>
        </w:rPr>
        <w:t xml:space="preserve"> </w:t>
      </w:r>
      <w:r w:rsidR="006D6BF0">
        <w:rPr>
          <w:lang w:val="mk-MK"/>
        </w:rPr>
        <w:t>с</w:t>
      </w:r>
      <w:r w:rsidRPr="00C61201">
        <w:rPr>
          <w:lang w:val="mk-MK"/>
        </w:rPr>
        <w:t>оздавање „олеснувач</w:t>
      </w:r>
      <w:r w:rsidR="006D6BF0">
        <w:rPr>
          <w:lang w:val="mk-MK"/>
        </w:rPr>
        <w:t>ки околности</w:t>
      </w:r>
      <w:r w:rsidRPr="00C61201">
        <w:rPr>
          <w:lang w:val="mk-MK"/>
        </w:rPr>
        <w:t xml:space="preserve">“: услови, време, ресурси и инфраструктура кои им овозможуваат на претставниците да ја извршуваат својата функција ефективно. Тоа може да значи пристап до информации, простории, компензација за изгубено работно време, задолжителни консултации, транспарентност во одлучувањето </w:t>
      </w:r>
      <w:r w:rsidR="006A58A9">
        <w:rPr>
          <w:lang w:val="mk-MK"/>
        </w:rPr>
        <w:t>и</w:t>
      </w:r>
      <w:r w:rsidRPr="00C61201">
        <w:rPr>
          <w:lang w:val="mk-MK"/>
        </w:rPr>
        <w:t xml:space="preserve"> сè што е потребно да се создаде реална, а не симболична претставничка улога.</w:t>
      </w:r>
    </w:p>
    <w:p w14:paraId="4E6E6EC8" w14:textId="3EE60840" w:rsidR="00725D37" w:rsidRDefault="00725D37" w:rsidP="00924E7A">
      <w:pPr>
        <w:pStyle w:val="BodyText"/>
        <w:spacing w:before="240"/>
        <w:ind w:firstLine="720"/>
        <w:jc w:val="both"/>
        <w:rPr>
          <w:lang w:val="mk-MK"/>
        </w:rPr>
      </w:pPr>
      <w:r w:rsidRPr="00725D37">
        <w:rPr>
          <w:lang w:val="mk-MK"/>
        </w:rPr>
        <w:t xml:space="preserve">Поставена во корпоративниот контекст, Конвенцијата 135 е моментот кога меѓународното трудово право експлицитно се вмешува во архитектурата на </w:t>
      </w:r>
      <w:r>
        <w:rPr>
          <w:lang w:val="mk-MK"/>
        </w:rPr>
        <w:t>трговското друштво</w:t>
      </w:r>
      <w:r w:rsidRPr="00725D37">
        <w:rPr>
          <w:lang w:val="mk-MK"/>
        </w:rPr>
        <w:t>.</w:t>
      </w:r>
      <w:r w:rsidR="00B06346">
        <w:rPr>
          <w:rStyle w:val="FootnoteReference"/>
          <w:lang w:val="mk-MK"/>
        </w:rPr>
        <w:footnoteReference w:id="358"/>
      </w:r>
      <w:r w:rsidRPr="00725D37">
        <w:rPr>
          <w:lang w:val="mk-MK"/>
        </w:rPr>
        <w:t xml:space="preserve"> Таа претставува признание дека претставниците на работниците не се „надворешни“ или паралелни актери, туку составен дел од корпоративната структура</w:t>
      </w:r>
      <w:r>
        <w:rPr>
          <w:lang w:val="mk-MK"/>
        </w:rPr>
        <w:t>,</w:t>
      </w:r>
      <w:r w:rsidRPr="00725D37">
        <w:rPr>
          <w:lang w:val="mk-MK"/>
        </w:rPr>
        <w:t xml:space="preserve"> дел што има мандат да влијае врз одлучувањето, да ги брани правата на работниот колектив и да делува како институционализирана контрамоќ. Ова ја прави Конвенцијата 135 суштинска за современите модели на корпоративно управување кои ги интегрираат принципите на демократија на работното место, ко-детерминација и партиципативно одлучување.</w:t>
      </w:r>
      <w:r w:rsidR="00BC68AC">
        <w:rPr>
          <w:rStyle w:val="FootnoteReference"/>
          <w:lang w:val="mk-MK"/>
        </w:rPr>
        <w:footnoteReference w:id="359"/>
      </w:r>
    </w:p>
    <w:p w14:paraId="6E9A7C56" w14:textId="15B08150" w:rsidR="00BC68AC" w:rsidRDefault="00BC68AC" w:rsidP="00924E7A">
      <w:pPr>
        <w:pStyle w:val="BodyText"/>
        <w:spacing w:before="240"/>
        <w:ind w:firstLine="720"/>
        <w:jc w:val="both"/>
        <w:rPr>
          <w:lang w:val="mk-MK"/>
        </w:rPr>
      </w:pPr>
      <w:r>
        <w:rPr>
          <w:lang w:val="mk-MK"/>
        </w:rPr>
        <w:t>Конвенцијата</w:t>
      </w:r>
      <w:r w:rsidRPr="00BC68AC">
        <w:rPr>
          <w:lang w:val="mk-MK"/>
        </w:rPr>
        <w:t xml:space="preserve"> има и критичка димензија, особено во земји како Македонија, каде формалната синдикална структура постои, но претставниците често се соочуваат со системски притисок, политичка зависност, корпоративно непријателство или административни пречки кои ја прават нивната улога декоративна.</w:t>
      </w:r>
      <w:r w:rsidR="00B06346">
        <w:rPr>
          <w:rStyle w:val="FootnoteReference"/>
          <w:lang w:val="mk-MK"/>
        </w:rPr>
        <w:footnoteReference w:id="360"/>
      </w:r>
      <w:r w:rsidRPr="00BC68AC">
        <w:rPr>
          <w:lang w:val="mk-MK"/>
        </w:rPr>
        <w:t xml:space="preserve"> Конвенцијата 135 овде служи како меѓународно мерило</w:t>
      </w:r>
      <w:r w:rsidR="00D27A9B">
        <w:rPr>
          <w:lang w:val="mk-MK"/>
        </w:rPr>
        <w:t xml:space="preserve"> затоа што</w:t>
      </w:r>
      <w:r w:rsidRPr="00BC68AC">
        <w:rPr>
          <w:lang w:val="mk-MK"/>
        </w:rPr>
        <w:t xml:space="preserve"> таа ги обврзува државите да преминат од „номинално признавање“ на претставниците кон создавање материјални услови за нивно влијателно делување. Особено се релевантни нејзините упатства дека различните видови работнички претставништва</w:t>
      </w:r>
      <w:r w:rsidR="00C06CAD">
        <w:rPr>
          <w:lang w:val="mk-MK"/>
        </w:rPr>
        <w:t xml:space="preserve">, </w:t>
      </w:r>
      <w:r w:rsidRPr="00BC68AC">
        <w:rPr>
          <w:lang w:val="mk-MK"/>
        </w:rPr>
        <w:t>синдикални и избрани претставници (works councils, работнички делегати, итн.)</w:t>
      </w:r>
      <w:r w:rsidR="00C06CAD">
        <w:rPr>
          <w:lang w:val="mk-MK"/>
        </w:rPr>
        <w:t xml:space="preserve">, </w:t>
      </w:r>
      <w:r w:rsidRPr="00BC68AC">
        <w:rPr>
          <w:lang w:val="mk-MK"/>
        </w:rPr>
        <w:t>мора да бидат уредени така што ќе се комплементираат, а не да се користат како механизми за подривање на синдикатите.</w:t>
      </w:r>
      <w:r w:rsidR="00C06CAD">
        <w:rPr>
          <w:rStyle w:val="FootnoteReference"/>
          <w:lang w:val="mk-MK"/>
        </w:rPr>
        <w:footnoteReference w:id="361"/>
      </w:r>
    </w:p>
    <w:p w14:paraId="69259FEF" w14:textId="04CDA4A1" w:rsidR="00EE77CC" w:rsidRDefault="00830F8E" w:rsidP="00EE77CC">
      <w:pPr>
        <w:pStyle w:val="BodyText"/>
        <w:spacing w:before="240"/>
        <w:ind w:firstLine="720"/>
        <w:jc w:val="both"/>
        <w:rPr>
          <w:lang w:val="mk-MK"/>
        </w:rPr>
      </w:pPr>
      <w:r w:rsidRPr="00830F8E">
        <w:rPr>
          <w:lang w:val="mk-MK"/>
        </w:rPr>
        <w:t>Во поширок меѓународен рамковник, Конвенцијата 135 стои зад европските директиви за информирање и консултирање, работничките совети и учеството на работниците во одбори.</w:t>
      </w:r>
      <w:r w:rsidR="003D5200">
        <w:rPr>
          <w:rStyle w:val="FootnoteReference"/>
          <w:lang w:val="mk-MK"/>
        </w:rPr>
        <w:footnoteReference w:id="362"/>
      </w:r>
      <w:r w:rsidRPr="00830F8E">
        <w:rPr>
          <w:lang w:val="mk-MK"/>
        </w:rPr>
        <w:t xml:space="preserve"> Нејзиниот дух е препознатлив во пресудите на ЕСЧП,</w:t>
      </w:r>
      <w:r>
        <w:rPr>
          <w:rStyle w:val="FootnoteReference"/>
          <w:lang w:val="mk-MK"/>
        </w:rPr>
        <w:footnoteReference w:id="363"/>
      </w:r>
      <w:r w:rsidRPr="00830F8E">
        <w:rPr>
          <w:lang w:val="mk-MK"/>
        </w:rPr>
        <w:t xml:space="preserve"> во Европската социјална повелба, во практиката на Европскиот комитет за социјални права, па дури и во современите иницијативи за корпоративна одговорност и </w:t>
      </w:r>
      <w:r w:rsidRPr="00423A93">
        <w:rPr>
          <w:i/>
          <w:iCs/>
          <w:lang w:val="mk-MK"/>
        </w:rPr>
        <w:t>due diligence</w:t>
      </w:r>
      <w:r w:rsidRPr="00830F8E">
        <w:rPr>
          <w:lang w:val="mk-MK"/>
        </w:rPr>
        <w:t xml:space="preserve">. </w:t>
      </w:r>
    </w:p>
    <w:p w14:paraId="7D948633" w14:textId="0FEDA752" w:rsidR="003D5200" w:rsidRPr="008E225E" w:rsidRDefault="00830F8E" w:rsidP="0088131C">
      <w:pPr>
        <w:pStyle w:val="BodyText"/>
        <w:spacing w:before="240"/>
        <w:ind w:firstLine="720"/>
        <w:jc w:val="both"/>
        <w:rPr>
          <w:lang w:val="mk-MK"/>
        </w:rPr>
      </w:pPr>
      <w:r w:rsidRPr="00830F8E">
        <w:rPr>
          <w:lang w:val="mk-MK"/>
        </w:rPr>
        <w:t>Во суштина, Конвенцијата бр. 135 го артикулира она што во корпоративното право често се заборава: дека демократизацијата на</w:t>
      </w:r>
      <w:r w:rsidR="00423A93">
        <w:rPr>
          <w:lang w:val="mk-MK"/>
        </w:rPr>
        <w:t xml:space="preserve"> друштвото</w:t>
      </w:r>
      <w:r w:rsidRPr="00830F8E">
        <w:rPr>
          <w:lang w:val="mk-MK"/>
        </w:rPr>
        <w:t xml:space="preserve"> не започнува во управниот одбор, туку на работното место</w:t>
      </w:r>
      <w:r w:rsidR="00423A93">
        <w:rPr>
          <w:lang w:val="mk-MK"/>
        </w:rPr>
        <w:t>,</w:t>
      </w:r>
      <w:r w:rsidRPr="00830F8E">
        <w:rPr>
          <w:lang w:val="mk-MK"/>
        </w:rPr>
        <w:t xml:space="preserve"> со човекот што има мандат да зборува, да преговара и да се спротивстави. Таа ја трансформира претставничката улога во институционална гаранција</w:t>
      </w:r>
      <w:r w:rsidR="00EE77CC">
        <w:rPr>
          <w:lang w:val="mk-MK"/>
        </w:rPr>
        <w:t>,</w:t>
      </w:r>
      <w:r w:rsidRPr="00830F8E">
        <w:rPr>
          <w:lang w:val="mk-MK"/>
        </w:rPr>
        <w:t xml:space="preserve"> работниците не само што имаат право да се организираат (Конвенција 87) и да договараат (Конвенција 98), туку имаат и механизам да ги одбранат и применат тие права во секојдневниот живот на фирмата.</w:t>
      </w:r>
      <w:r w:rsidR="00EE77CC">
        <w:rPr>
          <w:rStyle w:val="FootnoteReference"/>
          <w:lang w:val="mk-MK"/>
        </w:rPr>
        <w:footnoteReference w:id="364"/>
      </w:r>
    </w:p>
    <w:p w14:paraId="45ED3D00" w14:textId="0DFD9D9B" w:rsidR="003D5200" w:rsidRPr="00E346A6" w:rsidRDefault="003D5200" w:rsidP="009330C0">
      <w:pPr>
        <w:pStyle w:val="Heading2"/>
        <w:numPr>
          <w:ilvl w:val="1"/>
          <w:numId w:val="12"/>
        </w:numPr>
        <w:jc w:val="both"/>
        <w:rPr>
          <w:rFonts w:ascii="Times New Roman" w:hAnsi="Times New Roman" w:cs="Times New Roman"/>
          <w:b w:val="0"/>
          <w:bCs w:val="0"/>
          <w:color w:val="000000" w:themeColor="text1"/>
          <w:sz w:val="24"/>
          <w:szCs w:val="24"/>
        </w:rPr>
      </w:pPr>
      <w:r w:rsidRPr="007903A6">
        <w:rPr>
          <w:rFonts w:ascii="Times New Roman" w:hAnsi="Times New Roman" w:cs="Times New Roman"/>
          <w:b w:val="0"/>
          <w:bCs w:val="0"/>
          <w:color w:val="000000" w:themeColor="text1"/>
          <w:sz w:val="24"/>
          <w:szCs w:val="24"/>
          <w:lang w:val="en-US"/>
        </w:rPr>
        <w:lastRenderedPageBreak/>
        <w:t xml:space="preserve"> </w:t>
      </w:r>
      <w:bookmarkStart w:id="28" w:name="_Toc230523881"/>
      <w:r>
        <w:rPr>
          <w:rFonts w:ascii="Times New Roman" w:hAnsi="Times New Roman" w:cs="Times New Roman"/>
          <w:b w:val="0"/>
          <w:bCs w:val="0"/>
          <w:color w:val="000000" w:themeColor="text1"/>
          <w:sz w:val="24"/>
          <w:szCs w:val="24"/>
          <w:lang w:val="mk-MK"/>
        </w:rPr>
        <w:t>К</w:t>
      </w:r>
      <w:r w:rsidRPr="0050256C">
        <w:rPr>
          <w:rFonts w:ascii="Times New Roman" w:hAnsi="Times New Roman" w:cs="Times New Roman"/>
          <w:b w:val="0"/>
          <w:bCs w:val="0"/>
          <w:color w:val="000000" w:themeColor="text1"/>
          <w:sz w:val="24"/>
          <w:szCs w:val="24"/>
          <w:lang w:val="mk-MK"/>
        </w:rPr>
        <w:t>онвенција</w:t>
      </w:r>
      <w:r w:rsidRPr="006D108C">
        <w:rPr>
          <w:rFonts w:ascii="Times New Roman" w:hAnsi="Times New Roman" w:cs="Times New Roman"/>
          <w:b w:val="0"/>
          <w:bCs w:val="0"/>
          <w:color w:val="000000" w:themeColor="text1"/>
          <w:sz w:val="24"/>
          <w:szCs w:val="24"/>
          <w:lang w:val="mk-MK"/>
        </w:rPr>
        <w:t xml:space="preserve"> </w:t>
      </w:r>
      <w:r w:rsidR="00256DE5" w:rsidRPr="00256DE5">
        <w:rPr>
          <w:rFonts w:ascii="Times New Roman" w:hAnsi="Times New Roman" w:cs="Times New Roman"/>
          <w:b w:val="0"/>
          <w:bCs w:val="0"/>
          <w:color w:val="000000" w:themeColor="text1"/>
          <w:sz w:val="24"/>
          <w:szCs w:val="24"/>
          <w:lang w:val="mk-MK"/>
        </w:rPr>
        <w:t>бр</w:t>
      </w:r>
      <w:r w:rsidR="00256DE5">
        <w:rPr>
          <w:rFonts w:ascii="Times New Roman" w:hAnsi="Times New Roman" w:cs="Times New Roman"/>
          <w:b w:val="0"/>
          <w:bCs w:val="0"/>
          <w:color w:val="000000" w:themeColor="text1"/>
          <w:sz w:val="24"/>
          <w:szCs w:val="24"/>
          <w:lang w:val="mk-MK"/>
        </w:rPr>
        <w:t>ој</w:t>
      </w:r>
      <w:r w:rsidR="00256DE5" w:rsidRPr="00256DE5">
        <w:rPr>
          <w:rFonts w:ascii="Times New Roman" w:hAnsi="Times New Roman" w:cs="Times New Roman"/>
          <w:b w:val="0"/>
          <w:bCs w:val="0"/>
          <w:color w:val="000000" w:themeColor="text1"/>
          <w:sz w:val="24"/>
          <w:szCs w:val="24"/>
          <w:lang w:val="mk-MK"/>
        </w:rPr>
        <w:t xml:space="preserve"> 154 за колективно договарање</w:t>
      </w:r>
      <w:bookmarkEnd w:id="28"/>
      <w:r w:rsidR="00256DE5" w:rsidRPr="00256DE5">
        <w:rPr>
          <w:rFonts w:ascii="Times New Roman" w:hAnsi="Times New Roman" w:cs="Times New Roman"/>
          <w:b w:val="0"/>
          <w:bCs w:val="0"/>
          <w:color w:val="000000" w:themeColor="text1"/>
          <w:sz w:val="24"/>
          <w:szCs w:val="24"/>
          <w:lang w:val="mk-MK"/>
        </w:rPr>
        <w:t xml:space="preserve"> </w:t>
      </w:r>
    </w:p>
    <w:p w14:paraId="2211128E" w14:textId="77777777" w:rsidR="00190ECB" w:rsidRDefault="00157655" w:rsidP="00924E7A">
      <w:pPr>
        <w:pStyle w:val="BodyText"/>
        <w:spacing w:before="240"/>
        <w:ind w:firstLine="720"/>
        <w:jc w:val="both"/>
        <w:rPr>
          <w:lang w:val="mk-MK"/>
        </w:rPr>
      </w:pPr>
      <w:r w:rsidRPr="00157655">
        <w:rPr>
          <w:lang w:val="mk-MK"/>
        </w:rPr>
        <w:t>Конвенцијата бр</w:t>
      </w:r>
      <w:r w:rsidR="0088131C">
        <w:rPr>
          <w:lang w:val="mk-MK"/>
        </w:rPr>
        <w:t>ој</w:t>
      </w:r>
      <w:r w:rsidRPr="00157655">
        <w:rPr>
          <w:lang w:val="mk-MK"/>
        </w:rPr>
        <w:t xml:space="preserve"> 154 на МОТ од 1981 година</w:t>
      </w:r>
      <w:r w:rsidR="0088131C">
        <w:rPr>
          <w:lang w:val="mk-MK"/>
        </w:rPr>
        <w:t xml:space="preserve">, </w:t>
      </w:r>
      <w:r w:rsidRPr="00157655">
        <w:rPr>
          <w:lang w:val="mk-MK"/>
        </w:rPr>
        <w:t>е најзрелиот и најсистематскиот меѓународен документ што ја третира материјата на колективното договарање како динамичен процес, а не само како формално право.</w:t>
      </w:r>
      <w:r w:rsidR="002B382B">
        <w:rPr>
          <w:rStyle w:val="FootnoteReference"/>
          <w:lang w:val="mk-MK"/>
        </w:rPr>
        <w:footnoteReference w:id="365"/>
      </w:r>
      <w:r w:rsidRPr="00157655">
        <w:rPr>
          <w:lang w:val="mk-MK"/>
        </w:rPr>
        <w:t xml:space="preserve"> Таа ја проширува и продлабочува логиката на Конвенциите 87</w:t>
      </w:r>
      <w:r w:rsidR="00DD3054">
        <w:rPr>
          <w:lang w:val="en-US"/>
        </w:rPr>
        <w:t xml:space="preserve">, </w:t>
      </w:r>
      <w:r w:rsidRPr="00157655">
        <w:rPr>
          <w:lang w:val="mk-MK"/>
        </w:rPr>
        <w:t>98</w:t>
      </w:r>
      <w:r w:rsidR="00DD3054">
        <w:rPr>
          <w:lang w:val="en-US"/>
        </w:rPr>
        <w:t xml:space="preserve"> </w:t>
      </w:r>
      <w:r w:rsidR="00DD3054">
        <w:rPr>
          <w:lang w:val="mk-MK"/>
        </w:rPr>
        <w:t>и 135</w:t>
      </w:r>
      <w:r w:rsidRPr="00157655">
        <w:rPr>
          <w:lang w:val="mk-MK"/>
        </w:rPr>
        <w:t>, но прави уште еден клучен чекор: наместо да ги штити само предусловите за колективно договарање, таа утврдува како државата треба активно да ја креира, одржува и развива културата на социјален дијалог.</w:t>
      </w:r>
      <w:r w:rsidR="000935D3">
        <w:rPr>
          <w:rStyle w:val="FootnoteReference"/>
          <w:lang w:val="mk-MK"/>
        </w:rPr>
        <w:footnoteReference w:id="366"/>
      </w:r>
      <w:r w:rsidRPr="00157655">
        <w:rPr>
          <w:lang w:val="mk-MK"/>
        </w:rPr>
        <w:t xml:space="preserve"> На тој начин Конвенцијата 154 функционира како интегративна норма што ги поврзува индивидуалните трудови права, институционалните механизми на претставување и корпоративните процеси на одлучување. </w:t>
      </w:r>
    </w:p>
    <w:p w14:paraId="486A69A6" w14:textId="7B15940C" w:rsidR="00157655" w:rsidRDefault="00157655" w:rsidP="00924E7A">
      <w:pPr>
        <w:pStyle w:val="BodyText"/>
        <w:spacing w:before="240"/>
        <w:ind w:firstLine="720"/>
        <w:jc w:val="both"/>
        <w:rPr>
          <w:lang w:val="mk-MK"/>
        </w:rPr>
      </w:pPr>
      <w:r w:rsidRPr="00157655">
        <w:rPr>
          <w:lang w:val="mk-MK"/>
        </w:rPr>
        <w:t>Конвенцијата го дефинира колективното договарање многу пошироко од претходните инструменти</w:t>
      </w:r>
      <w:r w:rsidR="00F943B6">
        <w:rPr>
          <w:lang w:val="mk-MK"/>
        </w:rPr>
        <w:t>, односно го утврдува</w:t>
      </w:r>
      <w:r w:rsidRPr="00157655">
        <w:rPr>
          <w:lang w:val="mk-MK"/>
        </w:rPr>
        <w:t xml:space="preserve"> како секој процес на преговори помеѓу работодавачите и работниците со цел да се утврдат работните услови, да се регулираат односите </w:t>
      </w:r>
      <w:r w:rsidR="00F943B6">
        <w:rPr>
          <w:lang w:val="mk-MK"/>
        </w:rPr>
        <w:t>по</w:t>
      </w:r>
      <w:r w:rsidRPr="00157655">
        <w:rPr>
          <w:lang w:val="mk-MK"/>
        </w:rPr>
        <w:t xml:space="preserve">меѓу страните или да се воспостават институционални механизми за нивно континуирано уредување. Оваа дефиниција е значајна бидејќи </w:t>
      </w:r>
      <w:r w:rsidR="00007553">
        <w:rPr>
          <w:lang w:val="mk-MK"/>
        </w:rPr>
        <w:t>го</w:t>
      </w:r>
      <w:r w:rsidRPr="00157655">
        <w:rPr>
          <w:lang w:val="mk-MK"/>
        </w:rPr>
        <w:t xml:space="preserve"> преместува тежиштето од конечниот договор кон </w:t>
      </w:r>
      <w:r w:rsidR="00007553">
        <w:rPr>
          <w:lang w:val="mk-MK"/>
        </w:rPr>
        <w:t xml:space="preserve">клучниот и </w:t>
      </w:r>
      <w:r w:rsidRPr="00157655">
        <w:rPr>
          <w:lang w:val="mk-MK"/>
        </w:rPr>
        <w:t>постојано обновувачки процес на преговарање.</w:t>
      </w:r>
      <w:r w:rsidR="00190ECB">
        <w:rPr>
          <w:lang w:val="mk-MK"/>
        </w:rPr>
        <w:t xml:space="preserve"> Текстот</w:t>
      </w:r>
      <w:r w:rsidR="00190ECB" w:rsidRPr="00190ECB">
        <w:rPr>
          <w:lang w:val="mk-MK"/>
        </w:rPr>
        <w:t xml:space="preserve"> нагласува дека државите треба да промовираат системи на редовно и добронамерно колективно преговарање, да обезбедат институционални рамки за медијација, помирување и арбитража, да ги охрабруваат работодавачите да преговараат, наместо да избегнуваат </w:t>
      </w:r>
      <w:r w:rsidR="00074E4E">
        <w:rPr>
          <w:lang w:val="mk-MK"/>
        </w:rPr>
        <w:t>комуникација со синдикатот и</w:t>
      </w:r>
      <w:r w:rsidR="00190ECB" w:rsidRPr="00190ECB">
        <w:rPr>
          <w:lang w:val="mk-MK"/>
        </w:rPr>
        <w:t xml:space="preserve"> да ги зајакнат организациите на работниците и работодавачите како носители на процесот. Со ова, Конвенцијата 154 ја поставува основната идеја дека колективното договарање не е „слободна активност што ќе се случи ако страните сакаат“</w:t>
      </w:r>
      <w:r w:rsidR="00074E4E">
        <w:rPr>
          <w:lang w:val="mk-MK"/>
        </w:rPr>
        <w:t>,</w:t>
      </w:r>
      <w:r w:rsidR="00074E4E">
        <w:rPr>
          <w:rStyle w:val="FootnoteReference"/>
          <w:lang w:val="mk-MK"/>
        </w:rPr>
        <w:footnoteReference w:id="367"/>
      </w:r>
      <w:r w:rsidR="00190ECB" w:rsidRPr="00190ECB">
        <w:rPr>
          <w:lang w:val="mk-MK"/>
        </w:rPr>
        <w:t xml:space="preserve"> туку структуриран демократски механизам за балансирање на моќта во економијата.</w:t>
      </w:r>
    </w:p>
    <w:p w14:paraId="7B539196" w14:textId="3F0A675A" w:rsidR="00C76AA0" w:rsidRDefault="00C76AA0" w:rsidP="00924E7A">
      <w:pPr>
        <w:pStyle w:val="BodyText"/>
        <w:spacing w:before="240"/>
        <w:ind w:firstLine="720"/>
        <w:jc w:val="both"/>
        <w:rPr>
          <w:lang w:val="mk-MK"/>
        </w:rPr>
      </w:pPr>
      <w:r w:rsidRPr="00C76AA0">
        <w:rPr>
          <w:lang w:val="mk-MK"/>
        </w:rPr>
        <w:t>Современите теории на корпоративното управување</w:t>
      </w:r>
      <w:r w:rsidR="00171856">
        <w:rPr>
          <w:lang w:val="mk-MK"/>
        </w:rPr>
        <w:t xml:space="preserve">, </w:t>
      </w:r>
      <w:r w:rsidRPr="00C76AA0">
        <w:rPr>
          <w:lang w:val="mk-MK"/>
        </w:rPr>
        <w:t>особено оние инспирирани од германскиот модел на ко-детерминација, скандинавскиот модел на социјален дијалог или француските работнички делегации</w:t>
      </w:r>
      <w:r w:rsidR="00171856">
        <w:rPr>
          <w:lang w:val="mk-MK"/>
        </w:rPr>
        <w:t>,</w:t>
      </w:r>
      <w:r w:rsidRPr="00C76AA0">
        <w:rPr>
          <w:lang w:val="mk-MK"/>
        </w:rPr>
        <w:t xml:space="preserve"> ја препознаваат клучната улога на колективното договарање како прв, најосновен степен на работничка партиципација. Преку оваа Конвенција, МОТ го утврдува принципот дека учеството на работниците во корпоративните структури е невозможно без стабилно, институционализирано и континуирано колективно преговарање</w:t>
      </w:r>
      <w:r w:rsidR="009455F1">
        <w:rPr>
          <w:lang w:val="mk-MK"/>
        </w:rPr>
        <w:t xml:space="preserve"> и</w:t>
      </w:r>
      <w:r w:rsidR="0057511C">
        <w:rPr>
          <w:lang w:val="mk-MK"/>
        </w:rPr>
        <w:t xml:space="preserve"> како таква, Конвенцијата претставува </w:t>
      </w:r>
      <w:r w:rsidR="0057511C" w:rsidRPr="0057511C">
        <w:rPr>
          <w:lang w:val="mk-MK"/>
        </w:rPr>
        <w:t xml:space="preserve">мост кон корпоративното право, особено во доменот на </w:t>
      </w:r>
      <w:r w:rsidR="0057511C">
        <w:rPr>
          <w:lang w:val="mk-MK"/>
        </w:rPr>
        <w:t xml:space="preserve">учество на засегнатите страни. </w:t>
      </w:r>
    </w:p>
    <w:p w14:paraId="4801F6FA" w14:textId="5C17539C" w:rsidR="00163A31" w:rsidRDefault="00163A31" w:rsidP="00924E7A">
      <w:pPr>
        <w:pStyle w:val="BodyText"/>
        <w:spacing w:before="240"/>
        <w:ind w:firstLine="720"/>
        <w:jc w:val="both"/>
        <w:rPr>
          <w:lang w:val="mk-MK"/>
        </w:rPr>
      </w:pPr>
      <w:r w:rsidRPr="00163A31">
        <w:rPr>
          <w:lang w:val="mk-MK"/>
        </w:rPr>
        <w:t>Во Македонија, како и во повеќето пост-транзициски економии, колективното договарање постои на хартија, но е слабо</w:t>
      </w:r>
      <w:r w:rsidR="004A0DD0">
        <w:rPr>
          <w:lang w:val="en-US"/>
        </w:rPr>
        <w:t xml:space="preserve"> </w:t>
      </w:r>
      <w:r w:rsidR="004A0DD0">
        <w:rPr>
          <w:lang w:val="mk-MK"/>
        </w:rPr>
        <w:t>присутно</w:t>
      </w:r>
      <w:r w:rsidRPr="00163A31">
        <w:rPr>
          <w:lang w:val="mk-MK"/>
        </w:rPr>
        <w:t xml:space="preserve"> во пракса. Колективни договори постојат во јавниот сектор, но опфатот во приватниот сектор е минимален, а процесот ретко функционира како вистински преговарачки механизам. Конвенцијата 154 овде има критичка функција</w:t>
      </w:r>
      <w:r w:rsidR="00795A98">
        <w:rPr>
          <w:lang w:val="mk-MK"/>
        </w:rPr>
        <w:t xml:space="preserve"> затоа што</w:t>
      </w:r>
      <w:r w:rsidRPr="00163A31">
        <w:rPr>
          <w:lang w:val="mk-MK"/>
        </w:rPr>
        <w:t xml:space="preserve"> бара државата да создаде услови за колективно договарање</w:t>
      </w:r>
      <w:r w:rsidR="00FB61F4">
        <w:rPr>
          <w:lang w:val="mk-MK"/>
        </w:rPr>
        <w:t xml:space="preserve"> и</w:t>
      </w:r>
      <w:r w:rsidRPr="00163A31">
        <w:rPr>
          <w:lang w:val="mk-MK"/>
        </w:rPr>
        <w:t xml:space="preserve"> развој на институции за медијација и помирување со реална моќ</w:t>
      </w:r>
      <w:r w:rsidR="00FB61F4">
        <w:rPr>
          <w:lang w:val="mk-MK"/>
        </w:rPr>
        <w:t>. Понатаму Конвенцијата</w:t>
      </w:r>
      <w:r w:rsidRPr="00163A31">
        <w:rPr>
          <w:lang w:val="mk-MK"/>
        </w:rPr>
        <w:t xml:space="preserve"> бара охрабрување на работодавачите да преговараат наместо да го избегнуваат процесо</w:t>
      </w:r>
      <w:r w:rsidR="00FB61F4">
        <w:rPr>
          <w:lang w:val="mk-MK"/>
        </w:rPr>
        <w:t>т и да се создаде</w:t>
      </w:r>
      <w:r w:rsidRPr="00163A31">
        <w:rPr>
          <w:lang w:val="mk-MK"/>
        </w:rPr>
        <w:t xml:space="preserve"> континуитет</w:t>
      </w:r>
      <w:r w:rsidR="00FB61F4">
        <w:rPr>
          <w:lang w:val="mk-MK"/>
        </w:rPr>
        <w:t xml:space="preserve"> на преговори</w:t>
      </w:r>
      <w:r w:rsidRPr="00163A31">
        <w:rPr>
          <w:lang w:val="mk-MK"/>
        </w:rPr>
        <w:t>, а не ад-хок договори на хартија без имплементација. Со други зборови, таа ја „дијагностицира“ структурната слабост на институциите</w:t>
      </w:r>
      <w:r w:rsidR="003B7110">
        <w:rPr>
          <w:lang w:val="mk-MK"/>
        </w:rPr>
        <w:t xml:space="preserve"> и предвидува дека може да</w:t>
      </w:r>
      <w:r w:rsidRPr="00163A31">
        <w:rPr>
          <w:lang w:val="mk-MK"/>
        </w:rPr>
        <w:t xml:space="preserve"> постои закон, </w:t>
      </w:r>
      <w:r w:rsidR="003B7110">
        <w:rPr>
          <w:lang w:val="mk-MK"/>
        </w:rPr>
        <w:t>без да</w:t>
      </w:r>
      <w:r w:rsidRPr="00163A31">
        <w:rPr>
          <w:lang w:val="mk-MK"/>
        </w:rPr>
        <w:t xml:space="preserve"> </w:t>
      </w:r>
      <w:r w:rsidR="003B7110">
        <w:rPr>
          <w:lang w:val="mk-MK"/>
        </w:rPr>
        <w:t>и</w:t>
      </w:r>
      <w:r w:rsidRPr="00163A31">
        <w:rPr>
          <w:lang w:val="mk-MK"/>
        </w:rPr>
        <w:t>ма практика</w:t>
      </w:r>
      <w:r w:rsidR="003B7110">
        <w:rPr>
          <w:lang w:val="mk-MK"/>
        </w:rPr>
        <w:t xml:space="preserve">, </w:t>
      </w:r>
      <w:r w:rsidR="003B7110">
        <w:rPr>
          <w:lang w:val="mk-MK"/>
        </w:rPr>
        <w:lastRenderedPageBreak/>
        <w:t>да</w:t>
      </w:r>
      <w:r w:rsidRPr="00163A31">
        <w:rPr>
          <w:lang w:val="mk-MK"/>
        </w:rPr>
        <w:t xml:space="preserve"> постои формален дијалог</w:t>
      </w:r>
      <w:r w:rsidR="003B7110">
        <w:rPr>
          <w:lang w:val="mk-MK"/>
        </w:rPr>
        <w:t xml:space="preserve"> без да</w:t>
      </w:r>
      <w:r w:rsidRPr="00163A31">
        <w:rPr>
          <w:lang w:val="mk-MK"/>
        </w:rPr>
        <w:t xml:space="preserve"> </w:t>
      </w:r>
      <w:r w:rsidR="003B7110">
        <w:rPr>
          <w:lang w:val="mk-MK"/>
        </w:rPr>
        <w:t>и</w:t>
      </w:r>
      <w:r w:rsidRPr="00163A31">
        <w:rPr>
          <w:lang w:val="mk-MK"/>
        </w:rPr>
        <w:t>ма доверба</w:t>
      </w:r>
      <w:r w:rsidR="003B7110">
        <w:rPr>
          <w:lang w:val="mk-MK"/>
        </w:rPr>
        <w:t>, да постојат</w:t>
      </w:r>
      <w:r w:rsidRPr="00163A31">
        <w:rPr>
          <w:lang w:val="mk-MK"/>
        </w:rPr>
        <w:t xml:space="preserve"> организации</w:t>
      </w:r>
      <w:r w:rsidR="003B7110">
        <w:rPr>
          <w:lang w:val="mk-MK"/>
        </w:rPr>
        <w:t xml:space="preserve"> без да</w:t>
      </w:r>
      <w:r w:rsidRPr="00163A31">
        <w:rPr>
          <w:lang w:val="mk-MK"/>
        </w:rPr>
        <w:t xml:space="preserve"> има асиметрија на моќ.</w:t>
      </w:r>
    </w:p>
    <w:p w14:paraId="5C7BD7F7" w14:textId="44E16F64" w:rsidR="003B7EE7" w:rsidRDefault="003B7EE7" w:rsidP="00924E7A">
      <w:pPr>
        <w:pStyle w:val="BodyText"/>
        <w:spacing w:before="240"/>
        <w:ind w:firstLine="720"/>
        <w:jc w:val="both"/>
        <w:rPr>
          <w:lang w:val="mk-MK"/>
        </w:rPr>
      </w:pPr>
      <w:r>
        <w:rPr>
          <w:lang w:val="mk-MK"/>
        </w:rPr>
        <w:t xml:space="preserve">Со ова, </w:t>
      </w:r>
      <w:r w:rsidRPr="003B7EE7">
        <w:rPr>
          <w:lang w:val="mk-MK"/>
        </w:rPr>
        <w:t>Конвенцијата 154 го заокружува меѓународниот режим на работнички права во полето на учество и колективна моќ. Ако Конвенцијата 87 утврдува слобода, 98 дава заштита, а 135 создава услови за претставување, тогаш Конвенцијата 154 го кодифицира процесот преку кој демократијата на работното место станува практика, а не идеал. Нејзиното значење за корпоративното управување е особено силно</w:t>
      </w:r>
      <w:r w:rsidR="006D4F84">
        <w:rPr>
          <w:lang w:val="mk-MK"/>
        </w:rPr>
        <w:t xml:space="preserve"> затоа што</w:t>
      </w:r>
      <w:r w:rsidRPr="003B7EE7">
        <w:rPr>
          <w:lang w:val="mk-MK"/>
        </w:rPr>
        <w:t xml:space="preserve"> создава нормативна логика според која целта на фирмата не е само профит, туку и колективно регулирана социјална коегзистенција на интереси</w:t>
      </w:r>
      <w:r w:rsidR="00276307">
        <w:rPr>
          <w:lang w:val="mk-MK"/>
        </w:rPr>
        <w:t>,</w:t>
      </w:r>
      <w:r w:rsidRPr="003B7EE7">
        <w:rPr>
          <w:lang w:val="mk-MK"/>
        </w:rPr>
        <w:t xml:space="preserve"> што е фундаментално за секој модел на учество на работниците во управување</w:t>
      </w:r>
      <w:r w:rsidR="00276307">
        <w:rPr>
          <w:lang w:val="mk-MK"/>
        </w:rPr>
        <w:t>то</w:t>
      </w:r>
      <w:r w:rsidRPr="003B7EE7">
        <w:rPr>
          <w:lang w:val="mk-MK"/>
        </w:rPr>
        <w:t>, надзор</w:t>
      </w:r>
      <w:r w:rsidR="00276307">
        <w:rPr>
          <w:lang w:val="mk-MK"/>
        </w:rPr>
        <w:t>от</w:t>
      </w:r>
      <w:r w:rsidRPr="003B7EE7">
        <w:rPr>
          <w:lang w:val="mk-MK"/>
        </w:rPr>
        <w:t xml:space="preserve"> или стратешко</w:t>
      </w:r>
      <w:r w:rsidR="00276307">
        <w:rPr>
          <w:lang w:val="mk-MK"/>
        </w:rPr>
        <w:t>то</w:t>
      </w:r>
      <w:r w:rsidRPr="003B7EE7">
        <w:rPr>
          <w:lang w:val="mk-MK"/>
        </w:rPr>
        <w:t xml:space="preserve"> одлучување. </w:t>
      </w:r>
    </w:p>
    <w:p w14:paraId="5DA35821" w14:textId="055A5957" w:rsidR="00276307" w:rsidRPr="00E346A6" w:rsidRDefault="007C1D1A" w:rsidP="009330C0">
      <w:pPr>
        <w:pStyle w:val="Heading2"/>
        <w:numPr>
          <w:ilvl w:val="1"/>
          <w:numId w:val="12"/>
        </w:numPr>
        <w:jc w:val="both"/>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lang w:val="mk-MK"/>
        </w:rPr>
        <w:t xml:space="preserve"> </w:t>
      </w:r>
      <w:bookmarkStart w:id="29" w:name="_Toc230523882"/>
      <w:r w:rsidRPr="007C1D1A">
        <w:rPr>
          <w:rFonts w:ascii="Times New Roman" w:hAnsi="Times New Roman" w:cs="Times New Roman"/>
          <w:b w:val="0"/>
          <w:bCs w:val="0"/>
          <w:color w:val="000000" w:themeColor="text1"/>
          <w:sz w:val="24"/>
          <w:szCs w:val="24"/>
          <w:lang w:val="mk-MK"/>
        </w:rPr>
        <w:t>Препорака бр</w:t>
      </w:r>
      <w:r>
        <w:rPr>
          <w:rFonts w:ascii="Times New Roman" w:hAnsi="Times New Roman" w:cs="Times New Roman"/>
          <w:b w:val="0"/>
          <w:bCs w:val="0"/>
          <w:color w:val="000000" w:themeColor="text1"/>
          <w:sz w:val="24"/>
          <w:szCs w:val="24"/>
          <w:lang w:val="mk-MK"/>
        </w:rPr>
        <w:t>ој</w:t>
      </w:r>
      <w:r w:rsidRPr="007C1D1A">
        <w:rPr>
          <w:rFonts w:ascii="Times New Roman" w:hAnsi="Times New Roman" w:cs="Times New Roman"/>
          <w:b w:val="0"/>
          <w:bCs w:val="0"/>
          <w:color w:val="000000" w:themeColor="text1"/>
          <w:sz w:val="24"/>
          <w:szCs w:val="24"/>
          <w:lang w:val="mk-MK"/>
        </w:rPr>
        <w:t xml:space="preserve"> 163 за зајакнување на колективното договарање</w:t>
      </w:r>
      <w:bookmarkEnd w:id="29"/>
    </w:p>
    <w:p w14:paraId="17FFF1D7" w14:textId="16012A00" w:rsidR="007C5DCD" w:rsidRDefault="007C5DCD" w:rsidP="00924E7A">
      <w:pPr>
        <w:pStyle w:val="BodyText"/>
        <w:spacing w:before="240"/>
        <w:ind w:firstLine="720"/>
        <w:jc w:val="both"/>
        <w:rPr>
          <w:lang w:val="mk-MK"/>
        </w:rPr>
      </w:pPr>
      <w:r w:rsidRPr="007C5DCD">
        <w:rPr>
          <w:lang w:val="mk-MK"/>
        </w:rPr>
        <w:t>Препораката бр</w:t>
      </w:r>
      <w:r w:rsidR="00CA7EBE">
        <w:rPr>
          <w:lang w:val="mk-MK"/>
        </w:rPr>
        <w:t>ој</w:t>
      </w:r>
      <w:r w:rsidRPr="007C5DCD">
        <w:rPr>
          <w:lang w:val="mk-MK"/>
        </w:rPr>
        <w:t xml:space="preserve"> 163 на МОТ од 1981 година претставува „мека“ норма што ја надополнува Конвенцијата 154 и ја претвора во детална методолошка рамка. Додека Конвенцијата 154 ја дава правната обврска да се промовира и институционализира колективното договарање, Препораката 163 нуди конкретни упатства, процедури и добри практики за тоа како државите, социјалните партнери и институциите треба да го развиваат социјалниот дијалог. Таа може да се сфати како упатство за операционализација на демократијата на работното место и затоа е од огромна важност за секој систем што сака да го развива учеството на работниците и корпоративната отчетност.</w:t>
      </w:r>
      <w:r w:rsidR="00F1673C">
        <w:rPr>
          <w:rStyle w:val="FootnoteReference"/>
          <w:lang w:val="mk-MK"/>
        </w:rPr>
        <w:footnoteReference w:id="368"/>
      </w:r>
    </w:p>
    <w:p w14:paraId="2E18A2AB" w14:textId="00A2C605" w:rsidR="0088687E" w:rsidRDefault="0088687E" w:rsidP="00924E7A">
      <w:pPr>
        <w:pStyle w:val="BodyText"/>
        <w:spacing w:before="240"/>
        <w:ind w:firstLine="720"/>
        <w:jc w:val="both"/>
        <w:rPr>
          <w:lang w:val="mk-MK"/>
        </w:rPr>
      </w:pPr>
      <w:r w:rsidRPr="0088687E">
        <w:rPr>
          <w:lang w:val="mk-MK"/>
        </w:rPr>
        <w:t xml:space="preserve">Препораката </w:t>
      </w:r>
      <w:r>
        <w:rPr>
          <w:lang w:val="mk-MK"/>
        </w:rPr>
        <w:t>става</w:t>
      </w:r>
      <w:r w:rsidRPr="0088687E">
        <w:rPr>
          <w:lang w:val="mk-MK"/>
        </w:rPr>
        <w:t xml:space="preserve"> акцент на ефективноста </w:t>
      </w:r>
      <w:r>
        <w:rPr>
          <w:lang w:val="mk-MK"/>
        </w:rPr>
        <w:t>и нагласува дека</w:t>
      </w:r>
      <w:r w:rsidRPr="0088687E">
        <w:rPr>
          <w:lang w:val="mk-MK"/>
        </w:rPr>
        <w:t xml:space="preserve"> не е доволно колективното договарање да биде дозволено, туку мора да биде </w:t>
      </w:r>
      <w:r>
        <w:rPr>
          <w:lang w:val="mk-MK"/>
        </w:rPr>
        <w:t>реално</w:t>
      </w:r>
      <w:r w:rsidRPr="0088687E">
        <w:rPr>
          <w:lang w:val="mk-MK"/>
        </w:rPr>
        <w:t xml:space="preserve">, континуирано и </w:t>
      </w:r>
      <w:r>
        <w:rPr>
          <w:lang w:val="mk-MK"/>
        </w:rPr>
        <w:t xml:space="preserve">да дава </w:t>
      </w:r>
      <w:r w:rsidRPr="0088687E">
        <w:rPr>
          <w:lang w:val="mk-MK"/>
        </w:rPr>
        <w:t>резулта</w:t>
      </w:r>
      <w:r>
        <w:rPr>
          <w:lang w:val="mk-MK"/>
        </w:rPr>
        <w:t>ти</w:t>
      </w:r>
      <w:r w:rsidRPr="0088687E">
        <w:rPr>
          <w:lang w:val="mk-MK"/>
        </w:rPr>
        <w:t>.</w:t>
      </w:r>
      <w:r>
        <w:rPr>
          <w:rStyle w:val="FootnoteReference"/>
          <w:lang w:val="mk-MK"/>
        </w:rPr>
        <w:footnoteReference w:id="369"/>
      </w:r>
      <w:r w:rsidRPr="0088687E">
        <w:rPr>
          <w:lang w:val="mk-MK"/>
        </w:rPr>
        <w:t xml:space="preserve"> Според неа, државата треба да обезбеди</w:t>
      </w:r>
      <w:r w:rsidR="00D1133A">
        <w:rPr>
          <w:lang w:val="en-US"/>
        </w:rPr>
        <w:t xml:space="preserve"> </w:t>
      </w:r>
      <w:r w:rsidRPr="0088687E">
        <w:rPr>
          <w:lang w:val="mk-MK"/>
        </w:rPr>
        <w:t>стабилна институционална инфраструктура</w:t>
      </w:r>
      <w:r w:rsidR="00D1133A">
        <w:rPr>
          <w:lang w:val="en-US"/>
        </w:rPr>
        <w:t>,</w:t>
      </w:r>
      <w:r w:rsidR="00D1133A">
        <w:rPr>
          <w:rStyle w:val="FootnoteReference"/>
          <w:lang w:val="en-US"/>
        </w:rPr>
        <w:footnoteReference w:id="370"/>
      </w:r>
      <w:r w:rsidRPr="0088687E">
        <w:rPr>
          <w:lang w:val="mk-MK"/>
        </w:rPr>
        <w:t xml:space="preserve"> јакнење на организациите на работниците и работодавачите,</w:t>
      </w:r>
      <w:r w:rsidR="000F2733">
        <w:rPr>
          <w:rStyle w:val="FootnoteReference"/>
          <w:lang w:val="mk-MK"/>
        </w:rPr>
        <w:footnoteReference w:id="371"/>
      </w:r>
      <w:r w:rsidRPr="0088687E">
        <w:rPr>
          <w:lang w:val="mk-MK"/>
        </w:rPr>
        <w:t xml:space="preserve"> механизми за урамнотежување на моќта, со цел слабите синдикати да не бидат маргинализирани</w:t>
      </w:r>
      <w:r w:rsidR="000F2733">
        <w:rPr>
          <w:lang w:val="mk-MK"/>
        </w:rPr>
        <w:t>,</w:t>
      </w:r>
      <w:r w:rsidRPr="0088687E">
        <w:rPr>
          <w:lang w:val="mk-MK"/>
        </w:rPr>
        <w:t xml:space="preserve"> редовни преговарачки циклуси</w:t>
      </w:r>
      <w:r w:rsidR="000C2011">
        <w:rPr>
          <w:rStyle w:val="FootnoteReference"/>
          <w:lang w:val="mk-MK"/>
        </w:rPr>
        <w:footnoteReference w:id="372"/>
      </w:r>
      <w:r w:rsidR="000C2011">
        <w:rPr>
          <w:lang w:val="mk-MK"/>
        </w:rPr>
        <w:t xml:space="preserve"> и </w:t>
      </w:r>
      <w:r w:rsidRPr="0088687E">
        <w:rPr>
          <w:lang w:val="mk-MK"/>
        </w:rPr>
        <w:t>интегрирање на колективното договарање на сите нивоа.</w:t>
      </w:r>
      <w:r w:rsidR="000C2011">
        <w:rPr>
          <w:rStyle w:val="FootnoteReference"/>
          <w:lang w:val="mk-MK"/>
        </w:rPr>
        <w:footnoteReference w:id="373"/>
      </w:r>
      <w:r w:rsidRPr="0088687E">
        <w:rPr>
          <w:lang w:val="mk-MK"/>
        </w:rPr>
        <w:t xml:space="preserve"> На овој начин, Препораката 163 потврдува дека колективното договарање е процес на управување со економски и социјални односи, а не само механизам за плати или минимални стандарди.</w:t>
      </w:r>
    </w:p>
    <w:p w14:paraId="4EB6CFD1" w14:textId="1E710772" w:rsidR="00536304" w:rsidRDefault="00536304" w:rsidP="00924E7A">
      <w:pPr>
        <w:pStyle w:val="BodyText"/>
        <w:spacing w:before="240"/>
        <w:ind w:firstLine="720"/>
        <w:jc w:val="both"/>
        <w:rPr>
          <w:lang w:val="mk-MK"/>
        </w:rPr>
      </w:pPr>
      <w:r w:rsidRPr="00536304">
        <w:rPr>
          <w:lang w:val="mk-MK"/>
        </w:rPr>
        <w:t>Во доменот на корпоративното управување, Препораката 163 има суштинско значење затоа што ја покажува врската помеѓу колективното договарање, работничкото претставување, учеството во</w:t>
      </w:r>
      <w:r w:rsidR="000F71D2">
        <w:rPr>
          <w:lang w:val="mk-MK"/>
        </w:rPr>
        <w:t xml:space="preserve"> органите на друштвото</w:t>
      </w:r>
      <w:r w:rsidRPr="00536304">
        <w:rPr>
          <w:lang w:val="mk-MK"/>
        </w:rPr>
        <w:t xml:space="preserve">, информирањето и консултирањето, и институционалната стабилност на фирмата. Таа ја гледа фирмата не како „приватна сфера“ туку како арена на колективно одлучување, каде </w:t>
      </w:r>
      <w:r w:rsidR="008867D0">
        <w:rPr>
          <w:lang w:val="mk-MK"/>
        </w:rPr>
        <w:t xml:space="preserve">се </w:t>
      </w:r>
      <w:r w:rsidRPr="00536304">
        <w:rPr>
          <w:lang w:val="mk-MK"/>
        </w:rPr>
        <w:t>потребни правила, транспарентност и минимални стандарди на демократија. Ова е особено важно во системите што сакаат да развиваат елементи на ко-детерминација, работнички совети или корпоративни модели ориентирани кон засегнатите страни. Препораката исто така истакнува дека државата мора да ја гарантира неутралноста на условите</w:t>
      </w:r>
      <w:r w:rsidR="008867D0">
        <w:rPr>
          <w:lang w:val="mk-MK"/>
        </w:rPr>
        <w:t>, односно дека</w:t>
      </w:r>
      <w:r w:rsidRPr="00536304">
        <w:rPr>
          <w:lang w:val="mk-MK"/>
        </w:rPr>
        <w:t xml:space="preserve"> </w:t>
      </w:r>
      <w:r w:rsidRPr="00536304">
        <w:rPr>
          <w:lang w:val="mk-MK"/>
        </w:rPr>
        <w:lastRenderedPageBreak/>
        <w:t>колективното договарање не може да функционира ако работодавачите имаат структурно посилна позиција, а синдикатите немаат ресурси, информации или можност да делуваат континуирано.</w:t>
      </w:r>
    </w:p>
    <w:p w14:paraId="41DB49B5" w14:textId="66002EE4" w:rsidR="00ED508C" w:rsidRDefault="00ED508C" w:rsidP="00220C2C">
      <w:pPr>
        <w:pStyle w:val="BodyText"/>
        <w:spacing w:before="240"/>
        <w:ind w:firstLine="720"/>
        <w:jc w:val="both"/>
        <w:rPr>
          <w:lang w:val="mk-MK"/>
        </w:rPr>
      </w:pPr>
      <w:r w:rsidRPr="00ED508C">
        <w:rPr>
          <w:lang w:val="mk-MK"/>
        </w:rPr>
        <w:t>Во земји како Македонија, Препораката 163 го осветлува она што е најчесто „скриена слабост“</w:t>
      </w:r>
      <w:r w:rsidR="00220C2C">
        <w:rPr>
          <w:lang w:val="mk-MK"/>
        </w:rPr>
        <w:t>, повторно</w:t>
      </w:r>
      <w:r w:rsidRPr="00ED508C">
        <w:rPr>
          <w:lang w:val="mk-MK"/>
        </w:rPr>
        <w:t xml:space="preserve"> формите постојат, но процесите не функционираат</w:t>
      </w:r>
      <w:r w:rsidR="009F409C">
        <w:rPr>
          <w:lang w:val="mk-MK"/>
        </w:rPr>
        <w:t>.</w:t>
      </w:r>
      <w:r w:rsidRPr="00ED508C">
        <w:rPr>
          <w:lang w:val="mk-MK"/>
        </w:rPr>
        <w:t xml:space="preserve"> </w:t>
      </w:r>
      <w:r w:rsidR="009F409C">
        <w:rPr>
          <w:lang w:val="mk-MK"/>
        </w:rPr>
        <w:t>Синдикатите се присутни, но немаат</w:t>
      </w:r>
      <w:r w:rsidRPr="00ED508C">
        <w:rPr>
          <w:lang w:val="mk-MK"/>
        </w:rPr>
        <w:t xml:space="preserve"> капацитет</w:t>
      </w:r>
      <w:r w:rsidR="009F409C">
        <w:rPr>
          <w:lang w:val="mk-MK"/>
        </w:rPr>
        <w:t>, законот</w:t>
      </w:r>
      <w:r w:rsidRPr="00ED508C">
        <w:rPr>
          <w:lang w:val="mk-MK"/>
        </w:rPr>
        <w:t xml:space="preserve"> нема практичен ефект</w:t>
      </w:r>
      <w:r w:rsidR="009F409C">
        <w:rPr>
          <w:lang w:val="mk-MK"/>
        </w:rPr>
        <w:t>, а</w:t>
      </w:r>
      <w:r w:rsidRPr="00ED508C">
        <w:rPr>
          <w:lang w:val="mk-MK"/>
        </w:rPr>
        <w:t xml:space="preserve"> трипартитни</w:t>
      </w:r>
      <w:r w:rsidR="009F409C">
        <w:rPr>
          <w:lang w:val="mk-MK"/>
        </w:rPr>
        <w:t>те</w:t>
      </w:r>
      <w:r w:rsidRPr="00ED508C">
        <w:rPr>
          <w:lang w:val="mk-MK"/>
        </w:rPr>
        <w:t xml:space="preserve"> тела</w:t>
      </w:r>
      <w:r w:rsidR="009F409C">
        <w:rPr>
          <w:lang w:val="mk-MK"/>
        </w:rPr>
        <w:t xml:space="preserve"> </w:t>
      </w:r>
      <w:r w:rsidRPr="00ED508C">
        <w:rPr>
          <w:lang w:val="mk-MK"/>
        </w:rPr>
        <w:t>нема</w:t>
      </w:r>
      <w:r w:rsidR="009F409C">
        <w:rPr>
          <w:lang w:val="mk-MK"/>
        </w:rPr>
        <w:t>ат ниту</w:t>
      </w:r>
      <w:r w:rsidRPr="00ED508C">
        <w:rPr>
          <w:lang w:val="mk-MK"/>
        </w:rPr>
        <w:t xml:space="preserve"> доверба </w:t>
      </w:r>
      <w:r w:rsidR="009F409C">
        <w:rPr>
          <w:lang w:val="mk-MK"/>
        </w:rPr>
        <w:t>ниту</w:t>
      </w:r>
      <w:r w:rsidRPr="00ED508C">
        <w:rPr>
          <w:lang w:val="mk-MK"/>
        </w:rPr>
        <w:t xml:space="preserve"> континуитет. Препораката бара да се пополни токму тој јаз</w:t>
      </w:r>
      <w:r w:rsidR="009F409C">
        <w:rPr>
          <w:lang w:val="mk-MK"/>
        </w:rPr>
        <w:t>,</w:t>
      </w:r>
      <w:r w:rsidRPr="00ED508C">
        <w:rPr>
          <w:lang w:val="mk-MK"/>
        </w:rPr>
        <w:t xml:space="preserve"> да се инвестира во социјалниот дијалог како јавна инфраструктура, исто како што државата</w:t>
      </w:r>
      <w:r w:rsidR="004D16D1">
        <w:rPr>
          <w:lang w:val="mk-MK"/>
        </w:rPr>
        <w:t xml:space="preserve"> би требало да</w:t>
      </w:r>
      <w:r w:rsidRPr="00ED508C">
        <w:rPr>
          <w:lang w:val="mk-MK"/>
        </w:rPr>
        <w:t xml:space="preserve"> инвестира во патишта, образование или енергетски системи. Таа предлага развој на постојани механизми за обука, создавање на центри за колективно договарање, зајакнување на економските и статистичките капацитети на синдикатите и изработка на стандардизирани модели за преговарање.</w:t>
      </w:r>
    </w:p>
    <w:p w14:paraId="41A613F9" w14:textId="4A4CB63E" w:rsidR="00220C2C" w:rsidRDefault="00220C2C" w:rsidP="00220C2C">
      <w:pPr>
        <w:pStyle w:val="BodyText"/>
        <w:spacing w:before="240"/>
        <w:ind w:firstLine="720"/>
        <w:jc w:val="both"/>
        <w:rPr>
          <w:lang w:val="mk-MK"/>
        </w:rPr>
      </w:pPr>
      <w:r w:rsidRPr="00220C2C">
        <w:rPr>
          <w:lang w:val="mk-MK"/>
        </w:rPr>
        <w:t>Препораката 163 е во целосна хармонија со европските директиви за информирање и консултирање, со Европската социјална повелба и со принципите на Европскиот столб за социјални права. Преку неа, МОТ ги поставува темелите за европските модели на секторско преговарање, работнички совети, социјално партнерство</w:t>
      </w:r>
      <w:r w:rsidR="00DA764B">
        <w:rPr>
          <w:lang w:val="mk-MK"/>
        </w:rPr>
        <w:t xml:space="preserve"> и</w:t>
      </w:r>
      <w:r w:rsidRPr="00220C2C">
        <w:rPr>
          <w:lang w:val="mk-MK"/>
        </w:rPr>
        <w:t xml:space="preserve"> вклучување на работниците во стратешки одлуки. Во таа смисла, Препораката 163 е нормативно лепило што го поврзува меѓународниот трудов режим со современото корпоративно управување, учество и демократска економија.</w:t>
      </w:r>
    </w:p>
    <w:p w14:paraId="69C83D0F" w14:textId="22A5903C" w:rsidR="00ED508C" w:rsidRDefault="00ED508C" w:rsidP="009330C0">
      <w:pPr>
        <w:pStyle w:val="Heading2"/>
        <w:numPr>
          <w:ilvl w:val="1"/>
          <w:numId w:val="12"/>
        </w:numPr>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30" w:name="_Toc230523883"/>
      <w:r w:rsidRPr="007C1D1A">
        <w:rPr>
          <w:rFonts w:ascii="Times New Roman" w:hAnsi="Times New Roman" w:cs="Times New Roman"/>
          <w:b w:val="0"/>
          <w:bCs w:val="0"/>
          <w:color w:val="000000" w:themeColor="text1"/>
          <w:sz w:val="24"/>
          <w:szCs w:val="24"/>
          <w:lang w:val="mk-MK"/>
        </w:rPr>
        <w:t>Препорака бр</w:t>
      </w:r>
      <w:r>
        <w:rPr>
          <w:rFonts w:ascii="Times New Roman" w:hAnsi="Times New Roman" w:cs="Times New Roman"/>
          <w:b w:val="0"/>
          <w:bCs w:val="0"/>
          <w:color w:val="000000" w:themeColor="text1"/>
          <w:sz w:val="24"/>
          <w:szCs w:val="24"/>
          <w:lang w:val="mk-MK"/>
        </w:rPr>
        <w:t>ој</w:t>
      </w:r>
      <w:r w:rsidRPr="007C1D1A">
        <w:rPr>
          <w:rFonts w:ascii="Times New Roman" w:hAnsi="Times New Roman" w:cs="Times New Roman"/>
          <w:b w:val="0"/>
          <w:bCs w:val="0"/>
          <w:color w:val="000000" w:themeColor="text1"/>
          <w:sz w:val="24"/>
          <w:szCs w:val="24"/>
          <w:lang w:val="mk-MK"/>
        </w:rPr>
        <w:t xml:space="preserve"> </w:t>
      </w:r>
      <w:r w:rsidR="00B60B95" w:rsidRPr="00B60B95">
        <w:rPr>
          <w:rFonts w:ascii="Times New Roman" w:hAnsi="Times New Roman" w:cs="Times New Roman"/>
          <w:b w:val="0"/>
          <w:bCs w:val="0"/>
          <w:color w:val="000000" w:themeColor="text1"/>
          <w:sz w:val="24"/>
          <w:szCs w:val="24"/>
          <w:lang w:val="mk-MK"/>
        </w:rPr>
        <w:t xml:space="preserve">94 за </w:t>
      </w:r>
      <w:r w:rsidR="00220C2C">
        <w:rPr>
          <w:rFonts w:ascii="Times New Roman" w:hAnsi="Times New Roman" w:cs="Times New Roman"/>
          <w:b w:val="0"/>
          <w:bCs w:val="0"/>
          <w:color w:val="000000" w:themeColor="text1"/>
          <w:sz w:val="24"/>
          <w:szCs w:val="24"/>
          <w:lang w:val="mk-MK"/>
        </w:rPr>
        <w:t>соработка</w:t>
      </w:r>
      <w:r w:rsidR="00B60B95" w:rsidRPr="00B60B95">
        <w:rPr>
          <w:rFonts w:ascii="Times New Roman" w:hAnsi="Times New Roman" w:cs="Times New Roman"/>
          <w:b w:val="0"/>
          <w:bCs w:val="0"/>
          <w:color w:val="000000" w:themeColor="text1"/>
          <w:sz w:val="24"/>
          <w:szCs w:val="24"/>
          <w:lang w:val="mk-MK"/>
        </w:rPr>
        <w:t xml:space="preserve"> во рамки на претпријатието</w:t>
      </w:r>
      <w:bookmarkEnd w:id="30"/>
      <w:r w:rsidR="00B60B95" w:rsidRPr="00B60B95">
        <w:rPr>
          <w:rFonts w:ascii="Times New Roman" w:hAnsi="Times New Roman" w:cs="Times New Roman"/>
          <w:b w:val="0"/>
          <w:bCs w:val="0"/>
          <w:color w:val="000000" w:themeColor="text1"/>
          <w:sz w:val="24"/>
          <w:szCs w:val="24"/>
          <w:lang w:val="mk-MK"/>
        </w:rPr>
        <w:t xml:space="preserve"> </w:t>
      </w:r>
    </w:p>
    <w:p w14:paraId="671CE916" w14:textId="0B1592E9" w:rsidR="00225038" w:rsidRDefault="00997C37" w:rsidP="002303C1">
      <w:pPr>
        <w:pStyle w:val="BodyText"/>
        <w:spacing w:before="240"/>
        <w:ind w:firstLine="720"/>
        <w:jc w:val="both"/>
        <w:rPr>
          <w:lang w:val="mk-MK"/>
        </w:rPr>
      </w:pPr>
      <w:r w:rsidRPr="00997C37">
        <w:rPr>
          <w:lang w:val="mk-MK"/>
        </w:rPr>
        <w:t>Препорака</w:t>
      </w:r>
      <w:r>
        <w:rPr>
          <w:lang w:val="mk-MK"/>
        </w:rPr>
        <w:t>та</w:t>
      </w:r>
      <w:r w:rsidRPr="00997C37">
        <w:rPr>
          <w:lang w:val="mk-MK"/>
        </w:rPr>
        <w:t xml:space="preserve"> </w:t>
      </w:r>
      <w:r>
        <w:rPr>
          <w:lang w:val="mk-MK"/>
        </w:rPr>
        <w:t xml:space="preserve">број </w:t>
      </w:r>
      <w:r w:rsidRPr="00997C37">
        <w:rPr>
          <w:lang w:val="mk-MK"/>
        </w:rPr>
        <w:t xml:space="preserve">94 </w:t>
      </w:r>
      <w:r w:rsidR="00653040">
        <w:rPr>
          <w:lang w:val="mk-MK"/>
        </w:rPr>
        <w:t xml:space="preserve">од </w:t>
      </w:r>
      <w:r w:rsidRPr="00997C37">
        <w:rPr>
          <w:lang w:val="mk-MK"/>
        </w:rPr>
        <w:t>1952</w:t>
      </w:r>
      <w:r w:rsidR="00653040">
        <w:rPr>
          <w:lang w:val="mk-MK"/>
        </w:rPr>
        <w:t xml:space="preserve"> година</w:t>
      </w:r>
      <w:r w:rsidRPr="00997C37">
        <w:rPr>
          <w:lang w:val="mk-MK"/>
        </w:rPr>
        <w:t xml:space="preserve"> претставува еден од најстарите</w:t>
      </w:r>
      <w:r w:rsidR="00653040">
        <w:rPr>
          <w:lang w:val="mk-MK"/>
        </w:rPr>
        <w:t xml:space="preserve"> и во нашиот случај најмалку значаен документ на МОТ</w:t>
      </w:r>
      <w:r w:rsidRPr="00997C37">
        <w:rPr>
          <w:lang w:val="mk-MK"/>
        </w:rPr>
        <w:t xml:space="preserve">, но суштински </w:t>
      </w:r>
      <w:r w:rsidR="00EC0C36">
        <w:rPr>
          <w:lang w:val="mk-MK"/>
        </w:rPr>
        <w:t>патоказ</w:t>
      </w:r>
      <w:r w:rsidRPr="00997C37">
        <w:rPr>
          <w:lang w:val="mk-MK"/>
        </w:rPr>
        <w:t xml:space="preserve"> што ја артикулира идејата за институционализирана соработка помеѓу работниците и управата во рамките на </w:t>
      </w:r>
      <w:r w:rsidR="00EC0C36">
        <w:rPr>
          <w:lang w:val="mk-MK"/>
        </w:rPr>
        <w:t>тргосвкото друштво</w:t>
      </w:r>
      <w:r w:rsidRPr="00997C37">
        <w:rPr>
          <w:lang w:val="mk-MK"/>
        </w:rPr>
        <w:t>.</w:t>
      </w:r>
      <w:r w:rsidR="00EC0C36">
        <w:rPr>
          <w:rStyle w:val="FootnoteReference"/>
          <w:lang w:val="mk-MK"/>
        </w:rPr>
        <w:footnoteReference w:id="374"/>
      </w:r>
      <w:r w:rsidRPr="00997C37">
        <w:rPr>
          <w:lang w:val="mk-MK"/>
        </w:rPr>
        <w:t xml:space="preserve"> Иако не е обврзувачки инструмент, таа има клучна улога во развојот на глобалниот нормативен пејзаж на индустриска демократија. За разлика од Конвенциите бр</w:t>
      </w:r>
      <w:r w:rsidR="003E1A5A">
        <w:rPr>
          <w:lang w:val="mk-MK"/>
        </w:rPr>
        <w:t>ој</w:t>
      </w:r>
      <w:r w:rsidRPr="00997C37">
        <w:rPr>
          <w:lang w:val="mk-MK"/>
        </w:rPr>
        <w:t xml:space="preserve"> 87 и бр</w:t>
      </w:r>
      <w:r w:rsidR="003E1A5A">
        <w:rPr>
          <w:lang w:val="mk-MK"/>
        </w:rPr>
        <w:t>ој</w:t>
      </w:r>
      <w:r w:rsidRPr="00997C37">
        <w:rPr>
          <w:lang w:val="mk-MK"/>
        </w:rPr>
        <w:t xml:space="preserve"> 98, кои гарантираат слобода на здружување и колективно договарање, Препорака</w:t>
      </w:r>
      <w:r w:rsidR="003F47F2">
        <w:rPr>
          <w:lang w:val="mk-MK"/>
        </w:rPr>
        <w:t>та</w:t>
      </w:r>
      <w:r w:rsidRPr="00997C37">
        <w:rPr>
          <w:lang w:val="mk-MK"/>
        </w:rPr>
        <w:t xml:space="preserve"> 94 се занимава со внатрешната архитектура на соработката</w:t>
      </w:r>
      <w:r w:rsidR="003F47F2">
        <w:rPr>
          <w:lang w:val="mk-MK"/>
        </w:rPr>
        <w:t>,</w:t>
      </w:r>
      <w:r w:rsidRPr="00997C37">
        <w:rPr>
          <w:lang w:val="mk-MK"/>
        </w:rPr>
        <w:t xml:space="preserve"> процесите, форумите и комуникациските канали преку кои работниците можат да учествуваат во одлуките што директно влијаат врз нивниот работен живот.</w:t>
      </w:r>
      <w:r w:rsidR="00894EB3">
        <w:rPr>
          <w:rStyle w:val="FootnoteReference"/>
          <w:lang w:val="mk-MK"/>
        </w:rPr>
        <w:footnoteReference w:id="375"/>
      </w:r>
      <w:r w:rsidRPr="00997C37">
        <w:rPr>
          <w:lang w:val="mk-MK"/>
        </w:rPr>
        <w:t xml:space="preserve"> Таа ја претставува раната меѓународна артикулација на концептот за учество на работниците во управувањето, долго пред европските модели на работнички совети, германската ко-детерминација или современите модели на корпоративно управување со мулти-</w:t>
      </w:r>
      <w:r w:rsidR="00B11B33">
        <w:rPr>
          <w:lang w:val="mk-MK"/>
        </w:rPr>
        <w:t xml:space="preserve">страничен </w:t>
      </w:r>
      <w:r w:rsidRPr="00997C37">
        <w:rPr>
          <w:lang w:val="mk-MK"/>
        </w:rPr>
        <w:t>пристап.</w:t>
      </w:r>
    </w:p>
    <w:p w14:paraId="28218F20" w14:textId="4FFBAF5B" w:rsidR="00D72834" w:rsidRDefault="00D436DD" w:rsidP="00660667">
      <w:pPr>
        <w:pStyle w:val="BodyText"/>
        <w:spacing w:before="240"/>
        <w:ind w:firstLine="720"/>
        <w:jc w:val="both"/>
        <w:rPr>
          <w:lang w:val="mk-MK"/>
        </w:rPr>
      </w:pPr>
      <w:r w:rsidRPr="00D436DD">
        <w:rPr>
          <w:lang w:val="mk-MK"/>
        </w:rPr>
        <w:t>Централната теза на Препораката е дека подобрувањето на индустриските односи не може да се постигне само преку колективни договори или синдикална активност, туку бара стабилни механизми за взаемна информација, консултации и координација во рамките на самото претпријатие.</w:t>
      </w:r>
      <w:r w:rsidR="00C45B7E">
        <w:rPr>
          <w:rStyle w:val="FootnoteReference"/>
          <w:lang w:val="mk-MK"/>
        </w:rPr>
        <w:footnoteReference w:id="376"/>
      </w:r>
      <w:r w:rsidRPr="00D436DD">
        <w:rPr>
          <w:lang w:val="mk-MK"/>
        </w:rPr>
        <w:t xml:space="preserve"> Препораката охрабрува создавање на мешани комитети, работнички претставништва и други тела што би овозможиле постојан дијалог за производствените процеси, работните услови, технолошките промени, здравје и </w:t>
      </w:r>
      <w:r w:rsidRPr="00D436DD">
        <w:rPr>
          <w:lang w:val="mk-MK"/>
        </w:rPr>
        <w:lastRenderedPageBreak/>
        <w:t>безбедност, ефикасност и организација на трудот. Иако не наметнува модел, документот ја отвора вратата за два фундаментални принципи</w:t>
      </w:r>
      <w:r w:rsidR="00752D32">
        <w:rPr>
          <w:lang w:val="en-US"/>
        </w:rPr>
        <w:t xml:space="preserve">. </w:t>
      </w:r>
      <w:r w:rsidR="00752D32">
        <w:rPr>
          <w:lang w:val="mk-MK"/>
        </w:rPr>
        <w:t>П</w:t>
      </w:r>
      <w:r w:rsidRPr="00D436DD">
        <w:rPr>
          <w:lang w:val="mk-MK"/>
        </w:rPr>
        <w:t>рво, дека работниците имаат право не само да преговараат однадвор како синдикална сила, туку и да учествуваат „одвнатре“ во процесите на одлучување и второ, дека продуктивноста и социјалната правда не се спротивставени цели, туку меѓусебно зависни во рамките на здрава организациска култура.</w:t>
      </w:r>
      <w:r w:rsidR="001B3F41">
        <w:rPr>
          <w:rStyle w:val="FootnoteReference"/>
          <w:lang w:val="mk-MK"/>
        </w:rPr>
        <w:footnoteReference w:id="377"/>
      </w:r>
    </w:p>
    <w:p w14:paraId="3D609A70" w14:textId="7758EA8C" w:rsidR="00A95A99" w:rsidRDefault="00A95A99" w:rsidP="00660667">
      <w:pPr>
        <w:pStyle w:val="BodyText"/>
        <w:spacing w:before="240"/>
        <w:ind w:firstLine="720"/>
        <w:jc w:val="both"/>
        <w:rPr>
          <w:lang w:val="mk-MK"/>
        </w:rPr>
      </w:pPr>
      <w:r w:rsidRPr="00A95A99">
        <w:rPr>
          <w:lang w:val="mk-MK"/>
        </w:rPr>
        <w:t>Од историска перспектива, Препораката 94 е донесена во период на интензивна индустриска експанзија по Втората светска војна, кога меѓународната заедница се соочувала со потребата да воспостави стандарди што ќе го смирaт класниот конфликт и ќе ја поддржат економската реконструкција.</w:t>
      </w:r>
      <w:r w:rsidR="001B3F41">
        <w:rPr>
          <w:rStyle w:val="FootnoteReference"/>
          <w:lang w:val="mk-MK"/>
        </w:rPr>
        <w:footnoteReference w:id="378"/>
      </w:r>
      <w:r w:rsidRPr="00A95A99">
        <w:rPr>
          <w:lang w:val="mk-MK"/>
        </w:rPr>
        <w:t xml:space="preserve"> Таа ги одразува тогашните социоекономски идеали</w:t>
      </w:r>
      <w:r w:rsidR="00CB23D4">
        <w:rPr>
          <w:lang w:val="en-US"/>
        </w:rPr>
        <w:t>,</w:t>
      </w:r>
      <w:r w:rsidRPr="00A95A99">
        <w:rPr>
          <w:lang w:val="mk-MK"/>
        </w:rPr>
        <w:t xml:space="preserve"> </w:t>
      </w:r>
      <w:r w:rsidR="00117F26">
        <w:rPr>
          <w:lang w:val="mk-MK"/>
        </w:rPr>
        <w:t>како</w:t>
      </w:r>
      <w:r w:rsidR="00117F26">
        <w:rPr>
          <w:lang w:val="en-US"/>
        </w:rPr>
        <w:t xml:space="preserve"> </w:t>
      </w:r>
      <w:r w:rsidRPr="00A95A99">
        <w:rPr>
          <w:lang w:val="mk-MK"/>
        </w:rPr>
        <w:t xml:space="preserve">„социјално партнерство“, </w:t>
      </w:r>
      <w:r w:rsidR="00117F26">
        <w:rPr>
          <w:lang w:val="mk-MK"/>
        </w:rPr>
        <w:t>агилни</w:t>
      </w:r>
      <w:r w:rsidRPr="00A95A99">
        <w:rPr>
          <w:lang w:val="mk-MK"/>
        </w:rPr>
        <w:t xml:space="preserve"> тела, </w:t>
      </w:r>
      <w:r w:rsidR="00117F26">
        <w:rPr>
          <w:lang w:val="mk-MK"/>
        </w:rPr>
        <w:t>развиен</w:t>
      </w:r>
      <w:r w:rsidRPr="00A95A99">
        <w:rPr>
          <w:lang w:val="mk-MK"/>
        </w:rPr>
        <w:t xml:space="preserve"> социјален дијалог</w:t>
      </w:r>
      <w:r w:rsidR="00117F26">
        <w:rPr>
          <w:lang w:val="en-US"/>
        </w:rPr>
        <w:t>,</w:t>
      </w:r>
      <w:r w:rsidRPr="00A95A99">
        <w:rPr>
          <w:lang w:val="mk-MK"/>
        </w:rPr>
        <w:t xml:space="preserve"> и ја поставува основата за подоцнежните европски директиви за известување, консултации и информирање на работниците. Од таа гледна точка, Препорака</w:t>
      </w:r>
      <w:r w:rsidR="00B938F1">
        <w:rPr>
          <w:lang w:val="mk-MK"/>
        </w:rPr>
        <w:t>та</w:t>
      </w:r>
      <w:r w:rsidRPr="00A95A99">
        <w:rPr>
          <w:lang w:val="mk-MK"/>
        </w:rPr>
        <w:t xml:space="preserve"> 94 може да се смета за претходник на модерните политики за </w:t>
      </w:r>
      <w:r w:rsidR="00B938F1">
        <w:rPr>
          <w:lang w:val="mk-MK"/>
        </w:rPr>
        <w:t>актуелизирање на гласот на работниците</w:t>
      </w:r>
      <w:r w:rsidRPr="00A95A99">
        <w:rPr>
          <w:lang w:val="mk-MK"/>
        </w:rPr>
        <w:t>,</w:t>
      </w:r>
      <w:r w:rsidR="00B938F1">
        <w:rPr>
          <w:lang w:val="mk-MK"/>
        </w:rPr>
        <w:t xml:space="preserve"> зголемување на</w:t>
      </w:r>
      <w:r w:rsidRPr="00A95A99">
        <w:rPr>
          <w:lang w:val="mk-MK"/>
        </w:rPr>
        <w:t xml:space="preserve"> транспарентност</w:t>
      </w:r>
      <w:r w:rsidR="00B938F1">
        <w:rPr>
          <w:lang w:val="mk-MK"/>
        </w:rPr>
        <w:t>а</w:t>
      </w:r>
      <w:r w:rsidRPr="00A95A99">
        <w:rPr>
          <w:lang w:val="mk-MK"/>
        </w:rPr>
        <w:t xml:space="preserve"> во корпоративното управување и </w:t>
      </w:r>
      <w:r w:rsidR="00B938F1">
        <w:rPr>
          <w:lang w:val="mk-MK"/>
        </w:rPr>
        <w:t xml:space="preserve">унапредување на </w:t>
      </w:r>
      <w:r w:rsidRPr="00A95A99">
        <w:rPr>
          <w:lang w:val="mk-MK"/>
        </w:rPr>
        <w:t xml:space="preserve">модели што ја препознаваат легитимноста на работниците како клучни </w:t>
      </w:r>
      <w:r w:rsidR="00793118">
        <w:rPr>
          <w:lang w:val="mk-MK"/>
        </w:rPr>
        <w:t>засегнати страни</w:t>
      </w:r>
      <w:r w:rsidRPr="00A95A99">
        <w:rPr>
          <w:lang w:val="mk-MK"/>
        </w:rPr>
        <w:t xml:space="preserve"> во претпријатието.</w:t>
      </w:r>
    </w:p>
    <w:p w14:paraId="701E8D49" w14:textId="73EBBE7B" w:rsidR="00793118" w:rsidRDefault="00793118" w:rsidP="00660667">
      <w:pPr>
        <w:pStyle w:val="BodyText"/>
        <w:spacing w:before="240"/>
        <w:ind w:firstLine="720"/>
        <w:jc w:val="both"/>
        <w:rPr>
          <w:lang w:val="mk-MK"/>
        </w:rPr>
      </w:pPr>
      <w:r w:rsidRPr="00793118">
        <w:rPr>
          <w:lang w:val="mk-MK"/>
        </w:rPr>
        <w:t>Современиот критички осврт, сепак, открива дека Препораката останува силно ограничена во својата амбиција</w:t>
      </w:r>
      <w:r w:rsidR="00A8638D">
        <w:rPr>
          <w:lang w:val="mk-MK"/>
        </w:rPr>
        <w:t>.</w:t>
      </w:r>
      <w:r w:rsidRPr="00793118">
        <w:rPr>
          <w:lang w:val="mk-MK"/>
        </w:rPr>
        <w:t xml:space="preserve"> </w:t>
      </w:r>
      <w:r w:rsidR="00A8638D">
        <w:rPr>
          <w:lang w:val="mk-MK"/>
        </w:rPr>
        <w:t>Т</w:t>
      </w:r>
      <w:r w:rsidRPr="00793118">
        <w:rPr>
          <w:lang w:val="mk-MK"/>
        </w:rPr>
        <w:t>аа не бара правно обврзувачки механизми, не предвидува минимални стандарди за застапување и не воспоставува јасна врска помеѓу работничкото учество и одлучувачката моќ. Токму затоа</w:t>
      </w:r>
      <w:r w:rsidR="00A8638D">
        <w:rPr>
          <w:lang w:val="mk-MK"/>
        </w:rPr>
        <w:t>,</w:t>
      </w:r>
      <w:r w:rsidRPr="00793118">
        <w:rPr>
          <w:lang w:val="mk-MK"/>
        </w:rPr>
        <w:t xml:space="preserve"> во правните и политичките науки се смета за инструмент </w:t>
      </w:r>
      <w:r w:rsidR="00A8638D">
        <w:rPr>
          <w:lang w:val="mk-MK"/>
        </w:rPr>
        <w:t xml:space="preserve">на меко право </w:t>
      </w:r>
      <w:r w:rsidRPr="00793118">
        <w:rPr>
          <w:lang w:val="mk-MK"/>
        </w:rPr>
        <w:t>кој повеќе ја артикулира визијата, отколку што наметнува обврски. Во услови на современи економии каде платформизацијата, атипичната работа и корпоративната концентрација создаваат нови форми на зависност и работна нееднаквост, принципите од Препораката 94 остануваат релевантни, но пречесто недоволно применети.</w:t>
      </w:r>
    </w:p>
    <w:p w14:paraId="397DFDF5" w14:textId="527E8D37" w:rsidR="00100240" w:rsidRPr="00793118" w:rsidRDefault="00100240" w:rsidP="00660667">
      <w:pPr>
        <w:pStyle w:val="BodyText"/>
        <w:spacing w:before="240"/>
        <w:ind w:firstLine="720"/>
        <w:jc w:val="both"/>
        <w:rPr>
          <w:lang w:val="mk-MK"/>
        </w:rPr>
      </w:pPr>
      <w:r w:rsidRPr="00100240">
        <w:rPr>
          <w:lang w:val="mk-MK"/>
        </w:rPr>
        <w:t>За земји со слаби институции, како Македонија, Препораката бр</w:t>
      </w:r>
      <w:r w:rsidR="00DF6507">
        <w:rPr>
          <w:lang w:val="mk-MK"/>
        </w:rPr>
        <w:t xml:space="preserve">ој </w:t>
      </w:r>
      <w:r w:rsidRPr="00100240">
        <w:rPr>
          <w:lang w:val="mk-MK"/>
        </w:rPr>
        <w:t>94 добива особена важност. Таа ја легитимира потребата од формализирање на внатрешни механизми на учество и ја поддржува тезата дека корпоративното управување не може да се сведе само на права на акционерите. Во контексти каде синдикалната покриеност е ниска, гранските договори се фрагментирани, а работничките совети практично не постојат, оваа Препорака обезбедува глобална нормативна рамка што ја поткрепува аргументацијата за уставно, законско или корпоративно вградување на работничкиот глас. Во тој смисол, Препораката е корисен инструмент за трансформирање на организациската култура, но бара политичка волја, административен капацитет и економски стимули за да стане реалност.</w:t>
      </w:r>
    </w:p>
    <w:p w14:paraId="3B64AB16" w14:textId="62CD945D" w:rsidR="00225038" w:rsidRPr="00225038" w:rsidRDefault="00225038" w:rsidP="009330C0">
      <w:pPr>
        <w:pStyle w:val="Heading2"/>
        <w:numPr>
          <w:ilvl w:val="1"/>
          <w:numId w:val="12"/>
        </w:numPr>
        <w:jc w:val="both"/>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lang w:val="mk-MK"/>
        </w:rPr>
        <w:t xml:space="preserve"> </w:t>
      </w:r>
      <w:bookmarkStart w:id="31" w:name="_Toc230523884"/>
      <w:r>
        <w:rPr>
          <w:rFonts w:ascii="Times New Roman" w:hAnsi="Times New Roman" w:cs="Times New Roman"/>
          <w:b w:val="0"/>
          <w:bCs w:val="0"/>
          <w:color w:val="000000" w:themeColor="text1"/>
          <w:sz w:val="24"/>
          <w:szCs w:val="24"/>
          <w:lang w:val="mk-MK"/>
        </w:rPr>
        <w:t>Степенот на усогласеност на Македонија со стандардите на МОТ</w:t>
      </w:r>
      <w:bookmarkEnd w:id="31"/>
      <w:r w:rsidRPr="00B60B95">
        <w:rPr>
          <w:rFonts w:ascii="Times New Roman" w:hAnsi="Times New Roman" w:cs="Times New Roman"/>
          <w:b w:val="0"/>
          <w:bCs w:val="0"/>
          <w:color w:val="000000" w:themeColor="text1"/>
          <w:sz w:val="24"/>
          <w:szCs w:val="24"/>
          <w:lang w:val="mk-MK"/>
        </w:rPr>
        <w:t xml:space="preserve"> </w:t>
      </w:r>
    </w:p>
    <w:p w14:paraId="16D86314" w14:textId="1ACF2660" w:rsidR="00694966" w:rsidRPr="00593A39" w:rsidRDefault="00694966" w:rsidP="00924E7A">
      <w:pPr>
        <w:pStyle w:val="BodyText"/>
        <w:spacing w:before="240"/>
        <w:ind w:firstLine="720"/>
        <w:jc w:val="both"/>
        <w:rPr>
          <w:lang w:val="en-US"/>
        </w:rPr>
      </w:pPr>
      <w:r w:rsidRPr="00694966">
        <w:rPr>
          <w:lang w:val="mk-MK"/>
        </w:rPr>
        <w:t xml:space="preserve">МОТ располага со комплексен систем на надзор, кој вклучува редовни извештаи на државите-членки, набљудување од Комитетот на експерти (CEACR) и специјални процедури за жалби и претставки </w:t>
      </w:r>
      <w:r w:rsidR="006A3535">
        <w:rPr>
          <w:lang w:val="mk-MK"/>
        </w:rPr>
        <w:t>врз основа на членовите</w:t>
      </w:r>
      <w:r w:rsidRPr="00694966">
        <w:rPr>
          <w:lang w:val="mk-MK"/>
        </w:rPr>
        <w:t xml:space="preserve"> 24 и 26 од Уставот на МОТ. Иако механизмите немаат директен ефект</w:t>
      </w:r>
      <w:r w:rsidR="00B14594">
        <w:rPr>
          <w:lang w:val="en-US"/>
        </w:rPr>
        <w:t xml:space="preserve"> </w:t>
      </w:r>
      <w:r w:rsidR="00B14594">
        <w:rPr>
          <w:lang w:val="mk-MK"/>
        </w:rPr>
        <w:t>на санкции</w:t>
      </w:r>
      <w:r w:rsidRPr="00694966">
        <w:rPr>
          <w:lang w:val="mk-MK"/>
        </w:rPr>
        <w:t xml:space="preserve">, нивната морална и политичка </w:t>
      </w:r>
      <w:r w:rsidRPr="00694966">
        <w:rPr>
          <w:lang w:val="mk-MK"/>
        </w:rPr>
        <w:lastRenderedPageBreak/>
        <w:t>тежина често создава значаен притисок врз државите да ги подобрат своите пракси. Во неколку случаи, забелешките на МОТ довеле до усвојување на нови законски решенија за колективно договарање и работничко претставување.</w:t>
      </w:r>
      <w:r w:rsidR="00593A39">
        <w:rPr>
          <w:rStyle w:val="FootnoteReference"/>
          <w:lang w:val="mk-MK"/>
        </w:rPr>
        <w:footnoteReference w:id="379"/>
      </w:r>
      <w:r w:rsidRPr="00694966">
        <w:rPr>
          <w:lang w:val="mk-MK"/>
        </w:rPr>
        <w:t xml:space="preserve"> Овој механизам е особено важен за земји со ограничени административни капацитети или со недоволно развиен социјален дијалог</w:t>
      </w:r>
      <w:r w:rsidR="00593A39">
        <w:rPr>
          <w:lang w:val="en-US"/>
        </w:rPr>
        <w:t xml:space="preserve"> </w:t>
      </w:r>
      <w:r w:rsidRPr="00694966">
        <w:rPr>
          <w:lang w:val="mk-MK"/>
        </w:rPr>
        <w:t>бидејќи обезбедува враќање на темата на политичката агенда и создавање на меѓународен мониторинг што го надминува институционал</w:t>
      </w:r>
      <w:r w:rsidR="007B2A07">
        <w:rPr>
          <w:lang w:val="mk-MK"/>
        </w:rPr>
        <w:t>ниот</w:t>
      </w:r>
      <w:r w:rsidRPr="00694966">
        <w:rPr>
          <w:lang w:val="mk-MK"/>
        </w:rPr>
        <w:t xml:space="preserve"> застој</w:t>
      </w:r>
      <w:r w:rsidR="00593A39">
        <w:rPr>
          <w:lang w:val="en-US"/>
        </w:rPr>
        <w:t>.</w:t>
      </w:r>
    </w:p>
    <w:p w14:paraId="104E67E5" w14:textId="6B5461E8" w:rsidR="00B503C8" w:rsidRDefault="00C133FD" w:rsidP="003E03DF">
      <w:pPr>
        <w:pStyle w:val="BodyText"/>
        <w:spacing w:before="240" w:after="240"/>
        <w:ind w:firstLine="720"/>
        <w:jc w:val="both"/>
        <w:rPr>
          <w:lang w:val="mk-MK"/>
        </w:rPr>
      </w:pPr>
      <w:r w:rsidRPr="00C133FD">
        <w:rPr>
          <w:lang w:val="mk-MK"/>
        </w:rPr>
        <w:t xml:space="preserve">Од аспект на правната теорија, оваа перспектива го приближува корпоративното управување до концептот на „економска демократија“, каде што процесот на донесување одлуки не е монопол на сопствениците, туку </w:t>
      </w:r>
      <w:r>
        <w:rPr>
          <w:lang w:val="mk-MK"/>
        </w:rPr>
        <w:t>по</w:t>
      </w:r>
      <w:r w:rsidRPr="00C133FD">
        <w:rPr>
          <w:lang w:val="mk-MK"/>
        </w:rPr>
        <w:t>делена одговорност на сите актери кои придонесуваат кон успехот на компанијата</w:t>
      </w:r>
      <w:r>
        <w:rPr>
          <w:lang w:val="mk-MK"/>
        </w:rPr>
        <w:t>.</w:t>
      </w:r>
      <w:r w:rsidR="00F34B36">
        <w:rPr>
          <w:rStyle w:val="FootnoteReference"/>
          <w:lang w:val="mk-MK"/>
        </w:rPr>
        <w:footnoteReference w:id="380"/>
      </w:r>
      <w:r w:rsidR="00F34B36">
        <w:rPr>
          <w:lang w:val="mk-MK"/>
        </w:rPr>
        <w:t xml:space="preserve"> </w:t>
      </w:r>
      <w:r w:rsidR="00E027BD">
        <w:rPr>
          <w:lang w:val="mk-MK"/>
        </w:rPr>
        <w:t>Со тоа што Македонија</w:t>
      </w:r>
      <w:r w:rsidR="00F34B36" w:rsidRPr="00F34B36">
        <w:rPr>
          <w:lang w:val="mk-MK"/>
        </w:rPr>
        <w:t xml:space="preserve"> ја прифа</w:t>
      </w:r>
      <w:r w:rsidR="00E027BD">
        <w:rPr>
          <w:lang w:val="mk-MK"/>
        </w:rPr>
        <w:t>ќа</w:t>
      </w:r>
      <w:r w:rsidR="00F34B36" w:rsidRPr="00F34B36">
        <w:rPr>
          <w:lang w:val="mk-MK"/>
        </w:rPr>
        <w:t xml:space="preserve"> обврската да овозмож</w:t>
      </w:r>
      <w:r w:rsidR="00E027BD">
        <w:rPr>
          <w:lang w:val="mk-MK"/>
        </w:rPr>
        <w:t>и</w:t>
      </w:r>
      <w:r w:rsidR="00F34B36" w:rsidRPr="00F34B36">
        <w:rPr>
          <w:lang w:val="mk-MK"/>
        </w:rPr>
        <w:t xml:space="preserve"> ефективно право на синдикално здружување, колективно договарање и учество</w:t>
      </w:r>
      <w:r w:rsidR="0061401C">
        <w:rPr>
          <w:lang w:val="mk-MK"/>
        </w:rPr>
        <w:t xml:space="preserve"> и генерално успева во тоа, државата во најголем дел се смета дека ги исполнила наведените обврски</w:t>
      </w:r>
      <w:r w:rsidR="00F34B36" w:rsidRPr="00F34B36">
        <w:rPr>
          <w:lang w:val="mk-MK"/>
        </w:rPr>
        <w:t>. Сепак, во практиката, имплементацијата е ограничена од слабата институционална поддршка, ни</w:t>
      </w:r>
      <w:r w:rsidR="00805C2E">
        <w:rPr>
          <w:lang w:val="mk-MK"/>
        </w:rPr>
        <w:t>скиот</w:t>
      </w:r>
      <w:r w:rsidR="00F34B36" w:rsidRPr="00F34B36">
        <w:rPr>
          <w:lang w:val="mk-MK"/>
        </w:rPr>
        <w:t xml:space="preserve"> степен на синдикална покриеност и ограничена</w:t>
      </w:r>
      <w:r w:rsidR="00805C2E">
        <w:rPr>
          <w:lang w:val="mk-MK"/>
        </w:rPr>
        <w:t>та</w:t>
      </w:r>
      <w:r w:rsidR="00F34B36" w:rsidRPr="00F34B36">
        <w:rPr>
          <w:lang w:val="mk-MK"/>
        </w:rPr>
        <w:t xml:space="preserve"> култура на социјален дијалог, особено во приватниот сектор</w:t>
      </w:r>
      <w:r w:rsidR="006B373D">
        <w:rPr>
          <w:lang w:val="mk-MK"/>
        </w:rPr>
        <w:t>.</w:t>
      </w:r>
      <w:r w:rsidR="006B373D">
        <w:rPr>
          <w:rStyle w:val="FootnoteReference"/>
          <w:lang w:val="mk-MK"/>
        </w:rPr>
        <w:footnoteReference w:id="381"/>
      </w:r>
      <w:r w:rsidR="006B373D">
        <w:rPr>
          <w:lang w:val="mk-MK"/>
        </w:rPr>
        <w:t xml:space="preserve"> </w:t>
      </w:r>
      <w:r w:rsidR="00F34B36" w:rsidRPr="00F34B36">
        <w:rPr>
          <w:lang w:val="mk-MK"/>
        </w:rPr>
        <w:t>Иако Законот за работни односи предвидува можности за избор на работнички претставници и консултации со менаџментот, овие механизми ретко</w:t>
      </w:r>
      <w:r w:rsidR="00F77CFD">
        <w:rPr>
          <w:lang w:val="mk-MK"/>
        </w:rPr>
        <w:t xml:space="preserve"> или речиси никогаш не</w:t>
      </w:r>
      <w:r w:rsidR="00F34B36" w:rsidRPr="00F34B36">
        <w:rPr>
          <w:lang w:val="mk-MK"/>
        </w:rPr>
        <w:t xml:space="preserve"> се користат во рамки на </w:t>
      </w:r>
      <w:r w:rsidR="009529BF">
        <w:rPr>
          <w:lang w:val="mk-MK"/>
        </w:rPr>
        <w:t>трговските друштва</w:t>
      </w:r>
      <w:r w:rsidR="00F34B36" w:rsidRPr="00F34B36">
        <w:rPr>
          <w:lang w:val="mk-MK"/>
        </w:rPr>
        <w:t xml:space="preserve"> со приватна сопственост, особено во микро и малите претпријатија. С</w:t>
      </w:r>
      <w:r w:rsidR="00F77CFD">
        <w:rPr>
          <w:lang w:val="mk-MK"/>
        </w:rPr>
        <w:t>о тоа с</w:t>
      </w:r>
      <w:r w:rsidR="00F34B36" w:rsidRPr="00F34B36">
        <w:rPr>
          <w:lang w:val="mk-MK"/>
        </w:rPr>
        <w:t xml:space="preserve">е создава јасна диспропорција </w:t>
      </w:r>
      <w:r w:rsidR="00F77CFD">
        <w:rPr>
          <w:lang w:val="mk-MK"/>
        </w:rPr>
        <w:t>по</w:t>
      </w:r>
      <w:r w:rsidR="00F34B36" w:rsidRPr="00F34B36">
        <w:rPr>
          <w:lang w:val="mk-MK"/>
        </w:rPr>
        <w:t>меѓу нормативната транспозиција и реалната пракса, што укажува дека формалното прифаќање на конвенциите на МОТ не е доволно за вистинско интегрирање на принципот на учество</w:t>
      </w:r>
      <w:r w:rsidR="00805C2E">
        <w:rPr>
          <w:lang w:val="mk-MK"/>
        </w:rPr>
        <w:t xml:space="preserve"> на вработените</w:t>
      </w:r>
      <w:r w:rsidR="00F34B36" w:rsidRPr="00F34B36">
        <w:rPr>
          <w:lang w:val="mk-MK"/>
        </w:rPr>
        <w:t xml:space="preserve"> во корпоративното управување</w:t>
      </w:r>
      <w:r w:rsidR="00EB702E">
        <w:rPr>
          <w:lang w:val="mk-MK"/>
        </w:rPr>
        <w:t xml:space="preserve"> и не е пресликано во ЗТД</w:t>
      </w:r>
      <w:r w:rsidR="00F34B36" w:rsidRPr="00F34B36">
        <w:rPr>
          <w:lang w:val="mk-MK"/>
        </w:rPr>
        <w:t>.</w:t>
      </w:r>
      <w:r w:rsidR="005D6184">
        <w:rPr>
          <w:rStyle w:val="FootnoteReference"/>
          <w:lang w:val="mk-MK"/>
        </w:rPr>
        <w:footnoteReference w:id="382"/>
      </w:r>
      <w:r w:rsidR="00EB702E">
        <w:rPr>
          <w:lang w:val="mk-MK"/>
        </w:rPr>
        <w:t xml:space="preserve"> </w:t>
      </w:r>
      <w:r w:rsidR="00F34B36" w:rsidRPr="00F34B36">
        <w:rPr>
          <w:lang w:val="mk-MK"/>
        </w:rPr>
        <w:t xml:space="preserve"> </w:t>
      </w:r>
    </w:p>
    <w:p w14:paraId="3EE9A782" w14:textId="418206EA" w:rsidR="00A2296C" w:rsidRDefault="00033BBF" w:rsidP="003E03DF">
      <w:pPr>
        <w:pStyle w:val="BodyText"/>
        <w:spacing w:before="240" w:after="240"/>
        <w:ind w:firstLine="720"/>
        <w:jc w:val="both"/>
        <w:rPr>
          <w:lang w:val="mk-MK"/>
        </w:rPr>
      </w:pPr>
      <w:r w:rsidRPr="00033BBF">
        <w:rPr>
          <w:lang w:val="mk-MK"/>
        </w:rPr>
        <w:t xml:space="preserve">Според регистарот на Министерството за </w:t>
      </w:r>
      <w:r w:rsidR="00384B98">
        <w:rPr>
          <w:lang w:val="mk-MK"/>
        </w:rPr>
        <w:t>економија и труд</w:t>
      </w:r>
      <w:r w:rsidRPr="00033BBF">
        <w:rPr>
          <w:lang w:val="mk-MK"/>
        </w:rPr>
        <w:t xml:space="preserve"> (М</w:t>
      </w:r>
      <w:r w:rsidR="00384B98">
        <w:rPr>
          <w:lang w:val="mk-MK"/>
        </w:rPr>
        <w:t>ЕД</w:t>
      </w:r>
      <w:r w:rsidRPr="00033BBF">
        <w:rPr>
          <w:lang w:val="mk-MK"/>
        </w:rPr>
        <w:t xml:space="preserve">), </w:t>
      </w:r>
      <w:r w:rsidR="00384B98">
        <w:rPr>
          <w:lang w:val="mk-MK"/>
        </w:rPr>
        <w:t xml:space="preserve">во Македонија </w:t>
      </w:r>
      <w:r w:rsidRPr="00033BBF">
        <w:rPr>
          <w:lang w:val="mk-MK"/>
        </w:rPr>
        <w:t xml:space="preserve">има </w:t>
      </w:r>
      <w:r w:rsidR="00384B98">
        <w:rPr>
          <w:lang w:val="mk-MK"/>
        </w:rPr>
        <w:t xml:space="preserve">82 </w:t>
      </w:r>
      <w:r w:rsidRPr="00033BBF">
        <w:rPr>
          <w:lang w:val="mk-MK"/>
        </w:rPr>
        <w:t>регистрирани синдикати.</w:t>
      </w:r>
      <w:r w:rsidR="00384B98">
        <w:rPr>
          <w:rStyle w:val="FootnoteReference"/>
          <w:lang w:val="mk-MK"/>
        </w:rPr>
        <w:footnoteReference w:id="383"/>
      </w:r>
      <w:r w:rsidRPr="00033BBF">
        <w:rPr>
          <w:lang w:val="mk-MK"/>
        </w:rPr>
        <w:t xml:space="preserve"> </w:t>
      </w:r>
      <w:r w:rsidR="00270EC6">
        <w:rPr>
          <w:lang w:val="mk-MK"/>
        </w:rPr>
        <w:t>Н</w:t>
      </w:r>
      <w:r w:rsidRPr="00033BBF">
        <w:rPr>
          <w:lang w:val="mk-MK"/>
        </w:rPr>
        <w:t>ационал</w:t>
      </w:r>
      <w:r w:rsidR="00BD37FC">
        <w:rPr>
          <w:lang w:val="mk-MK"/>
        </w:rPr>
        <w:t>ниот</w:t>
      </w:r>
      <w:r w:rsidRPr="00033BBF">
        <w:rPr>
          <w:lang w:val="mk-MK"/>
        </w:rPr>
        <w:t xml:space="preserve"> извештај, синдикалната густина (union density) </w:t>
      </w:r>
      <w:r w:rsidR="00270EC6">
        <w:rPr>
          <w:lang w:val="mk-MK"/>
        </w:rPr>
        <w:t>ја</w:t>
      </w:r>
      <w:r w:rsidRPr="00033BBF">
        <w:rPr>
          <w:lang w:val="mk-MK"/>
        </w:rPr>
        <w:t xml:space="preserve"> процен</w:t>
      </w:r>
      <w:r w:rsidR="00270EC6">
        <w:rPr>
          <w:lang w:val="mk-MK"/>
        </w:rPr>
        <w:t>ува</w:t>
      </w:r>
      <w:r w:rsidRPr="00033BBF">
        <w:rPr>
          <w:lang w:val="mk-MK"/>
        </w:rPr>
        <w:t xml:space="preserve"> на 16.7%</w:t>
      </w:r>
      <w:r w:rsidR="00CD1564">
        <w:rPr>
          <w:lang w:val="mk-MK"/>
        </w:rPr>
        <w:t>,</w:t>
      </w:r>
      <w:r w:rsidR="00CD1A0F">
        <w:rPr>
          <w:rStyle w:val="FootnoteReference"/>
          <w:lang w:val="mk-MK"/>
        </w:rPr>
        <w:footnoteReference w:id="384"/>
      </w:r>
      <w:r w:rsidR="00CD1564">
        <w:rPr>
          <w:lang w:val="mk-MK"/>
        </w:rPr>
        <w:t xml:space="preserve"> додека д</w:t>
      </w:r>
      <w:r w:rsidRPr="00033BBF">
        <w:rPr>
          <w:lang w:val="mk-MK"/>
        </w:rPr>
        <w:t>руг извор од Fair Wear Foundation, наведува дека во 20</w:t>
      </w:r>
      <w:r w:rsidR="002D58D7">
        <w:rPr>
          <w:lang w:val="mk-MK"/>
        </w:rPr>
        <w:t>21</w:t>
      </w:r>
      <w:r w:rsidRPr="00033BBF">
        <w:rPr>
          <w:lang w:val="mk-MK"/>
        </w:rPr>
        <w:t xml:space="preserve"> година 112.661 работник бил член на синдикат, што дава густина од 17.89%.</w:t>
      </w:r>
      <w:r w:rsidR="002D58D7">
        <w:rPr>
          <w:rStyle w:val="FootnoteReference"/>
          <w:lang w:val="mk-MK"/>
        </w:rPr>
        <w:footnoteReference w:id="385"/>
      </w:r>
      <w:r w:rsidRPr="00033BBF">
        <w:rPr>
          <w:lang w:val="mk-MK"/>
        </w:rPr>
        <w:t xml:space="preserve"> </w:t>
      </w:r>
      <w:r w:rsidR="00A2296C">
        <w:rPr>
          <w:lang w:val="mk-MK"/>
        </w:rPr>
        <w:t>Од друга страна</w:t>
      </w:r>
      <w:r w:rsidR="00A2296C" w:rsidRPr="00A2296C">
        <w:rPr>
          <w:lang w:val="mk-MK"/>
        </w:rPr>
        <w:t xml:space="preserve">, просечната синдикална густина во земјите-членки на </w:t>
      </w:r>
      <w:r w:rsidR="00A2296C">
        <w:rPr>
          <w:lang w:val="mk-MK"/>
        </w:rPr>
        <w:t>ОЕЦД</w:t>
      </w:r>
      <w:r w:rsidR="00A2296C" w:rsidRPr="00A2296C">
        <w:rPr>
          <w:lang w:val="mk-MK"/>
        </w:rPr>
        <w:t xml:space="preserve"> е околу 15% во најновите податоци</w:t>
      </w:r>
      <w:r w:rsidR="00A2296C">
        <w:rPr>
          <w:lang w:val="mk-MK"/>
        </w:rPr>
        <w:t>,</w:t>
      </w:r>
      <w:r w:rsidR="002A0961">
        <w:rPr>
          <w:rStyle w:val="FootnoteReference"/>
          <w:lang w:val="mk-MK"/>
        </w:rPr>
        <w:footnoteReference w:id="386"/>
      </w:r>
      <w:r w:rsidR="00A2296C">
        <w:rPr>
          <w:lang w:val="mk-MK"/>
        </w:rPr>
        <w:t xml:space="preserve"> н</w:t>
      </w:r>
      <w:r w:rsidR="00A2296C" w:rsidRPr="00A2296C">
        <w:rPr>
          <w:lang w:val="mk-MK"/>
        </w:rPr>
        <w:t>о</w:t>
      </w:r>
      <w:r w:rsidR="00A2296C">
        <w:rPr>
          <w:lang w:val="mk-MK"/>
        </w:rPr>
        <w:t xml:space="preserve"> во</w:t>
      </w:r>
      <w:r w:rsidR="00A2296C" w:rsidRPr="00A2296C">
        <w:rPr>
          <w:lang w:val="mk-MK"/>
        </w:rPr>
        <w:t xml:space="preserve"> Европа (ЕУ + Норвешка) бројките варираат многу</w:t>
      </w:r>
      <w:r w:rsidR="00373DFA">
        <w:rPr>
          <w:lang w:val="mk-MK"/>
        </w:rPr>
        <w:t xml:space="preserve"> и</w:t>
      </w:r>
      <w:r w:rsidR="00A2296C" w:rsidRPr="00A2296C">
        <w:rPr>
          <w:lang w:val="mk-MK"/>
        </w:rPr>
        <w:t xml:space="preserve"> некои држави како Шведска, Финска и Данска имаат густина над 60-70%, додека други во Источна и Централна Европа имаат многу пониска густина. На глобално ниво, според </w:t>
      </w:r>
      <w:r w:rsidR="002A0961">
        <w:rPr>
          <w:lang w:val="mk-MK"/>
        </w:rPr>
        <w:t>МОТ,</w:t>
      </w:r>
      <w:r w:rsidR="00A2296C" w:rsidRPr="00A2296C">
        <w:rPr>
          <w:lang w:val="mk-MK"/>
        </w:rPr>
        <w:t xml:space="preserve"> има значителни варијации</w:t>
      </w:r>
      <w:r w:rsidR="002A0961">
        <w:rPr>
          <w:lang w:val="mk-MK"/>
        </w:rPr>
        <w:t xml:space="preserve"> затоа што</w:t>
      </w:r>
      <w:r w:rsidR="00A2296C" w:rsidRPr="00A2296C">
        <w:rPr>
          <w:lang w:val="mk-MK"/>
        </w:rPr>
        <w:t xml:space="preserve"> во некои региони густината е многу ниска,</w:t>
      </w:r>
      <w:r w:rsidR="00405FA3">
        <w:rPr>
          <w:rStyle w:val="FootnoteReference"/>
          <w:lang w:val="mk-MK"/>
        </w:rPr>
        <w:footnoteReference w:id="387"/>
      </w:r>
      <w:r w:rsidR="00A2296C" w:rsidRPr="00A2296C">
        <w:rPr>
          <w:lang w:val="mk-MK"/>
        </w:rPr>
        <w:t xml:space="preserve"> </w:t>
      </w:r>
      <w:r w:rsidR="00405FA3">
        <w:rPr>
          <w:lang w:val="mk-MK"/>
        </w:rPr>
        <w:t xml:space="preserve">додека во западните земји најчесто достига </w:t>
      </w:r>
      <w:r w:rsidR="00A2296C" w:rsidRPr="00A2296C">
        <w:rPr>
          <w:lang w:val="mk-MK"/>
        </w:rPr>
        <w:t>над 30% за вработените.</w:t>
      </w:r>
    </w:p>
    <w:p w14:paraId="6B238C94" w14:textId="205548C1" w:rsidR="00441E8D" w:rsidRDefault="00304489" w:rsidP="003E03DF">
      <w:pPr>
        <w:pStyle w:val="BodyText"/>
        <w:spacing w:before="240" w:after="240"/>
        <w:ind w:firstLine="720"/>
        <w:jc w:val="both"/>
        <w:rPr>
          <w:lang w:val="mk-MK"/>
        </w:rPr>
      </w:pPr>
      <w:r>
        <w:rPr>
          <w:lang w:val="mk-MK"/>
        </w:rPr>
        <w:t>Ова значи дека</w:t>
      </w:r>
      <w:r w:rsidR="00033BBF" w:rsidRPr="00033BBF">
        <w:rPr>
          <w:lang w:val="mk-MK"/>
        </w:rPr>
        <w:t xml:space="preserve"> </w:t>
      </w:r>
      <w:r>
        <w:rPr>
          <w:lang w:val="mk-MK"/>
        </w:rPr>
        <w:t>с</w:t>
      </w:r>
      <w:r w:rsidR="00033BBF" w:rsidRPr="00033BBF">
        <w:rPr>
          <w:lang w:val="mk-MK"/>
        </w:rPr>
        <w:t xml:space="preserve">индикалната густина во Македонија </w:t>
      </w:r>
      <w:r w:rsidR="00FA5436" w:rsidRPr="00FA5436">
        <w:rPr>
          <w:lang w:val="mk-MK"/>
        </w:rPr>
        <w:t>е релативно ниско или умерено синдикализирана</w:t>
      </w:r>
      <w:r w:rsidR="00FA5436">
        <w:rPr>
          <w:lang w:val="mk-MK"/>
        </w:rPr>
        <w:t>,</w:t>
      </w:r>
      <w:r w:rsidR="00FA5436" w:rsidRPr="00FA5436">
        <w:rPr>
          <w:lang w:val="mk-MK"/>
        </w:rPr>
        <w:t xml:space="preserve"> не е „екстремно ниска“, но значително под некои европски системи со силен социјален модел </w:t>
      </w:r>
      <w:r w:rsidR="00FA5436">
        <w:rPr>
          <w:lang w:val="mk-MK"/>
        </w:rPr>
        <w:t>како</w:t>
      </w:r>
      <w:r w:rsidR="00FA5436" w:rsidRPr="00FA5436">
        <w:rPr>
          <w:lang w:val="mk-MK"/>
        </w:rPr>
        <w:t xml:space="preserve"> северните држави. Слична е на просекот на </w:t>
      </w:r>
      <w:r w:rsidR="00FA5436">
        <w:rPr>
          <w:lang w:val="mk-MK"/>
        </w:rPr>
        <w:t>ОЕЦД и тоа</w:t>
      </w:r>
      <w:r w:rsidR="00FA5436" w:rsidRPr="00FA5436">
        <w:rPr>
          <w:lang w:val="mk-MK"/>
        </w:rPr>
        <w:t xml:space="preserve"> значи дека структурно не се издвојува драматично, но </w:t>
      </w:r>
      <w:r w:rsidR="00E85EDB">
        <w:rPr>
          <w:lang w:val="mk-MK"/>
        </w:rPr>
        <w:t xml:space="preserve">генерално </w:t>
      </w:r>
      <w:r w:rsidR="00E85EDB">
        <w:rPr>
          <w:lang w:val="mk-MK"/>
        </w:rPr>
        <w:lastRenderedPageBreak/>
        <w:t xml:space="preserve">синдикатите немаат </w:t>
      </w:r>
      <w:r w:rsidR="00FA5436" w:rsidRPr="00FA5436">
        <w:rPr>
          <w:lang w:val="mk-MK"/>
        </w:rPr>
        <w:t xml:space="preserve">голема моќ </w:t>
      </w:r>
      <w:r w:rsidR="00E85EDB">
        <w:rPr>
          <w:lang w:val="mk-MK"/>
        </w:rPr>
        <w:t>како</w:t>
      </w:r>
      <w:r w:rsidR="00FA5436" w:rsidRPr="00FA5436">
        <w:rPr>
          <w:lang w:val="mk-MK"/>
        </w:rPr>
        <w:t xml:space="preserve"> во земји</w:t>
      </w:r>
      <w:r w:rsidR="00E85EDB">
        <w:rPr>
          <w:lang w:val="mk-MK"/>
        </w:rPr>
        <w:t>те</w:t>
      </w:r>
      <w:r w:rsidR="00FA5436" w:rsidRPr="00FA5436">
        <w:rPr>
          <w:lang w:val="mk-MK"/>
        </w:rPr>
        <w:t xml:space="preserve"> со висока густина. </w:t>
      </w:r>
      <w:r w:rsidR="00B0114F">
        <w:rPr>
          <w:lang w:val="mk-MK"/>
        </w:rPr>
        <w:t>Тие имаат</w:t>
      </w:r>
      <w:r w:rsidR="00FA5436" w:rsidRPr="00FA5436">
        <w:rPr>
          <w:lang w:val="mk-MK"/>
        </w:rPr>
        <w:t xml:space="preserve"> определена база, но нивниот потенцијал за масовна мобилизација и преговарачка моќ е ограничен во споредба со земји каде синдикатите покриваат многу поголем дел од пазарот на труд. </w:t>
      </w:r>
      <w:r w:rsidR="00B0114F">
        <w:rPr>
          <w:lang w:val="mk-MK"/>
        </w:rPr>
        <w:t>Н</w:t>
      </w:r>
      <w:r w:rsidR="00FA5436" w:rsidRPr="00FA5436">
        <w:rPr>
          <w:lang w:val="mk-MK"/>
        </w:rPr>
        <w:t>иската или умерената густина ја намалува легитимноста на синдикатите како колективна сила, што може да го огранич</w:t>
      </w:r>
      <w:r w:rsidR="003D50EE">
        <w:rPr>
          <w:lang w:val="mk-MK"/>
        </w:rPr>
        <w:t>и</w:t>
      </w:r>
      <w:r w:rsidR="00FA5436" w:rsidRPr="00FA5436">
        <w:rPr>
          <w:lang w:val="mk-MK"/>
        </w:rPr>
        <w:t xml:space="preserve"> нивниот капацитет да иницираат учество во управни тела или да влијаат значајно преку колективното договарање. </w:t>
      </w:r>
      <w:r w:rsidR="00033BBF" w:rsidRPr="00033BBF">
        <w:rPr>
          <w:lang w:val="mk-MK"/>
        </w:rPr>
        <w:t xml:space="preserve">Тоа укажува на слаб социјален дијалог од </w:t>
      </w:r>
      <w:r>
        <w:rPr>
          <w:lang w:val="mk-MK"/>
        </w:rPr>
        <w:t>прво</w:t>
      </w:r>
      <w:r w:rsidR="00033BBF" w:rsidRPr="00033BBF">
        <w:rPr>
          <w:lang w:val="mk-MK"/>
        </w:rPr>
        <w:t xml:space="preserve"> ниво, особено во приватниот сектор и помалите фирми, каде синдикатите имаат потешкотии да мобилизираат членство. </w:t>
      </w:r>
      <w:r>
        <w:rPr>
          <w:lang w:val="mk-MK"/>
        </w:rPr>
        <w:t>Иако бројката на синдикати е релативно висок</w:t>
      </w:r>
      <w:r w:rsidR="003D50EE">
        <w:rPr>
          <w:lang w:val="mk-MK"/>
        </w:rPr>
        <w:t>а</w:t>
      </w:r>
      <w:r>
        <w:rPr>
          <w:lang w:val="mk-MK"/>
        </w:rPr>
        <w:t>, истата</w:t>
      </w:r>
      <w:r w:rsidR="00033BBF" w:rsidRPr="00033BBF">
        <w:rPr>
          <w:lang w:val="mk-MK"/>
        </w:rPr>
        <w:t xml:space="preserve"> не значи автоматски големо влијание </w:t>
      </w:r>
      <w:r>
        <w:rPr>
          <w:lang w:val="mk-MK"/>
        </w:rPr>
        <w:t xml:space="preserve">затоа што </w:t>
      </w:r>
      <w:r w:rsidR="00441E8D">
        <w:rPr>
          <w:lang w:val="mk-MK"/>
        </w:rPr>
        <w:t xml:space="preserve">постојат </w:t>
      </w:r>
      <w:r w:rsidR="00033BBF" w:rsidRPr="00033BBF">
        <w:rPr>
          <w:lang w:val="mk-MK"/>
        </w:rPr>
        <w:t>многу мал</w:t>
      </w:r>
      <w:r w:rsidR="00441E8D">
        <w:rPr>
          <w:lang w:val="mk-MK"/>
        </w:rPr>
        <w:t>и</w:t>
      </w:r>
      <w:r w:rsidR="00033BBF" w:rsidRPr="00033BBF">
        <w:rPr>
          <w:lang w:val="mk-MK"/>
        </w:rPr>
        <w:t xml:space="preserve"> синдикати со </w:t>
      </w:r>
      <w:r w:rsidR="00441E8D">
        <w:rPr>
          <w:lang w:val="mk-MK"/>
        </w:rPr>
        <w:t>непостоечки</w:t>
      </w:r>
      <w:r w:rsidR="00033BBF" w:rsidRPr="00033BBF">
        <w:rPr>
          <w:lang w:val="mk-MK"/>
        </w:rPr>
        <w:t xml:space="preserve"> бази, што ја редуцира ефективната партиципација и колективната моќ. </w:t>
      </w:r>
    </w:p>
    <w:p w14:paraId="223FFB6B" w14:textId="77F7F4DA" w:rsidR="00402A86" w:rsidRDefault="00033BBF" w:rsidP="003E03DF">
      <w:pPr>
        <w:pStyle w:val="BodyText"/>
        <w:spacing w:before="240" w:after="240"/>
        <w:ind w:firstLine="720"/>
        <w:jc w:val="both"/>
        <w:rPr>
          <w:lang w:val="mk-MK"/>
        </w:rPr>
      </w:pPr>
      <w:r w:rsidRPr="00033BBF">
        <w:rPr>
          <w:lang w:val="mk-MK"/>
        </w:rPr>
        <w:t>Постојат и проблеми со влијание</w:t>
      </w:r>
      <w:r w:rsidR="009D5254">
        <w:rPr>
          <w:lang w:val="mk-MK"/>
        </w:rPr>
        <w:t>то</w:t>
      </w:r>
      <w:r w:rsidRPr="00033BBF">
        <w:rPr>
          <w:lang w:val="mk-MK"/>
        </w:rPr>
        <w:t xml:space="preserve"> и независност</w:t>
      </w:r>
      <w:r w:rsidR="009D5254">
        <w:rPr>
          <w:lang w:val="mk-MK"/>
        </w:rPr>
        <w:t>а</w:t>
      </w:r>
      <w:r w:rsidR="00D27998">
        <w:rPr>
          <w:lang w:val="mk-MK"/>
        </w:rPr>
        <w:t xml:space="preserve"> на синдикатите.</w:t>
      </w:r>
      <w:r w:rsidRPr="00033BBF">
        <w:rPr>
          <w:lang w:val="mk-MK"/>
        </w:rPr>
        <w:t xml:space="preserve"> </w:t>
      </w:r>
      <w:r w:rsidR="00D27998">
        <w:rPr>
          <w:lang w:val="mk-MK"/>
        </w:rPr>
        <w:t>С</w:t>
      </w:r>
      <w:r w:rsidRPr="00033BBF">
        <w:rPr>
          <w:lang w:val="mk-MK"/>
        </w:rPr>
        <w:t>поред студии</w:t>
      </w:r>
      <w:r w:rsidR="00D27998">
        <w:rPr>
          <w:lang w:val="mk-MK"/>
        </w:rPr>
        <w:t>те</w:t>
      </w:r>
      <w:r w:rsidRPr="00033BBF">
        <w:rPr>
          <w:lang w:val="mk-MK"/>
        </w:rPr>
        <w:t>, многу синдикати немаат голема преговарачка моќ и често се предмет на политички влијанија.</w:t>
      </w:r>
      <w:r w:rsidR="00D27998">
        <w:rPr>
          <w:rStyle w:val="FootnoteReference"/>
          <w:lang w:val="mk-MK"/>
        </w:rPr>
        <w:footnoteReference w:id="388"/>
      </w:r>
      <w:r w:rsidRPr="00033BBF">
        <w:rPr>
          <w:lang w:val="mk-MK"/>
        </w:rPr>
        <w:t xml:space="preserve"> Ниската покриеност го ограничува потенцијалот на работење на механизми на учество</w:t>
      </w:r>
      <w:r w:rsidR="00F54E7E">
        <w:rPr>
          <w:lang w:val="mk-MK"/>
        </w:rPr>
        <w:t>,</w:t>
      </w:r>
      <w:r w:rsidR="00F54E7E">
        <w:rPr>
          <w:rStyle w:val="FootnoteReference"/>
          <w:lang w:val="mk-MK"/>
        </w:rPr>
        <w:footnoteReference w:id="389"/>
      </w:r>
      <w:r w:rsidRPr="00033BBF">
        <w:rPr>
          <w:lang w:val="mk-MK"/>
        </w:rPr>
        <w:t xml:space="preserve"> што може да ја редуцира реалната моќ на работничката страна.</w:t>
      </w:r>
      <w:r w:rsidR="00FD27B1">
        <w:rPr>
          <w:lang w:val="mk-MK"/>
        </w:rPr>
        <w:t xml:space="preserve"> Понатаму, ф</w:t>
      </w:r>
      <w:r w:rsidRPr="00033BBF">
        <w:rPr>
          <w:lang w:val="mk-MK"/>
        </w:rPr>
        <w:t>рагментираноста на синдикатите може да создаде институционални бариери за координација и колективно дејствување</w:t>
      </w:r>
      <w:r w:rsidR="00FD27B1">
        <w:rPr>
          <w:lang w:val="mk-MK"/>
        </w:rPr>
        <w:t>,</w:t>
      </w:r>
      <w:r w:rsidR="00FD27B1">
        <w:rPr>
          <w:rStyle w:val="FootnoteReference"/>
          <w:lang w:val="mk-MK"/>
        </w:rPr>
        <w:footnoteReference w:id="390"/>
      </w:r>
      <w:r w:rsidR="00FD27B1">
        <w:rPr>
          <w:lang w:val="mk-MK"/>
        </w:rPr>
        <w:t xml:space="preserve"> а з</w:t>
      </w:r>
      <w:r w:rsidRPr="00033BBF">
        <w:rPr>
          <w:lang w:val="mk-MK"/>
        </w:rPr>
        <w:t>а реформи во корпоративното управување, нема да биде доволно само формално признавање на синдикати</w:t>
      </w:r>
      <w:r w:rsidR="003011C8">
        <w:rPr>
          <w:lang w:val="mk-MK"/>
        </w:rPr>
        <w:t>те,</w:t>
      </w:r>
      <w:r w:rsidRPr="00033BBF">
        <w:rPr>
          <w:lang w:val="mk-MK"/>
        </w:rPr>
        <w:t xml:space="preserve"> потребно е и зајакнување на нивниот капацитет, ресурси и влијание.</w:t>
      </w:r>
    </w:p>
    <w:p w14:paraId="2A0EAE60" w14:textId="0209E859" w:rsidR="00E17407" w:rsidRPr="00033BBF" w:rsidRDefault="00E17407" w:rsidP="003E03DF">
      <w:pPr>
        <w:pStyle w:val="BodyText"/>
        <w:spacing w:before="240" w:after="240"/>
        <w:ind w:firstLine="720"/>
        <w:jc w:val="both"/>
        <w:rPr>
          <w:lang w:val="mk-MK"/>
        </w:rPr>
      </w:pPr>
      <w:r>
        <w:rPr>
          <w:lang w:val="mk-MK"/>
        </w:rPr>
        <w:t xml:space="preserve">Од друга страна, </w:t>
      </w:r>
      <w:r w:rsidR="003E3003">
        <w:rPr>
          <w:lang w:val="mk-MK"/>
        </w:rPr>
        <w:t>регистарот на МЕТ наведува 24 колективни договори од сите нивоа, исклучувајќи ги оние склопени во рамки на работодавачот.</w:t>
      </w:r>
      <w:r w:rsidR="003E3003">
        <w:rPr>
          <w:rStyle w:val="FootnoteReference"/>
          <w:lang w:val="mk-MK"/>
        </w:rPr>
        <w:footnoteReference w:id="391"/>
      </w:r>
      <w:r w:rsidR="004B647E">
        <w:rPr>
          <w:lang w:val="mk-MK"/>
        </w:rPr>
        <w:t xml:space="preserve"> Притоа, </w:t>
      </w:r>
      <w:r w:rsidR="004B647E" w:rsidRPr="004B647E">
        <w:rPr>
          <w:lang w:val="mk-MK"/>
        </w:rPr>
        <w:t>постојат две општи рамки</w:t>
      </w:r>
      <w:r w:rsidR="004B647E">
        <w:rPr>
          <w:lang w:val="mk-MK"/>
        </w:rPr>
        <w:t xml:space="preserve">, </w:t>
      </w:r>
      <w:r w:rsidR="004B647E" w:rsidRPr="004B647E">
        <w:rPr>
          <w:lang w:val="mk-MK"/>
        </w:rPr>
        <w:t>еден за јавниот сектор и еден за приватниот сектор,</w:t>
      </w:r>
      <w:r w:rsidR="004B647E">
        <w:rPr>
          <w:rStyle w:val="FootnoteReference"/>
          <w:lang w:val="mk-MK"/>
        </w:rPr>
        <w:footnoteReference w:id="392"/>
      </w:r>
      <w:r w:rsidR="004B647E" w:rsidRPr="004B647E">
        <w:rPr>
          <w:lang w:val="mk-MK"/>
        </w:rPr>
        <w:t xml:space="preserve"> кои се </w:t>
      </w:r>
      <w:r w:rsidR="004B647E">
        <w:rPr>
          <w:lang w:val="mk-MK"/>
        </w:rPr>
        <w:t xml:space="preserve">на сила </w:t>
      </w:r>
      <w:r w:rsidR="004B647E" w:rsidRPr="004B647E">
        <w:rPr>
          <w:lang w:val="mk-MK"/>
        </w:rPr>
        <w:t xml:space="preserve">како општи колективни договори. </w:t>
      </w:r>
      <w:r w:rsidR="0053714A">
        <w:rPr>
          <w:lang w:val="mk-MK"/>
        </w:rPr>
        <w:t>Останатите 22 договори се</w:t>
      </w:r>
      <w:r w:rsidR="004B647E" w:rsidRPr="004B647E">
        <w:rPr>
          <w:lang w:val="mk-MK"/>
        </w:rPr>
        <w:t xml:space="preserve"> грански</w:t>
      </w:r>
      <w:r w:rsidR="0053714A">
        <w:rPr>
          <w:lang w:val="mk-MK"/>
        </w:rPr>
        <w:t xml:space="preserve"> или </w:t>
      </w:r>
      <w:r w:rsidR="004B647E" w:rsidRPr="004B647E">
        <w:rPr>
          <w:lang w:val="mk-MK"/>
        </w:rPr>
        <w:t xml:space="preserve">секторски договори </w:t>
      </w:r>
      <w:r w:rsidR="0053714A">
        <w:rPr>
          <w:lang w:val="mk-MK"/>
        </w:rPr>
        <w:t xml:space="preserve">од областа на </w:t>
      </w:r>
      <w:r w:rsidR="004B647E" w:rsidRPr="004B647E">
        <w:rPr>
          <w:lang w:val="mk-MK"/>
        </w:rPr>
        <w:t>текстил, угостителство, здравство, земјоделство/прехранбена индустри</w:t>
      </w:r>
      <w:r w:rsidR="0053714A">
        <w:rPr>
          <w:lang w:val="mk-MK"/>
        </w:rPr>
        <w:t>ја и слично.</w:t>
      </w:r>
      <w:r w:rsidR="004B647E" w:rsidRPr="004B647E">
        <w:rPr>
          <w:lang w:val="mk-MK"/>
        </w:rPr>
        <w:t xml:space="preserve"> </w:t>
      </w:r>
      <w:r w:rsidR="0053714A">
        <w:rPr>
          <w:lang w:val="mk-MK"/>
        </w:rPr>
        <w:t>Покрај ова,</w:t>
      </w:r>
      <w:r w:rsidR="004B647E" w:rsidRPr="004B647E">
        <w:rPr>
          <w:lang w:val="mk-MK"/>
        </w:rPr>
        <w:t xml:space="preserve"> постојат </w:t>
      </w:r>
      <w:r w:rsidR="0053714A">
        <w:rPr>
          <w:lang w:val="mk-MK"/>
        </w:rPr>
        <w:t>околу педесетина</w:t>
      </w:r>
      <w:r w:rsidR="004B647E" w:rsidRPr="004B647E">
        <w:rPr>
          <w:lang w:val="mk-MK"/>
        </w:rPr>
        <w:t xml:space="preserve"> договори на ниво на работодавач </w:t>
      </w:r>
      <w:r w:rsidR="007378ED">
        <w:rPr>
          <w:lang w:val="mk-MK"/>
        </w:rPr>
        <w:t xml:space="preserve">и </w:t>
      </w:r>
      <w:r w:rsidR="004B647E" w:rsidRPr="004B647E">
        <w:rPr>
          <w:lang w:val="mk-MK"/>
        </w:rPr>
        <w:t>многу од овие договори се локализирани (company-level) и не се унифицирано агрегирани во еден јавен регистар</w:t>
      </w:r>
      <w:r w:rsidR="00162169">
        <w:rPr>
          <w:lang w:val="mk-MK"/>
        </w:rPr>
        <w:t xml:space="preserve">. </w:t>
      </w:r>
      <w:r w:rsidR="004B647E" w:rsidRPr="004B647E">
        <w:rPr>
          <w:lang w:val="mk-MK"/>
        </w:rPr>
        <w:t>Меѓународните извештаи нотираат проблеми со апликацијата и ефективноста на договорит</w:t>
      </w:r>
      <w:r w:rsidR="00162169">
        <w:rPr>
          <w:lang w:val="mk-MK"/>
        </w:rPr>
        <w:t>е и наведуваат дека</w:t>
      </w:r>
      <w:r w:rsidR="004B647E" w:rsidRPr="004B647E">
        <w:rPr>
          <w:lang w:val="mk-MK"/>
        </w:rPr>
        <w:t xml:space="preserve"> многу грански</w:t>
      </w:r>
      <w:r w:rsidR="00162169">
        <w:rPr>
          <w:lang w:val="mk-MK"/>
        </w:rPr>
        <w:t xml:space="preserve"> и</w:t>
      </w:r>
      <w:r w:rsidR="004B647E" w:rsidRPr="004B647E">
        <w:rPr>
          <w:lang w:val="mk-MK"/>
        </w:rPr>
        <w:t xml:space="preserve"> договори</w:t>
      </w:r>
      <w:r w:rsidR="00162169">
        <w:rPr>
          <w:lang w:val="mk-MK"/>
        </w:rPr>
        <w:t xml:space="preserve"> на ниво на работодавач</w:t>
      </w:r>
      <w:r w:rsidR="004B647E" w:rsidRPr="004B647E">
        <w:rPr>
          <w:lang w:val="mk-MK"/>
        </w:rPr>
        <w:t xml:space="preserve"> не се редовно обновувани или не се во целосна примена.</w:t>
      </w:r>
      <w:r w:rsidR="00162169">
        <w:rPr>
          <w:rStyle w:val="FootnoteReference"/>
          <w:lang w:val="mk-MK"/>
        </w:rPr>
        <w:footnoteReference w:id="393"/>
      </w:r>
      <w:r w:rsidR="004B647E" w:rsidRPr="004B647E">
        <w:rPr>
          <w:lang w:val="mk-MK"/>
        </w:rPr>
        <w:t xml:space="preserve"> Емпириските анализи укажуваат дека опфатот на колективно покривање по сектори е слаб</w:t>
      </w:r>
      <w:r w:rsidR="00D40D74">
        <w:rPr>
          <w:lang w:val="mk-MK"/>
        </w:rPr>
        <w:t>,</w:t>
      </w:r>
      <w:r w:rsidR="004B647E" w:rsidRPr="004B647E">
        <w:rPr>
          <w:lang w:val="mk-MK"/>
        </w:rPr>
        <w:t xml:space="preserve"> особено во приватниот сектор</w:t>
      </w:r>
      <w:r w:rsidR="00D40D74">
        <w:rPr>
          <w:lang w:val="mk-MK"/>
        </w:rPr>
        <w:t xml:space="preserve"> каде</w:t>
      </w:r>
      <w:r w:rsidR="004B647E" w:rsidRPr="004B647E">
        <w:rPr>
          <w:lang w:val="mk-MK"/>
        </w:rPr>
        <w:t xml:space="preserve"> доминираат договори на ниво на работодавач, додека гранските договори се ограничени</w:t>
      </w:r>
      <w:r w:rsidR="00D40D74">
        <w:rPr>
          <w:lang w:val="mk-MK"/>
        </w:rPr>
        <w:t xml:space="preserve"> или не постојат</w:t>
      </w:r>
      <w:r w:rsidR="004B647E" w:rsidRPr="004B647E">
        <w:rPr>
          <w:lang w:val="mk-MK"/>
        </w:rPr>
        <w:t xml:space="preserve">. </w:t>
      </w:r>
      <w:r w:rsidR="000754F0">
        <w:rPr>
          <w:lang w:val="mk-MK"/>
        </w:rPr>
        <w:t xml:space="preserve">На кратко, има </w:t>
      </w:r>
      <w:r w:rsidR="004B647E" w:rsidRPr="004B647E">
        <w:rPr>
          <w:lang w:val="mk-MK"/>
        </w:rPr>
        <w:t>формална присутност</w:t>
      </w:r>
      <w:r w:rsidR="000754F0">
        <w:rPr>
          <w:lang w:val="mk-MK"/>
        </w:rPr>
        <w:t xml:space="preserve"> на релативно голем број на</w:t>
      </w:r>
      <w:r w:rsidR="004B647E" w:rsidRPr="004B647E">
        <w:rPr>
          <w:lang w:val="mk-MK"/>
        </w:rPr>
        <w:t xml:space="preserve"> договори на хартија, но</w:t>
      </w:r>
      <w:r w:rsidR="00AE1A5E">
        <w:rPr>
          <w:lang w:val="mk-MK"/>
        </w:rPr>
        <w:t xml:space="preserve"> глабниот проблем е што</w:t>
      </w:r>
      <w:r w:rsidR="004B647E" w:rsidRPr="004B647E">
        <w:rPr>
          <w:lang w:val="mk-MK"/>
        </w:rPr>
        <w:t xml:space="preserve"> не се применуваат системски</w:t>
      </w:r>
      <w:r w:rsidR="00AE1A5E">
        <w:rPr>
          <w:lang w:val="mk-MK"/>
        </w:rPr>
        <w:t xml:space="preserve"> и не се од корист ниту за трговските друштва ниту за работниците. </w:t>
      </w:r>
    </w:p>
    <w:p w14:paraId="325EEEDD" w14:textId="77777777" w:rsidR="001E5BCE" w:rsidRDefault="00926966" w:rsidP="0063028B">
      <w:pPr>
        <w:pStyle w:val="BodyText"/>
        <w:spacing w:before="240"/>
        <w:ind w:firstLine="720"/>
        <w:jc w:val="both"/>
        <w:rPr>
          <w:lang w:val="mk-MK"/>
        </w:rPr>
      </w:pPr>
      <w:r>
        <w:rPr>
          <w:lang w:val="mk-MK"/>
        </w:rPr>
        <w:t>Имајќи го сето ова предвид и знаејќи дека МОТ</w:t>
      </w:r>
      <w:r w:rsidR="0063028B" w:rsidRPr="002F1166">
        <w:rPr>
          <w:lang w:val="mk-MK"/>
        </w:rPr>
        <w:t xml:space="preserve"> нема </w:t>
      </w:r>
      <w:r>
        <w:rPr>
          <w:lang w:val="mk-MK"/>
        </w:rPr>
        <w:t>силен</w:t>
      </w:r>
      <w:r w:rsidR="0063028B" w:rsidRPr="002F1166">
        <w:rPr>
          <w:lang w:val="mk-MK"/>
        </w:rPr>
        <w:t xml:space="preserve"> принуден механизам како да го натера неодговорниот државен или приватен актер да ги почитува нормите</w:t>
      </w:r>
      <w:r w:rsidR="000D1580">
        <w:rPr>
          <w:lang w:val="mk-MK"/>
        </w:rPr>
        <w:t xml:space="preserve">, </w:t>
      </w:r>
      <w:r w:rsidR="0063028B" w:rsidRPr="002F1166">
        <w:rPr>
          <w:lang w:val="mk-MK"/>
        </w:rPr>
        <w:t xml:space="preserve"> </w:t>
      </w:r>
      <w:r w:rsidR="000D1580">
        <w:rPr>
          <w:lang w:val="mk-MK"/>
        </w:rPr>
        <w:t>м</w:t>
      </w:r>
      <w:r w:rsidR="0063028B" w:rsidRPr="002F1166">
        <w:rPr>
          <w:lang w:val="mk-MK"/>
        </w:rPr>
        <w:t>ониторингот и жалбените механизми зависат од политичката волја и од меѓународ</w:t>
      </w:r>
      <w:r w:rsidR="000D1580">
        <w:rPr>
          <w:lang w:val="mk-MK"/>
        </w:rPr>
        <w:t>ниот</w:t>
      </w:r>
      <w:r w:rsidR="0063028B" w:rsidRPr="002F1166">
        <w:rPr>
          <w:lang w:val="mk-MK"/>
        </w:rPr>
        <w:t xml:space="preserve"> политички натпревар за нарации. </w:t>
      </w:r>
      <w:r w:rsidR="000D1580">
        <w:rPr>
          <w:lang w:val="mk-MK"/>
        </w:rPr>
        <w:t xml:space="preserve">Ова ја остава Македонија во ситуација кога </w:t>
      </w:r>
      <w:r w:rsidR="009D297D">
        <w:rPr>
          <w:lang w:val="mk-MK"/>
        </w:rPr>
        <w:t>е оставена сама на себе во однос на</w:t>
      </w:r>
      <w:r w:rsidR="0063028B" w:rsidRPr="002F1166">
        <w:rPr>
          <w:lang w:val="mk-MK"/>
        </w:rPr>
        <w:t xml:space="preserve"> вклучувањето на работодавачите</w:t>
      </w:r>
      <w:r w:rsidR="009D297D">
        <w:rPr>
          <w:lang w:val="mk-MK"/>
        </w:rPr>
        <w:t xml:space="preserve"> и работниците</w:t>
      </w:r>
      <w:r w:rsidR="0063028B" w:rsidRPr="002F1166">
        <w:rPr>
          <w:lang w:val="mk-MK"/>
        </w:rPr>
        <w:t xml:space="preserve"> во процесот </w:t>
      </w:r>
      <w:r w:rsidR="009D297D">
        <w:rPr>
          <w:lang w:val="mk-MK"/>
        </w:rPr>
        <w:t xml:space="preserve">и </w:t>
      </w:r>
      <w:r w:rsidR="009D297D">
        <w:rPr>
          <w:lang w:val="mk-MK"/>
        </w:rPr>
        <w:lastRenderedPageBreak/>
        <w:t xml:space="preserve">што тоа практично значи. </w:t>
      </w:r>
      <w:r w:rsidR="001E5BCE">
        <w:rPr>
          <w:lang w:val="mk-MK"/>
        </w:rPr>
        <w:t>Доминантниот впечаток е дека</w:t>
      </w:r>
      <w:r w:rsidR="0063028B" w:rsidRPr="002F1166">
        <w:rPr>
          <w:lang w:val="mk-MK"/>
        </w:rPr>
        <w:t xml:space="preserve"> најмоќните комерцијални интереси имаат </w:t>
      </w:r>
      <w:r w:rsidR="001E5BCE">
        <w:rPr>
          <w:lang w:val="mk-MK"/>
        </w:rPr>
        <w:t>национална моќ</w:t>
      </w:r>
      <w:r w:rsidR="0063028B" w:rsidRPr="002F1166">
        <w:rPr>
          <w:lang w:val="mk-MK"/>
        </w:rPr>
        <w:t xml:space="preserve"> за запирање и замаглување на стандарди</w:t>
      </w:r>
      <w:r w:rsidR="001E5BCE">
        <w:rPr>
          <w:lang w:val="mk-MK"/>
        </w:rPr>
        <w:t xml:space="preserve"> кои би го демократизирале пазарот или би овозможиле поголема вклученост на вработените</w:t>
      </w:r>
      <w:r w:rsidR="0063028B" w:rsidRPr="002F1166">
        <w:rPr>
          <w:lang w:val="mk-MK"/>
        </w:rPr>
        <w:t xml:space="preserve">. </w:t>
      </w:r>
    </w:p>
    <w:p w14:paraId="0169B530" w14:textId="4192DBB5" w:rsidR="000408AD" w:rsidRDefault="001E5BCE" w:rsidP="0063028B">
      <w:pPr>
        <w:pStyle w:val="BodyText"/>
        <w:spacing w:before="240"/>
        <w:ind w:firstLine="720"/>
        <w:jc w:val="both"/>
        <w:rPr>
          <w:lang w:val="mk-MK"/>
        </w:rPr>
      </w:pPr>
      <w:r>
        <w:rPr>
          <w:lang w:val="mk-MK"/>
        </w:rPr>
        <w:t>Ова</w:t>
      </w:r>
      <w:r w:rsidR="0063028B" w:rsidRPr="002F1166">
        <w:rPr>
          <w:lang w:val="mk-MK"/>
        </w:rPr>
        <w:t xml:space="preserve"> предизвикува „минималистички компромиси“ кои често ја негацираат структурната природа на експлоатацијата. </w:t>
      </w:r>
      <w:r w:rsidR="002F3690">
        <w:rPr>
          <w:lang w:val="mk-MK"/>
        </w:rPr>
        <w:t>Иако</w:t>
      </w:r>
      <w:r w:rsidR="0063028B" w:rsidRPr="002F1166">
        <w:rPr>
          <w:lang w:val="mk-MK"/>
        </w:rPr>
        <w:t xml:space="preserve"> МОТ</w:t>
      </w:r>
      <w:r w:rsidR="004C5C57">
        <w:rPr>
          <w:lang w:val="mk-MK"/>
        </w:rPr>
        <w:t>, како што видовме,</w:t>
      </w:r>
      <w:r w:rsidR="0063028B" w:rsidRPr="002F1166">
        <w:rPr>
          <w:lang w:val="mk-MK"/>
        </w:rPr>
        <w:t xml:space="preserve"> традиционално д</w:t>
      </w:r>
      <w:r w:rsidR="002F3690">
        <w:rPr>
          <w:lang w:val="mk-MK"/>
        </w:rPr>
        <w:t>елува</w:t>
      </w:r>
      <w:r w:rsidR="0063028B" w:rsidRPr="002F1166">
        <w:rPr>
          <w:lang w:val="mk-MK"/>
        </w:rPr>
        <w:t xml:space="preserve"> со регулативни стандарди</w:t>
      </w:r>
      <w:r w:rsidR="004C5C57">
        <w:rPr>
          <w:lang w:val="mk-MK"/>
        </w:rPr>
        <w:t>, националните власти</w:t>
      </w:r>
      <w:r w:rsidR="0063028B" w:rsidRPr="002F1166">
        <w:rPr>
          <w:lang w:val="mk-MK"/>
        </w:rPr>
        <w:t xml:space="preserve"> ретко</w:t>
      </w:r>
      <w:r w:rsidR="004C5C57">
        <w:rPr>
          <w:lang w:val="mk-MK"/>
        </w:rPr>
        <w:t xml:space="preserve"> навлегуваат во самата</w:t>
      </w:r>
      <w:r w:rsidR="0063028B" w:rsidRPr="002F1166">
        <w:rPr>
          <w:lang w:val="mk-MK"/>
        </w:rPr>
        <w:t xml:space="preserve"> распределба на моќ и капитал</w:t>
      </w:r>
      <w:r w:rsidR="004C5C57">
        <w:rPr>
          <w:lang w:val="mk-MK"/>
        </w:rPr>
        <w:t xml:space="preserve"> во државата. Поточно, </w:t>
      </w:r>
      <w:r w:rsidR="00AE036C">
        <w:rPr>
          <w:lang w:val="mk-MK"/>
        </w:rPr>
        <w:t>целиот тренд на постапување во последните 34 години посочува дека</w:t>
      </w:r>
      <w:r w:rsidR="0063028B" w:rsidRPr="002F1166">
        <w:rPr>
          <w:lang w:val="mk-MK"/>
        </w:rPr>
        <w:t xml:space="preserve"> проблемите како прекаризацијата, </w:t>
      </w:r>
      <w:r w:rsidR="000408AD">
        <w:rPr>
          <w:lang w:val="mk-MK"/>
        </w:rPr>
        <w:t>емиграцијата</w:t>
      </w:r>
      <w:r w:rsidR="0063028B" w:rsidRPr="002F1166">
        <w:rPr>
          <w:lang w:val="mk-MK"/>
        </w:rPr>
        <w:t xml:space="preserve"> и транснационалниот притисок за пониски трошоци често остануваат неадресирани</w:t>
      </w:r>
      <w:r w:rsidR="000408AD">
        <w:rPr>
          <w:lang w:val="mk-MK"/>
        </w:rPr>
        <w:t xml:space="preserve"> и ги лишуваат македонските трговски друштва и работници од реални можности за прогрес</w:t>
      </w:r>
      <w:r w:rsidR="0063028B" w:rsidRPr="002F1166">
        <w:rPr>
          <w:lang w:val="mk-MK"/>
        </w:rPr>
        <w:t xml:space="preserve">. </w:t>
      </w:r>
      <w:r w:rsidR="000408AD">
        <w:rPr>
          <w:lang w:val="mk-MK"/>
        </w:rPr>
        <w:t>Одговорот на државата на новите начини на работа, како</w:t>
      </w:r>
      <w:r w:rsidR="0063028B" w:rsidRPr="002F1166">
        <w:rPr>
          <w:lang w:val="mk-MK"/>
        </w:rPr>
        <w:t xml:space="preserve"> дигиталн</w:t>
      </w:r>
      <w:r w:rsidR="000408AD">
        <w:rPr>
          <w:lang w:val="mk-MK"/>
        </w:rPr>
        <w:t>и</w:t>
      </w:r>
      <w:r w:rsidR="0063028B" w:rsidRPr="002F1166">
        <w:rPr>
          <w:lang w:val="mk-MK"/>
        </w:rPr>
        <w:t xml:space="preserve"> платформ</w:t>
      </w:r>
      <w:r w:rsidR="000408AD">
        <w:rPr>
          <w:lang w:val="mk-MK"/>
        </w:rPr>
        <w:t>и</w:t>
      </w:r>
      <w:r w:rsidR="0063028B" w:rsidRPr="002F1166">
        <w:rPr>
          <w:lang w:val="mk-MK"/>
        </w:rPr>
        <w:t>,</w:t>
      </w:r>
      <w:r w:rsidR="000408AD">
        <w:rPr>
          <w:lang w:val="mk-MK"/>
        </w:rPr>
        <w:t xml:space="preserve"> екеономија на „тезги“</w:t>
      </w:r>
      <w:r w:rsidR="0063028B" w:rsidRPr="002F1166">
        <w:rPr>
          <w:lang w:val="mk-MK"/>
        </w:rPr>
        <w:t xml:space="preserve"> </w:t>
      </w:r>
      <w:r w:rsidR="000408AD">
        <w:rPr>
          <w:lang w:val="mk-MK"/>
        </w:rPr>
        <w:t>(</w:t>
      </w:r>
      <w:r w:rsidR="0063028B" w:rsidRPr="002F1166">
        <w:rPr>
          <w:lang w:val="mk-MK"/>
        </w:rPr>
        <w:t>gig economy</w:t>
      </w:r>
      <w:r w:rsidR="000408AD">
        <w:rPr>
          <w:lang w:val="mk-MK"/>
        </w:rPr>
        <w:t>)</w:t>
      </w:r>
      <w:r w:rsidR="0063028B" w:rsidRPr="002F1166">
        <w:rPr>
          <w:lang w:val="mk-MK"/>
        </w:rPr>
        <w:t xml:space="preserve">, де-факто самовработување и масовната </w:t>
      </w:r>
      <w:r w:rsidR="000408AD">
        <w:rPr>
          <w:lang w:val="mk-MK"/>
        </w:rPr>
        <w:t>сива/црна економија</w:t>
      </w:r>
      <w:r w:rsidR="0063028B" w:rsidRPr="002F1166">
        <w:rPr>
          <w:lang w:val="mk-MK"/>
        </w:rPr>
        <w:t xml:space="preserve"> бараат нови концепти кои МОТ бавно ги апсорбира</w:t>
      </w:r>
      <w:r w:rsidR="000408AD">
        <w:rPr>
          <w:lang w:val="mk-MK"/>
        </w:rPr>
        <w:t>.</w:t>
      </w:r>
      <w:r w:rsidR="007962C1">
        <w:rPr>
          <w:rStyle w:val="FootnoteReference"/>
          <w:lang w:val="mk-MK"/>
        </w:rPr>
        <w:footnoteReference w:id="394"/>
      </w:r>
      <w:r w:rsidR="0063028B" w:rsidRPr="002F1166">
        <w:rPr>
          <w:lang w:val="mk-MK"/>
        </w:rPr>
        <w:t xml:space="preserve"> </w:t>
      </w:r>
      <w:r w:rsidR="000408AD">
        <w:rPr>
          <w:lang w:val="mk-MK"/>
        </w:rPr>
        <w:t>Т</w:t>
      </w:r>
      <w:r w:rsidR="0063028B" w:rsidRPr="002F1166">
        <w:rPr>
          <w:lang w:val="mk-MK"/>
        </w:rPr>
        <w:t>оа ја остава организацијата</w:t>
      </w:r>
      <w:r w:rsidR="000408AD">
        <w:rPr>
          <w:lang w:val="mk-MK"/>
        </w:rPr>
        <w:t>, но и државата</w:t>
      </w:r>
      <w:r w:rsidR="0063028B" w:rsidRPr="002F1166">
        <w:rPr>
          <w:lang w:val="mk-MK"/>
        </w:rPr>
        <w:t xml:space="preserve"> заглавена во кластери на стари категорија (вработен/невработен, плаќање/неплаќање) коишто не ја </w:t>
      </w:r>
      <w:r w:rsidR="000408AD">
        <w:rPr>
          <w:lang w:val="mk-MK"/>
        </w:rPr>
        <w:t>оп</w:t>
      </w:r>
      <w:r w:rsidR="0063028B" w:rsidRPr="002F1166">
        <w:rPr>
          <w:lang w:val="mk-MK"/>
        </w:rPr>
        <w:t xml:space="preserve">фаќаат реалноста на модерниот пазар. </w:t>
      </w:r>
    </w:p>
    <w:p w14:paraId="03FA5CFD" w14:textId="77777777" w:rsidR="00C01750" w:rsidRDefault="00CD2AFF" w:rsidP="00C01750">
      <w:pPr>
        <w:pStyle w:val="BodyText"/>
        <w:spacing w:before="240"/>
        <w:ind w:firstLine="720"/>
        <w:jc w:val="both"/>
        <w:rPr>
          <w:lang w:val="mk-MK"/>
        </w:rPr>
      </w:pPr>
      <w:r>
        <w:rPr>
          <w:lang w:val="mk-MK"/>
        </w:rPr>
        <w:t>Генерално, може да се каже дека</w:t>
      </w:r>
      <w:r w:rsidR="0063028B" w:rsidRPr="002F1166">
        <w:rPr>
          <w:lang w:val="mk-MK"/>
        </w:rPr>
        <w:t xml:space="preserve"> б</w:t>
      </w:r>
      <w:r>
        <w:rPr>
          <w:lang w:val="mk-MK"/>
        </w:rPr>
        <w:t>ир</w:t>
      </w:r>
      <w:r w:rsidR="0063028B" w:rsidRPr="002F1166">
        <w:rPr>
          <w:lang w:val="mk-MK"/>
        </w:rPr>
        <w:t xml:space="preserve">ократизацијата и </w:t>
      </w:r>
      <w:r>
        <w:rPr>
          <w:lang w:val="mk-MK"/>
        </w:rPr>
        <w:t xml:space="preserve">неопределеноста на </w:t>
      </w:r>
      <w:r w:rsidR="0063028B" w:rsidRPr="002F1166">
        <w:rPr>
          <w:lang w:val="mk-MK"/>
        </w:rPr>
        <w:t>смислата на трудот</w:t>
      </w:r>
      <w:r>
        <w:rPr>
          <w:lang w:val="mk-MK"/>
        </w:rPr>
        <w:t xml:space="preserve"> се предизвици со коишто се соочуваат и МОТ на г</w:t>
      </w:r>
      <w:r w:rsidR="00B225E6">
        <w:rPr>
          <w:lang w:val="mk-MK"/>
        </w:rPr>
        <w:t>л</w:t>
      </w:r>
      <w:r>
        <w:rPr>
          <w:lang w:val="mk-MK"/>
        </w:rPr>
        <w:t>обално ниво и Македонија</w:t>
      </w:r>
      <w:r w:rsidR="00B225E6">
        <w:rPr>
          <w:lang w:val="mk-MK"/>
        </w:rPr>
        <w:t xml:space="preserve">. Во една таква ситуација, Организацијата </w:t>
      </w:r>
      <w:r w:rsidR="0063028B" w:rsidRPr="002F1166">
        <w:rPr>
          <w:lang w:val="mk-MK"/>
        </w:rPr>
        <w:t>ризикува да стане само „механичка“ фабрика за стандарди кои формално го легитимираат системот, а не го преиначуваат</w:t>
      </w:r>
      <w:r w:rsidR="00B225E6">
        <w:rPr>
          <w:lang w:val="mk-MK"/>
        </w:rPr>
        <w:t>, додека Македонија имплементира одредени стандарди без практично значење и спроведување</w:t>
      </w:r>
      <w:r w:rsidR="0063028B" w:rsidRPr="002F1166">
        <w:rPr>
          <w:lang w:val="mk-MK"/>
        </w:rPr>
        <w:t xml:space="preserve">. МОТ </w:t>
      </w:r>
      <w:r w:rsidR="00CE3E8C">
        <w:rPr>
          <w:lang w:val="mk-MK"/>
        </w:rPr>
        <w:t>се обидува да</w:t>
      </w:r>
      <w:r w:rsidR="0063028B" w:rsidRPr="002F1166">
        <w:rPr>
          <w:lang w:val="mk-MK"/>
        </w:rPr>
        <w:t xml:space="preserve"> ја поттикн</w:t>
      </w:r>
      <w:r w:rsidR="007D521F">
        <w:rPr>
          <w:lang w:val="mk-MK"/>
        </w:rPr>
        <w:t>е</w:t>
      </w:r>
      <w:r w:rsidR="0063028B" w:rsidRPr="002F1166">
        <w:rPr>
          <w:lang w:val="mk-MK"/>
        </w:rPr>
        <w:t xml:space="preserve"> не само правната заштита, туку и иновации</w:t>
      </w:r>
      <w:r w:rsidR="00012164">
        <w:rPr>
          <w:lang w:val="mk-MK"/>
        </w:rPr>
        <w:t>те</w:t>
      </w:r>
      <w:r w:rsidR="0063028B" w:rsidRPr="002F1166">
        <w:rPr>
          <w:lang w:val="mk-MK"/>
        </w:rPr>
        <w:t xml:space="preserve"> во институционалниот дизајн</w:t>
      </w:r>
      <w:r w:rsidR="00CE3E8C">
        <w:rPr>
          <w:lang w:val="mk-MK"/>
        </w:rPr>
        <w:t>, како</w:t>
      </w:r>
      <w:r w:rsidR="0063028B" w:rsidRPr="002F1166">
        <w:rPr>
          <w:lang w:val="mk-MK"/>
        </w:rPr>
        <w:t xml:space="preserve"> поддршка за модели на </w:t>
      </w:r>
      <w:r w:rsidR="00CE3E8C">
        <w:rPr>
          <w:lang w:val="mk-MK"/>
        </w:rPr>
        <w:t>самоуправување</w:t>
      </w:r>
      <w:r w:rsidR="0063028B" w:rsidRPr="002F1166">
        <w:rPr>
          <w:lang w:val="mk-MK"/>
        </w:rPr>
        <w:t>, кооперативи и колективно сопствеништво</w:t>
      </w:r>
      <w:r w:rsidR="00CE3E8C">
        <w:rPr>
          <w:lang w:val="mk-MK"/>
        </w:rPr>
        <w:t>, но се чини дека Македонија во најголем дел заостанува во овој поглед</w:t>
      </w:r>
      <w:r w:rsidR="0063028B" w:rsidRPr="002F1166">
        <w:rPr>
          <w:lang w:val="mk-MK"/>
        </w:rPr>
        <w:t xml:space="preserve">. </w:t>
      </w:r>
      <w:r w:rsidR="00B029B3">
        <w:rPr>
          <w:lang w:val="mk-MK"/>
        </w:rPr>
        <w:t xml:space="preserve">Со оглед на тоа што не се очекува значаен </w:t>
      </w:r>
      <w:r w:rsidR="0063028B" w:rsidRPr="002F1166">
        <w:rPr>
          <w:lang w:val="mk-MK"/>
        </w:rPr>
        <w:t>развој на посилни санкции и алтернативни механизми</w:t>
      </w:r>
      <w:r w:rsidR="00B029B3">
        <w:rPr>
          <w:lang w:val="mk-MK"/>
        </w:rPr>
        <w:t xml:space="preserve"> на МОТ,</w:t>
      </w:r>
      <w:r w:rsidR="00B029B3">
        <w:rPr>
          <w:rStyle w:val="FootnoteReference"/>
          <w:lang w:val="mk-MK"/>
        </w:rPr>
        <w:footnoteReference w:id="395"/>
      </w:r>
      <w:r w:rsidR="0063028B" w:rsidRPr="002F1166">
        <w:rPr>
          <w:lang w:val="mk-MK"/>
        </w:rPr>
        <w:t xml:space="preserve"> кои не зависат исклучиво од добра волја</w:t>
      </w:r>
      <w:r w:rsidR="00012164">
        <w:rPr>
          <w:lang w:val="mk-MK"/>
        </w:rPr>
        <w:t>,</w:t>
      </w:r>
      <w:r w:rsidR="00C01750">
        <w:rPr>
          <w:lang w:val="mk-MK"/>
        </w:rPr>
        <w:t xml:space="preserve"> останува целосно на Македонија колку квалитетно и длабински сака да ги усогласи националните политики со наведените стандарди. </w:t>
      </w:r>
    </w:p>
    <w:p w14:paraId="0CC743A7" w14:textId="4C3498CA" w:rsidR="0063028B" w:rsidRDefault="00C01750" w:rsidP="00CB3FCC">
      <w:pPr>
        <w:pStyle w:val="BodyText"/>
        <w:spacing w:before="240"/>
        <w:ind w:firstLine="720"/>
        <w:jc w:val="both"/>
        <w:rPr>
          <w:lang w:val="mk-MK"/>
        </w:rPr>
      </w:pPr>
      <w:r>
        <w:rPr>
          <w:lang w:val="mk-MK"/>
        </w:rPr>
        <w:t>Доколку има интерес, Македонија може да започне со р</w:t>
      </w:r>
      <w:r w:rsidR="0063028B" w:rsidRPr="002F1166">
        <w:rPr>
          <w:lang w:val="mk-MK"/>
        </w:rPr>
        <w:t xml:space="preserve">едизајнирање на процедурите така што работничките субјекти и социјалните движења ќе имаат директна присутност и права за иницирање на жалби и ревизии </w:t>
      </w:r>
      <w:r w:rsidR="00DE3A7D">
        <w:rPr>
          <w:lang w:val="mk-MK"/>
        </w:rPr>
        <w:t>како директна форма на грас-рут</w:t>
      </w:r>
      <w:r w:rsidR="0063028B" w:rsidRPr="002F1166">
        <w:rPr>
          <w:lang w:val="mk-MK"/>
        </w:rPr>
        <w:t xml:space="preserve"> вклучување</w:t>
      </w:r>
      <w:r w:rsidR="00DE3A7D">
        <w:rPr>
          <w:lang w:val="mk-MK"/>
        </w:rPr>
        <w:t xml:space="preserve"> на работниците кон корпоративното управување</w:t>
      </w:r>
      <w:r w:rsidR="0063028B" w:rsidRPr="002F1166">
        <w:rPr>
          <w:lang w:val="mk-MK"/>
        </w:rPr>
        <w:t xml:space="preserve">. </w:t>
      </w:r>
      <w:r w:rsidR="00DE3A7D">
        <w:rPr>
          <w:lang w:val="mk-MK"/>
        </w:rPr>
        <w:t xml:space="preserve">Понатаму, </w:t>
      </w:r>
      <w:r w:rsidR="009E07EB">
        <w:rPr>
          <w:lang w:val="mk-MK"/>
        </w:rPr>
        <w:t>самото дефинирање на терминот на корпоративно управување ќе овозможи собирање на к</w:t>
      </w:r>
      <w:r w:rsidR="0063028B" w:rsidRPr="002F1166">
        <w:rPr>
          <w:lang w:val="mk-MK"/>
        </w:rPr>
        <w:t xml:space="preserve">ритичка статистика и развој на нови индикатори кои мерат не само плата и осигурување, туку и смислата и социјалната вредност на работата </w:t>
      </w:r>
      <w:r w:rsidR="009E07EB">
        <w:rPr>
          <w:lang w:val="mk-MK"/>
        </w:rPr>
        <w:t xml:space="preserve">и вклученоста на вработените. </w:t>
      </w:r>
      <w:r w:rsidR="00514A3B">
        <w:rPr>
          <w:lang w:val="mk-MK"/>
        </w:rPr>
        <w:t>Сосема на крајот, МОТ</w:t>
      </w:r>
      <w:r w:rsidR="0063028B" w:rsidRPr="002F1166">
        <w:rPr>
          <w:lang w:val="mk-MK"/>
        </w:rPr>
        <w:t xml:space="preserve"> нуди универзална платформа за стандарди и дијалог</w:t>
      </w:r>
      <w:r w:rsidR="00514A3B">
        <w:rPr>
          <w:lang w:val="mk-MK"/>
        </w:rPr>
        <w:t>,</w:t>
      </w:r>
      <w:r w:rsidR="0063028B" w:rsidRPr="002F1166">
        <w:rPr>
          <w:lang w:val="mk-MK"/>
        </w:rPr>
        <w:t xml:space="preserve"> но и ограничена</w:t>
      </w:r>
      <w:r w:rsidR="00514A3B">
        <w:rPr>
          <w:lang w:val="mk-MK"/>
        </w:rPr>
        <w:t xml:space="preserve"> примена</w:t>
      </w:r>
      <w:r w:rsidR="0063028B" w:rsidRPr="002F1166">
        <w:rPr>
          <w:lang w:val="mk-MK"/>
        </w:rPr>
        <w:t xml:space="preserve"> бидејќи не ги предизвикува длабоките политички и економски структурани параметри кои ја создаваат експлоатацијата. </w:t>
      </w:r>
      <w:r w:rsidR="008316BD">
        <w:rPr>
          <w:lang w:val="mk-MK"/>
        </w:rPr>
        <w:t xml:space="preserve">Со начелното спроведување на </w:t>
      </w:r>
      <w:r w:rsidR="0063028B" w:rsidRPr="002F1166">
        <w:rPr>
          <w:lang w:val="mk-MK"/>
        </w:rPr>
        <w:t>институционалните форми на МОТ</w:t>
      </w:r>
      <w:r w:rsidR="008316BD">
        <w:rPr>
          <w:lang w:val="mk-MK"/>
        </w:rPr>
        <w:t>, во поглед на</w:t>
      </w:r>
      <w:r w:rsidR="0063028B" w:rsidRPr="002F1166">
        <w:rPr>
          <w:lang w:val="mk-MK"/>
        </w:rPr>
        <w:t xml:space="preserve"> стандарди, техничка помош</w:t>
      </w:r>
      <w:r w:rsidR="008316BD">
        <w:rPr>
          <w:lang w:val="mk-MK"/>
        </w:rPr>
        <w:t xml:space="preserve"> и трипартизам</w:t>
      </w:r>
      <w:r w:rsidR="00532AF8">
        <w:rPr>
          <w:lang w:val="mk-MK"/>
        </w:rPr>
        <w:t xml:space="preserve">, Македонија го направила првиот чекор кон усогласеност. Сепак, </w:t>
      </w:r>
      <w:r w:rsidR="00B96FB2">
        <w:rPr>
          <w:lang w:val="mk-MK"/>
        </w:rPr>
        <w:t xml:space="preserve">доколку државата навистина сака да го спроведе </w:t>
      </w:r>
      <w:r w:rsidR="00CB3FCC">
        <w:rPr>
          <w:lang w:val="mk-MK"/>
        </w:rPr>
        <w:t xml:space="preserve">значењето на стандардите на МОТ, преостануваат уште неколку чекори за целосно искористување на нивната вредност. </w:t>
      </w:r>
    </w:p>
    <w:p w14:paraId="73C509F8" w14:textId="4B8F8276" w:rsidR="004F7CF4" w:rsidRPr="004F7CF4" w:rsidRDefault="00C30B79" w:rsidP="009330C0">
      <w:pPr>
        <w:pStyle w:val="Heading1"/>
        <w:numPr>
          <w:ilvl w:val="0"/>
          <w:numId w:val="10"/>
        </w:numPr>
        <w:spacing w:before="0"/>
        <w:jc w:val="both"/>
      </w:pPr>
      <w:bookmarkStart w:id="32" w:name="_Toc230523885"/>
      <w:r w:rsidRPr="00C30B79">
        <w:lastRenderedPageBreak/>
        <w:t>Принципи на корпоративно управување на ОЕЦД</w:t>
      </w:r>
      <w:bookmarkEnd w:id="32"/>
      <w:r w:rsidRPr="00C30B79">
        <w:t xml:space="preserve"> </w:t>
      </w:r>
    </w:p>
    <w:p w14:paraId="3572F01C" w14:textId="186B434C" w:rsidR="004F7CF4" w:rsidRDefault="00BE6323" w:rsidP="00BE6323">
      <w:pPr>
        <w:pStyle w:val="BodyText"/>
        <w:spacing w:before="240"/>
        <w:ind w:firstLine="720"/>
        <w:jc w:val="both"/>
        <w:rPr>
          <w:lang w:val="mk-MK"/>
        </w:rPr>
      </w:pPr>
      <w:r w:rsidRPr="00BE6323">
        <w:rPr>
          <w:lang w:val="mk-MK"/>
        </w:rPr>
        <w:t xml:space="preserve">Принципите на корпоративно управување на Организацијата за економска соработка и развој (ОЕЦД) претставуваат најшироко прифатена меѓународна рамка за уредување на односите </w:t>
      </w:r>
      <w:r w:rsidR="00005A1A">
        <w:rPr>
          <w:lang w:val="mk-MK"/>
        </w:rPr>
        <w:t>помеѓу</w:t>
      </w:r>
      <w:r w:rsidRPr="00BE6323">
        <w:rPr>
          <w:lang w:val="mk-MK"/>
        </w:rPr>
        <w:t xml:space="preserve"> менаџментот, одборите, акционерите и пошироката група на засегнати страни.</w:t>
      </w:r>
      <w:r w:rsidR="00A6595C">
        <w:rPr>
          <w:rStyle w:val="FootnoteReference"/>
          <w:lang w:val="mk-MK"/>
        </w:rPr>
        <w:footnoteReference w:id="396"/>
      </w:r>
      <w:r w:rsidRPr="00BE6323">
        <w:rPr>
          <w:lang w:val="mk-MK"/>
        </w:rPr>
        <w:t xml:space="preserve"> Првично усвоени во 1999 година, ревидирани во 2004 и 2015, а потоа повторно во 2023 година, овие принципи се развиваа</w:t>
      </w:r>
      <w:r w:rsidR="0041127A">
        <w:rPr>
          <w:lang w:val="mk-MK"/>
        </w:rPr>
        <w:t>т</w:t>
      </w:r>
      <w:r w:rsidRPr="00BE6323">
        <w:rPr>
          <w:lang w:val="mk-MK"/>
        </w:rPr>
        <w:t xml:space="preserve"> паралелно со трансформацијата на корпоративниот капитализам</w:t>
      </w:r>
      <w:r w:rsidR="0041127A">
        <w:rPr>
          <w:lang w:val="mk-MK"/>
        </w:rPr>
        <w:t>,</w:t>
      </w:r>
      <w:r w:rsidRPr="00BE6323">
        <w:rPr>
          <w:lang w:val="mk-MK"/>
        </w:rPr>
        <w:t xml:space="preserve"> од модел заснован исклучиво на акционерската вредност кон модел што се обидува да го интегрира концептот на одговорно и инклузивно управување</w:t>
      </w:r>
      <w:r w:rsidR="005B124E">
        <w:rPr>
          <w:lang w:val="mk-MK"/>
        </w:rPr>
        <w:t xml:space="preserve">, </w:t>
      </w:r>
      <w:r w:rsidR="00DA7360">
        <w:rPr>
          <w:lang w:val="mk-MK"/>
        </w:rPr>
        <w:t>како и да тоа треба да се разбере</w:t>
      </w:r>
      <w:r w:rsidR="005B124E">
        <w:rPr>
          <w:lang w:val="mk-MK"/>
        </w:rPr>
        <w:t xml:space="preserve"> во денешниот глобален контекст</w:t>
      </w:r>
      <w:r w:rsidR="00D60F28">
        <w:rPr>
          <w:lang w:val="en-US"/>
        </w:rPr>
        <w:t>.</w:t>
      </w:r>
    </w:p>
    <w:p w14:paraId="53DA94B2" w14:textId="1CF52940" w:rsidR="003077D0" w:rsidRDefault="00245BBA" w:rsidP="00BE6323">
      <w:pPr>
        <w:pStyle w:val="BodyText"/>
        <w:spacing w:before="240"/>
        <w:ind w:firstLine="720"/>
        <w:jc w:val="both"/>
        <w:rPr>
          <w:lang w:val="en-US"/>
        </w:rPr>
      </w:pPr>
      <w:r w:rsidRPr="00245BBA">
        <w:rPr>
          <w:lang w:val="mk-MK"/>
        </w:rPr>
        <w:t xml:space="preserve">Новата ревизија од 2023 година особено нагласува дека одржливото корпоративно управување не може да се постигне без активно вклучување на засегнатите страни, вклучувајќи ги и вработените, како носители на човечки капитал и институционална меморија на претпријатието. Со тоа, ОЕЦД принципите преминуваат од класичната парадигма на </w:t>
      </w:r>
      <w:r w:rsidR="003E57B9">
        <w:rPr>
          <w:lang w:val="mk-MK"/>
        </w:rPr>
        <w:t>апсолутно прве</w:t>
      </w:r>
      <w:r w:rsidR="00727BB9">
        <w:rPr>
          <w:lang w:val="mk-MK"/>
        </w:rPr>
        <w:t>н</w:t>
      </w:r>
      <w:r w:rsidR="003E57B9">
        <w:rPr>
          <w:lang w:val="mk-MK"/>
        </w:rPr>
        <w:t>ст</w:t>
      </w:r>
      <w:r w:rsidR="00727BB9">
        <w:rPr>
          <w:lang w:val="mk-MK"/>
        </w:rPr>
        <w:t>в</w:t>
      </w:r>
      <w:r w:rsidR="003E57B9">
        <w:rPr>
          <w:lang w:val="mk-MK"/>
        </w:rPr>
        <w:t>о на акционерите</w:t>
      </w:r>
      <w:r w:rsidRPr="00245BBA">
        <w:rPr>
          <w:lang w:val="mk-MK"/>
        </w:rPr>
        <w:t xml:space="preserve"> кон </w:t>
      </w:r>
      <w:r w:rsidR="00271B57">
        <w:rPr>
          <w:lang w:val="mk-MK"/>
        </w:rPr>
        <w:t>владеење со сите страни</w:t>
      </w:r>
      <w:r w:rsidRPr="00245BBA">
        <w:rPr>
          <w:lang w:val="mk-MK"/>
        </w:rPr>
        <w:t>, што претставува суштинска промена во глобалниот дискурс за корпоративната одговорност</w:t>
      </w:r>
      <w:r w:rsidR="00271B57">
        <w:rPr>
          <w:lang w:val="mk-MK"/>
        </w:rPr>
        <w:t>.</w:t>
      </w:r>
      <w:r w:rsidR="00C86B1F">
        <w:rPr>
          <w:rStyle w:val="FootnoteReference"/>
          <w:lang w:val="mk-MK"/>
        </w:rPr>
        <w:footnoteReference w:id="397"/>
      </w:r>
      <w:r w:rsidRPr="00245BBA">
        <w:rPr>
          <w:lang w:val="mk-MK"/>
        </w:rPr>
        <w:t xml:space="preserve"> </w:t>
      </w:r>
      <w:r w:rsidR="00D038DD" w:rsidRPr="00D038DD">
        <w:rPr>
          <w:lang w:val="mk-MK"/>
        </w:rPr>
        <w:t>Иако ОЕЦД принципите не се правно обврзувачки, тие имаат квази-нормативен ефект во меѓународната практика, бидејќи служат како референтна точка за законодавства, корпоративни кодекси и меѓународни финансиски институции. Најрелевантните одредби за темата на ова поглавје се наоѓаат во Принципот IV („</w:t>
      </w:r>
      <w:r w:rsidR="008B743F" w:rsidRPr="00D038DD">
        <w:rPr>
          <w:lang w:val="mk-MK"/>
        </w:rPr>
        <w:t>Disclosure and Transparency</w:t>
      </w:r>
      <w:r w:rsidR="00D038DD" w:rsidRPr="00D038DD">
        <w:rPr>
          <w:lang w:val="mk-MK"/>
        </w:rPr>
        <w:t>“)</w:t>
      </w:r>
      <w:r w:rsidR="0058396E">
        <w:rPr>
          <w:lang w:val="en-US"/>
        </w:rPr>
        <w:t>,</w:t>
      </w:r>
      <w:r w:rsidR="00D038DD" w:rsidRPr="00D038DD">
        <w:rPr>
          <w:lang w:val="mk-MK"/>
        </w:rPr>
        <w:t xml:space="preserve"> Принципот V („</w:t>
      </w:r>
      <w:r w:rsidR="003077D0" w:rsidRPr="003077D0">
        <w:rPr>
          <w:lang w:val="mk-MK"/>
        </w:rPr>
        <w:t>The responsibilities of the boar</w:t>
      </w:r>
      <w:r w:rsidR="003077D0">
        <w:rPr>
          <w:lang w:val="en-US"/>
        </w:rPr>
        <w:t>d</w:t>
      </w:r>
      <w:r w:rsidR="00D038DD" w:rsidRPr="00D038DD">
        <w:rPr>
          <w:lang w:val="mk-MK"/>
        </w:rPr>
        <w:t>“)</w:t>
      </w:r>
      <w:r w:rsidR="0058396E">
        <w:rPr>
          <w:lang w:val="en-US"/>
        </w:rPr>
        <w:t xml:space="preserve"> </w:t>
      </w:r>
      <w:r w:rsidR="0058396E">
        <w:rPr>
          <w:lang w:val="mk-MK"/>
        </w:rPr>
        <w:t xml:space="preserve">и Принципот </w:t>
      </w:r>
      <w:r w:rsidR="0058396E" w:rsidRPr="0058396E">
        <w:rPr>
          <w:lang w:val="mk-MK"/>
        </w:rPr>
        <w:t>VI</w:t>
      </w:r>
      <w:r w:rsidR="0058396E">
        <w:rPr>
          <w:lang w:val="mk-MK"/>
        </w:rPr>
        <w:t xml:space="preserve"> (</w:t>
      </w:r>
      <w:r w:rsidR="0058396E" w:rsidRPr="0058396E">
        <w:rPr>
          <w:lang w:val="mk-MK"/>
        </w:rPr>
        <w:t>Sustainability and resilience</w:t>
      </w:r>
      <w:r w:rsidR="0058396E">
        <w:rPr>
          <w:lang w:val="mk-MK"/>
        </w:rPr>
        <w:t>)</w:t>
      </w:r>
      <w:r w:rsidR="003077D0">
        <w:rPr>
          <w:lang w:val="en-US"/>
        </w:rPr>
        <w:t>.</w:t>
      </w:r>
    </w:p>
    <w:p w14:paraId="57E31DE9" w14:textId="24C5944A" w:rsidR="005B124E" w:rsidRDefault="003077D0" w:rsidP="00DC647A">
      <w:pPr>
        <w:pStyle w:val="BodyText"/>
        <w:spacing w:before="240"/>
        <w:ind w:firstLine="720"/>
        <w:jc w:val="both"/>
        <w:rPr>
          <w:lang w:val="en-US"/>
        </w:rPr>
      </w:pPr>
      <w:r w:rsidRPr="003077D0">
        <w:rPr>
          <w:lang w:val="mk-MK"/>
        </w:rPr>
        <w:t xml:space="preserve">Принципот </w:t>
      </w:r>
      <w:r>
        <w:rPr>
          <w:lang w:val="en-US"/>
        </w:rPr>
        <w:t>I</w:t>
      </w:r>
      <w:r w:rsidRPr="003077D0">
        <w:rPr>
          <w:lang w:val="mk-MK"/>
        </w:rPr>
        <w:t>V ја поврзува транспарентноста со корпоративната одговорност, барајќи од компаниите да објавуваат податоци за односите со вработените, политиките за човекови права и праксата за работна инклузија, што претставува индиректно, но суштинско признавање на вработените како клучен фактор во корпоративната легитимност.</w:t>
      </w:r>
      <w:r w:rsidR="00DC647A">
        <w:rPr>
          <w:lang w:val="en-US"/>
        </w:rPr>
        <w:t xml:space="preserve"> </w:t>
      </w:r>
      <w:r w:rsidR="00D038DD" w:rsidRPr="00D038DD">
        <w:rPr>
          <w:lang w:val="mk-MK"/>
        </w:rPr>
        <w:t>Принцип</w:t>
      </w:r>
      <w:r w:rsidR="0058396E">
        <w:rPr>
          <w:lang w:val="mk-MK"/>
        </w:rPr>
        <w:t>и</w:t>
      </w:r>
      <w:r w:rsidR="00D038DD" w:rsidRPr="00D038DD">
        <w:rPr>
          <w:lang w:val="mk-MK"/>
        </w:rPr>
        <w:t>т</w:t>
      </w:r>
      <w:r w:rsidR="0058396E">
        <w:rPr>
          <w:lang w:val="mk-MK"/>
        </w:rPr>
        <w:t>е</w:t>
      </w:r>
      <w:r w:rsidR="00D038DD" w:rsidRPr="00D038DD">
        <w:rPr>
          <w:lang w:val="mk-MK"/>
        </w:rPr>
        <w:t xml:space="preserve"> V</w:t>
      </w:r>
      <w:r w:rsidR="0058396E">
        <w:rPr>
          <w:lang w:val="mk-MK"/>
        </w:rPr>
        <w:t xml:space="preserve"> и </w:t>
      </w:r>
      <w:r w:rsidR="0058396E">
        <w:rPr>
          <w:lang w:val="en-US"/>
        </w:rPr>
        <w:t>VI</w:t>
      </w:r>
      <w:r w:rsidR="00DC647A">
        <w:rPr>
          <w:lang w:val="mk-MK"/>
        </w:rPr>
        <w:t>, пак,</w:t>
      </w:r>
      <w:r w:rsidR="00D038DD" w:rsidRPr="00D038DD">
        <w:rPr>
          <w:lang w:val="mk-MK"/>
        </w:rPr>
        <w:t xml:space="preserve"> препознава</w:t>
      </w:r>
      <w:r w:rsidR="0058396E">
        <w:rPr>
          <w:lang w:val="mk-MK"/>
        </w:rPr>
        <w:t>ат</w:t>
      </w:r>
      <w:r w:rsidR="00D038DD" w:rsidRPr="00D038DD">
        <w:rPr>
          <w:lang w:val="mk-MK"/>
        </w:rPr>
        <w:t xml:space="preserve"> дека „ефикасното корпоративно управување зависи од конструктивното вклучување на засегнатите страни, вклучувајќи ги и вработените, кои придонесуваат кон долгорочниот успех на компанијата“</w:t>
      </w:r>
      <w:r w:rsidR="00C049FC">
        <w:rPr>
          <w:lang w:val="mk-MK"/>
        </w:rPr>
        <w:t xml:space="preserve">. </w:t>
      </w:r>
      <w:r w:rsidR="00D038DD" w:rsidRPr="00D038DD">
        <w:rPr>
          <w:lang w:val="mk-MK"/>
        </w:rPr>
        <w:t>Т</w:t>
      </w:r>
      <w:r w:rsidR="00C049FC">
        <w:rPr>
          <w:lang w:val="mk-MK"/>
        </w:rPr>
        <w:t>ие</w:t>
      </w:r>
      <w:r w:rsidR="00D038DD" w:rsidRPr="00D038DD">
        <w:rPr>
          <w:lang w:val="mk-MK"/>
        </w:rPr>
        <w:t xml:space="preserve"> </w:t>
      </w:r>
      <w:r w:rsidR="00372C2A">
        <w:rPr>
          <w:lang w:val="mk-MK"/>
        </w:rPr>
        <w:t xml:space="preserve">ги </w:t>
      </w:r>
      <w:r w:rsidR="00D038DD" w:rsidRPr="00D038DD">
        <w:rPr>
          <w:lang w:val="mk-MK"/>
        </w:rPr>
        <w:t>повикува</w:t>
      </w:r>
      <w:r w:rsidR="00C049FC">
        <w:rPr>
          <w:lang w:val="mk-MK"/>
        </w:rPr>
        <w:t>ат</w:t>
      </w:r>
      <w:r w:rsidR="00D038DD" w:rsidRPr="00D038DD">
        <w:rPr>
          <w:lang w:val="mk-MK"/>
        </w:rPr>
        <w:t xml:space="preserve"> државите да создадат законска и институционална рамка што ги охрабрува компаниите да воспостават механизми за информации, консултации и учество на вработените</w:t>
      </w:r>
      <w:r w:rsidR="004E7474">
        <w:rPr>
          <w:lang w:val="mk-MK"/>
        </w:rPr>
        <w:t xml:space="preserve">, </w:t>
      </w:r>
      <w:r w:rsidR="00D038DD" w:rsidRPr="00D038DD">
        <w:rPr>
          <w:lang w:val="mk-MK"/>
        </w:rPr>
        <w:t>било преку закон, колективни договори или интерни корпоративни политики.</w:t>
      </w:r>
      <w:r w:rsidR="00D21056">
        <w:rPr>
          <w:rStyle w:val="FootnoteReference"/>
          <w:lang w:val="mk-MK"/>
        </w:rPr>
        <w:footnoteReference w:id="398"/>
      </w:r>
    </w:p>
    <w:p w14:paraId="529D3236" w14:textId="28C6C83A" w:rsidR="00F329B0" w:rsidRDefault="00F329B0" w:rsidP="009C1DE4">
      <w:pPr>
        <w:pStyle w:val="BodyText"/>
        <w:spacing w:before="240"/>
        <w:ind w:firstLine="720"/>
        <w:jc w:val="both"/>
        <w:rPr>
          <w:lang w:val="mk-MK"/>
        </w:rPr>
      </w:pPr>
      <w:r w:rsidRPr="00F329B0">
        <w:rPr>
          <w:lang w:val="mk-MK"/>
        </w:rPr>
        <w:t xml:space="preserve">Различните земји на ОЕЦД ја толкуваат и применуваат оваа рамка на различни начини, во зависност од правната традиција и институционалниот контекст. Во континентална Европа, особено во Германија, Холандија и скандинавските земји, работничкото учество е структурно вградено во корпоративното управување преку модели на Mitbestimmung (коодлучување) и претставеност во надзорните одбори. </w:t>
      </w:r>
      <w:r w:rsidR="00EB546A">
        <w:rPr>
          <w:lang w:val="mk-MK"/>
        </w:rPr>
        <w:t>Како што беше претходно објаснето, в</w:t>
      </w:r>
      <w:r w:rsidRPr="00F329B0">
        <w:rPr>
          <w:lang w:val="mk-MK"/>
        </w:rPr>
        <w:t>о овие системи вработените не се третираат само како економски актери, туку како субјекти на корпоративна власт, што создава</w:t>
      </w:r>
      <w:r w:rsidR="00EB546A">
        <w:rPr>
          <w:lang w:val="mk-MK"/>
        </w:rPr>
        <w:t>ат</w:t>
      </w:r>
      <w:r w:rsidRPr="00F329B0">
        <w:rPr>
          <w:lang w:val="mk-MK"/>
        </w:rPr>
        <w:t xml:space="preserve"> институционална стабилност и доверба</w:t>
      </w:r>
      <w:r w:rsidR="00EB546A">
        <w:rPr>
          <w:lang w:val="mk-MK"/>
        </w:rPr>
        <w:t>.</w:t>
      </w:r>
      <w:r w:rsidR="005669B3">
        <w:rPr>
          <w:lang w:val="mk-MK"/>
        </w:rPr>
        <w:t xml:space="preserve"> </w:t>
      </w:r>
      <w:r w:rsidR="005669B3" w:rsidRPr="005669B3">
        <w:rPr>
          <w:lang w:val="mk-MK"/>
        </w:rPr>
        <w:t xml:space="preserve">Во англосаксонските јурисдикции, напротив, </w:t>
      </w:r>
      <w:r w:rsidR="005669B3" w:rsidRPr="005669B3">
        <w:rPr>
          <w:lang w:val="mk-MK"/>
        </w:rPr>
        <w:lastRenderedPageBreak/>
        <w:t>доминира моделот на</w:t>
      </w:r>
      <w:r w:rsidR="005669B3">
        <w:rPr>
          <w:lang w:val="mk-MK"/>
        </w:rPr>
        <w:t xml:space="preserve"> примат на акционерите</w:t>
      </w:r>
      <w:r w:rsidR="005669B3" w:rsidRPr="005669B3">
        <w:rPr>
          <w:lang w:val="mk-MK"/>
        </w:rPr>
        <w:t xml:space="preserve"> </w:t>
      </w:r>
      <w:r w:rsidR="005669B3">
        <w:rPr>
          <w:lang w:val="mk-MK"/>
        </w:rPr>
        <w:t>(</w:t>
      </w:r>
      <w:r w:rsidR="005669B3" w:rsidRPr="005669B3">
        <w:rPr>
          <w:lang w:val="mk-MK"/>
        </w:rPr>
        <w:t>shareholder primacy</w:t>
      </w:r>
      <w:r w:rsidR="005669B3">
        <w:rPr>
          <w:lang w:val="mk-MK"/>
        </w:rPr>
        <w:t>)</w:t>
      </w:r>
      <w:r w:rsidR="005669B3" w:rsidRPr="005669B3">
        <w:rPr>
          <w:lang w:val="mk-MK"/>
        </w:rPr>
        <w:t xml:space="preserve">, каде вработените се сметаат за </w:t>
      </w:r>
      <w:r w:rsidR="009C1DE4">
        <w:rPr>
          <w:lang w:val="mk-MK"/>
        </w:rPr>
        <w:t>ангажирани</w:t>
      </w:r>
      <w:r w:rsidR="005669B3" w:rsidRPr="005669B3">
        <w:rPr>
          <w:lang w:val="mk-MK"/>
        </w:rPr>
        <w:t xml:space="preserve"> партнери, а не за засегнати страни во управувачката структура. Сепак, по финансиската криза од 2008 година и особено по усвојувањето на</w:t>
      </w:r>
      <w:r w:rsidR="00C263F4">
        <w:rPr>
          <w:lang w:val="en-US"/>
        </w:rPr>
        <w:t xml:space="preserve"> </w:t>
      </w:r>
      <w:r w:rsidR="00C263F4">
        <w:rPr>
          <w:lang w:val="mk-MK"/>
        </w:rPr>
        <w:t>одржливата цел за развој број 8/</w:t>
      </w:r>
      <w:r w:rsidR="005669B3" w:rsidRPr="005669B3">
        <w:rPr>
          <w:lang w:val="mk-MK"/>
        </w:rPr>
        <w:t>SDG 8 („Decent Work and Economic Growth“), Велика Британија, САД и Австралија почнаа да воведуваат механизми за</w:t>
      </w:r>
      <w:r w:rsidR="00C263F4">
        <w:rPr>
          <w:lang w:val="mk-MK"/>
        </w:rPr>
        <w:t xml:space="preserve"> вклучување</w:t>
      </w:r>
      <w:r w:rsidR="005669B3" w:rsidRPr="005669B3">
        <w:rPr>
          <w:lang w:val="mk-MK"/>
        </w:rPr>
        <w:t xml:space="preserve"> </w:t>
      </w:r>
      <w:r w:rsidR="00C263F4">
        <w:rPr>
          <w:lang w:val="mk-MK"/>
        </w:rPr>
        <w:t>(</w:t>
      </w:r>
      <w:r w:rsidR="005669B3" w:rsidRPr="005669B3">
        <w:rPr>
          <w:lang w:val="mk-MK"/>
        </w:rPr>
        <w:t>board-level engagement</w:t>
      </w:r>
      <w:r w:rsidR="00C263F4">
        <w:rPr>
          <w:lang w:val="mk-MK"/>
        </w:rPr>
        <w:t>)</w:t>
      </w:r>
      <w:r w:rsidR="005669B3" w:rsidRPr="005669B3">
        <w:rPr>
          <w:lang w:val="mk-MK"/>
        </w:rPr>
        <w:t>, како што се комитети</w:t>
      </w:r>
      <w:r w:rsidR="00C263F4">
        <w:rPr>
          <w:lang w:val="mk-MK"/>
        </w:rPr>
        <w:t>те</w:t>
      </w:r>
      <w:r w:rsidR="005669B3" w:rsidRPr="005669B3">
        <w:rPr>
          <w:lang w:val="mk-MK"/>
        </w:rPr>
        <w:t xml:space="preserve"> за човечки капитал или обврски за известување за „stakeholder interests“ во корпоративните извештаи</w:t>
      </w:r>
      <w:r w:rsidR="003421C0">
        <w:rPr>
          <w:lang w:val="en-US"/>
        </w:rPr>
        <w:t>.</w:t>
      </w:r>
      <w:r w:rsidR="002E1DDF">
        <w:rPr>
          <w:rStyle w:val="FootnoteReference"/>
          <w:lang w:val="en-US"/>
        </w:rPr>
        <w:footnoteReference w:id="399"/>
      </w:r>
    </w:p>
    <w:p w14:paraId="57747D6C" w14:textId="51D8B244" w:rsidR="009D1084" w:rsidRDefault="005B48CD" w:rsidP="009330C0">
      <w:pPr>
        <w:pStyle w:val="Heading2"/>
        <w:numPr>
          <w:ilvl w:val="1"/>
          <w:numId w:val="13"/>
        </w:numPr>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33" w:name="_Toc230523886"/>
      <w:r w:rsidR="00D66115" w:rsidRPr="00D66115">
        <w:rPr>
          <w:rFonts w:ascii="Times New Roman" w:hAnsi="Times New Roman" w:cs="Times New Roman"/>
          <w:b w:val="0"/>
          <w:bCs w:val="0"/>
          <w:color w:val="000000" w:themeColor="text1"/>
          <w:sz w:val="24"/>
          <w:szCs w:val="24"/>
          <w:lang w:val="mk-MK"/>
        </w:rPr>
        <w:t>Принципот IV на ОЕЦД: „Објавување и транспарентност“</w:t>
      </w:r>
      <w:bookmarkEnd w:id="33"/>
    </w:p>
    <w:p w14:paraId="7D7B9446" w14:textId="7CE9464A" w:rsidR="00B6514E" w:rsidRDefault="000F7968" w:rsidP="000F7968">
      <w:pPr>
        <w:pStyle w:val="BodyText"/>
        <w:spacing w:before="240"/>
        <w:ind w:firstLine="720"/>
        <w:jc w:val="both"/>
        <w:rPr>
          <w:lang w:val="mk-MK"/>
        </w:rPr>
      </w:pPr>
      <w:r w:rsidRPr="000F7968">
        <w:rPr>
          <w:lang w:val="mk-MK"/>
        </w:rPr>
        <w:t>Принципот IV од ОЕЦД Принципите за корпоративно управување претставува еден од темелните столбови на современото корпоративно управување. Неговата суштинска цел е обезбедување навремено, прецизно и сеопфатно обелоденување на клучни информации кои им овозможуваат на акционерите, работниците, доверителите, регулаторите и пошироката јавност да ја проценат состојбата, перформансите и интегритетот на корпорацијата. Во тој смисол, транспарентноста е неутралната инфраструктура која овозможува учество, надзор и одговорност.</w:t>
      </w:r>
      <w:r w:rsidR="00031A7C">
        <w:rPr>
          <w:rStyle w:val="FootnoteReference"/>
          <w:lang w:val="mk-MK"/>
        </w:rPr>
        <w:footnoteReference w:id="400"/>
      </w:r>
      <w:r w:rsidR="00031A7C">
        <w:rPr>
          <w:lang w:val="en-US"/>
        </w:rPr>
        <w:t xml:space="preserve"> </w:t>
      </w:r>
    </w:p>
    <w:p w14:paraId="366A1A4F" w14:textId="5EDC66DD" w:rsidR="005261A7" w:rsidRDefault="005261A7" w:rsidP="000F7968">
      <w:pPr>
        <w:pStyle w:val="BodyText"/>
        <w:spacing w:before="240"/>
        <w:ind w:firstLine="720"/>
        <w:jc w:val="both"/>
        <w:rPr>
          <w:lang w:val="mk-MK"/>
        </w:rPr>
      </w:pPr>
      <w:r w:rsidRPr="005261A7">
        <w:rPr>
          <w:lang w:val="mk-MK"/>
        </w:rPr>
        <w:t>Принципот бара корпорациите да објавуваат информации за финансиската состојба;</w:t>
      </w:r>
      <w:r w:rsidR="00E86579">
        <w:rPr>
          <w:rStyle w:val="FootnoteReference"/>
          <w:lang w:val="mk-MK"/>
        </w:rPr>
        <w:footnoteReference w:id="401"/>
      </w:r>
      <w:r w:rsidRPr="005261A7">
        <w:rPr>
          <w:lang w:val="mk-MK"/>
        </w:rPr>
        <w:t xml:space="preserve"> цели</w:t>
      </w:r>
      <w:r w:rsidR="00E86579">
        <w:rPr>
          <w:lang w:val="mk-MK"/>
        </w:rPr>
        <w:t>те</w:t>
      </w:r>
      <w:r w:rsidRPr="005261A7">
        <w:rPr>
          <w:lang w:val="mk-MK"/>
        </w:rPr>
        <w:t>, стратегија</w:t>
      </w:r>
      <w:r w:rsidR="00E86579">
        <w:rPr>
          <w:lang w:val="mk-MK"/>
        </w:rPr>
        <w:t>та</w:t>
      </w:r>
      <w:r w:rsidRPr="005261A7">
        <w:rPr>
          <w:lang w:val="mk-MK"/>
        </w:rPr>
        <w:t xml:space="preserve"> и корпоративна</w:t>
      </w:r>
      <w:r w:rsidR="00E86579">
        <w:rPr>
          <w:lang w:val="mk-MK"/>
        </w:rPr>
        <w:t>та</w:t>
      </w:r>
      <w:r w:rsidRPr="005261A7">
        <w:rPr>
          <w:lang w:val="mk-MK"/>
        </w:rPr>
        <w:t xml:space="preserve"> структура</w:t>
      </w:r>
      <w:r w:rsidR="00E86579">
        <w:rPr>
          <w:lang w:val="mk-MK"/>
        </w:rPr>
        <w:t xml:space="preserve"> на компанијата</w:t>
      </w:r>
      <w:r w:rsidRPr="005261A7">
        <w:rPr>
          <w:lang w:val="mk-MK"/>
        </w:rPr>
        <w:t xml:space="preserve">; материјални ризици, вклучувајќи финансиски, оперативни, регулаторни и еколошки ризици; сопственичка структура и права на глас; внатрешни политики, како што се политики за надоместоци, системи за внатрешна контрола, процедури за управување со ризици; </w:t>
      </w:r>
      <w:r w:rsidR="00FE3A1A">
        <w:rPr>
          <w:lang w:val="mk-MK"/>
        </w:rPr>
        <w:t xml:space="preserve">и </w:t>
      </w:r>
      <w:r w:rsidRPr="005261A7">
        <w:rPr>
          <w:lang w:val="mk-MK"/>
        </w:rPr>
        <w:t>нетрадиционални нефинансиски информации, меѓу кои прашања од областа на трудот, човековите права, животната средина и одржливоста. Логиката на ОЕЦД е дека транспарентноста создава „информативен екосистем“ преку кој пазарите можат поефикасно да функционираат, а внатрешните и надворешните засегнати страни да ги минимизираат асиметриите на информации.</w:t>
      </w:r>
      <w:r w:rsidR="003052EF">
        <w:rPr>
          <w:rStyle w:val="FootnoteReference"/>
          <w:lang w:val="mk-MK"/>
        </w:rPr>
        <w:footnoteReference w:id="402"/>
      </w:r>
    </w:p>
    <w:p w14:paraId="6CCEFD1C" w14:textId="5F9DA97D" w:rsidR="00793288" w:rsidRDefault="00793288" w:rsidP="000F7968">
      <w:pPr>
        <w:pStyle w:val="BodyText"/>
        <w:spacing w:before="240"/>
        <w:ind w:firstLine="720"/>
        <w:jc w:val="both"/>
        <w:rPr>
          <w:lang w:val="mk-MK"/>
        </w:rPr>
      </w:pPr>
      <w:r w:rsidRPr="00793288">
        <w:rPr>
          <w:lang w:val="mk-MK"/>
        </w:rPr>
        <w:t>Иако Принципот IV се претставува како технократски и неутрален, неговата подлога е јасно либерално-економска. Транспарентноста е замислена како механизам за намалување на проблемот на „principal–agent“, каде што акционерите мора</w:t>
      </w:r>
      <w:r w:rsidR="004E5646">
        <w:rPr>
          <w:lang w:val="mk-MK"/>
        </w:rPr>
        <w:t>ат</w:t>
      </w:r>
      <w:r w:rsidRPr="00793288">
        <w:rPr>
          <w:lang w:val="mk-MK"/>
        </w:rPr>
        <w:t xml:space="preserve"> да го контролираат менаџментот</w:t>
      </w:r>
      <w:r w:rsidR="004E5646">
        <w:rPr>
          <w:lang w:val="mk-MK"/>
        </w:rPr>
        <w:t>, за</w:t>
      </w:r>
      <w:r w:rsidRPr="00793288">
        <w:rPr>
          <w:lang w:val="mk-MK"/>
        </w:rPr>
        <w:t xml:space="preserve"> подобрување на ефикасноста на пазарот, преку поинформирани инвеститори</w:t>
      </w:r>
      <w:r w:rsidR="004E5646">
        <w:rPr>
          <w:lang w:val="mk-MK"/>
        </w:rPr>
        <w:t xml:space="preserve"> и за</w:t>
      </w:r>
      <w:r w:rsidRPr="00793288">
        <w:rPr>
          <w:lang w:val="mk-MK"/>
        </w:rPr>
        <w:t xml:space="preserve"> зголемување на довербата во корпоративниот сектор, особено во посттранзициски и новоразвиени економии. </w:t>
      </w:r>
      <w:r w:rsidR="004E5646">
        <w:rPr>
          <w:lang w:val="mk-MK"/>
        </w:rPr>
        <w:t>К</w:t>
      </w:r>
      <w:r w:rsidRPr="00793288">
        <w:rPr>
          <w:lang w:val="mk-MK"/>
        </w:rPr>
        <w:t>ритички гледано, овој концепт ја игнорира распределбата на моќ во претпријатието. Транспарентноста инструментализира знаење за да им овозможи на капиталните интереси да го следат раководството. Работниците, иако се признаени како засегната страна, не се централни субјекти кон кои е насочен системот за обелоденување, што го одразува односот на ОЕЦД кон корпоративното управување како примарно „shareholder-centric“.</w:t>
      </w:r>
      <w:r w:rsidR="00B1327B">
        <w:rPr>
          <w:rStyle w:val="FootnoteReference"/>
          <w:lang w:val="mk-MK"/>
        </w:rPr>
        <w:footnoteReference w:id="403"/>
      </w:r>
    </w:p>
    <w:p w14:paraId="0F6490A2" w14:textId="01FFA433" w:rsidR="00FA55DF" w:rsidRDefault="00FA55DF" w:rsidP="000F7968">
      <w:pPr>
        <w:pStyle w:val="BodyText"/>
        <w:spacing w:before="240"/>
        <w:ind w:firstLine="720"/>
        <w:jc w:val="both"/>
        <w:rPr>
          <w:lang w:val="mk-MK"/>
        </w:rPr>
      </w:pPr>
      <w:r w:rsidRPr="00FA55DF">
        <w:rPr>
          <w:lang w:val="mk-MK"/>
        </w:rPr>
        <w:t xml:space="preserve">И покрај тоа, Принципот IV отвора простор за проширена демократизација на </w:t>
      </w:r>
      <w:r w:rsidRPr="00FA55DF">
        <w:rPr>
          <w:lang w:val="mk-MK"/>
        </w:rPr>
        <w:lastRenderedPageBreak/>
        <w:t>корпоративните структури. ОЕЦД во последните ревизии</w:t>
      </w:r>
      <w:r w:rsidR="00CA597F">
        <w:rPr>
          <w:lang w:val="en-US"/>
        </w:rPr>
        <w:t>,</w:t>
      </w:r>
      <w:r w:rsidR="00CA597F">
        <w:rPr>
          <w:rStyle w:val="FootnoteReference"/>
          <w:lang w:val="en-US"/>
        </w:rPr>
        <w:footnoteReference w:id="404"/>
      </w:r>
      <w:r w:rsidRPr="00FA55DF">
        <w:rPr>
          <w:lang w:val="mk-MK"/>
        </w:rPr>
        <w:t xml:space="preserve"> ја нагласува важноста на обелоденување информации поврзани со практики за труд и работни услови; ризици поврзани со човечкиот капитал; политики за различност, инклузија и претставување; внатрешни механизми за пријавување злоупотреби; </w:t>
      </w:r>
      <w:r w:rsidR="00CC7361">
        <w:rPr>
          <w:lang w:val="mk-MK"/>
        </w:rPr>
        <w:t xml:space="preserve">и </w:t>
      </w:r>
      <w:r w:rsidRPr="00FA55DF">
        <w:rPr>
          <w:lang w:val="mk-MK"/>
        </w:rPr>
        <w:t>ESG индикатори и одржливост. Ова е значајно бидејќи ваквото нефинансиско известување е мост помеѓу класичната либерална корпоративна транспарентност и современите модели на stakeholder governance. Работниците, како носители на нефинансиски ризици и човечки капитал, логично се јавуваат како клучни актери во низата информации кои мора да бидат објавени.</w:t>
      </w:r>
      <w:r w:rsidR="006A2A9B">
        <w:rPr>
          <w:rStyle w:val="FootnoteReference"/>
          <w:lang w:val="mk-MK"/>
        </w:rPr>
        <w:footnoteReference w:id="405"/>
      </w:r>
      <w:r w:rsidRPr="00FA55DF">
        <w:rPr>
          <w:lang w:val="mk-MK"/>
        </w:rPr>
        <w:t xml:space="preserve"> Во оваа смисла, ОЕЦД постепено ги поврзува транспарентноста и партиципацијата. Информацијата е услов за учество</w:t>
      </w:r>
      <w:r w:rsidR="002550D4">
        <w:rPr>
          <w:lang w:val="mk-MK"/>
        </w:rPr>
        <w:t xml:space="preserve"> и </w:t>
      </w:r>
      <w:r w:rsidRPr="00FA55DF">
        <w:rPr>
          <w:lang w:val="mk-MK"/>
        </w:rPr>
        <w:t>работничките совети, синдикатите и претставниците на работниците</w:t>
      </w:r>
      <w:r w:rsidR="002550D4">
        <w:rPr>
          <w:lang w:val="mk-MK"/>
        </w:rPr>
        <w:t xml:space="preserve"> </w:t>
      </w:r>
      <w:r w:rsidRPr="00FA55DF">
        <w:rPr>
          <w:lang w:val="mk-MK"/>
        </w:rPr>
        <w:t>можат да преговараат, да учествуваат во одлуки и да вршат надзор само ако имаат навремен пристап до сите материјални информации.</w:t>
      </w:r>
    </w:p>
    <w:p w14:paraId="3B7A363D" w14:textId="411103F6" w:rsidR="002977E2" w:rsidRDefault="00E76316" w:rsidP="00262769">
      <w:pPr>
        <w:pStyle w:val="BodyText"/>
        <w:spacing w:before="240"/>
        <w:ind w:firstLine="720"/>
        <w:jc w:val="both"/>
        <w:rPr>
          <w:lang w:val="mk-MK"/>
        </w:rPr>
      </w:pPr>
      <w:r>
        <w:rPr>
          <w:lang w:val="mk-MK"/>
        </w:rPr>
        <w:t>Овој четврти принцип на ОЕЦД</w:t>
      </w:r>
      <w:r w:rsidR="00413158">
        <w:rPr>
          <w:lang w:val="mk-MK"/>
        </w:rPr>
        <w:t xml:space="preserve"> има</w:t>
      </w:r>
      <w:r>
        <w:rPr>
          <w:lang w:val="mk-MK"/>
        </w:rPr>
        <w:t xml:space="preserve"> и</w:t>
      </w:r>
      <w:r w:rsidR="00413158">
        <w:rPr>
          <w:lang w:val="mk-MK"/>
        </w:rPr>
        <w:t xml:space="preserve"> свои слабости, како на пример тоа што </w:t>
      </w:r>
      <w:r w:rsidR="00126B38" w:rsidRPr="00126B38">
        <w:rPr>
          <w:lang w:val="mk-MK"/>
        </w:rPr>
        <w:t>акционерите добиваат систематизиран, институционализиран пристап до обелоденувањето</w:t>
      </w:r>
      <w:r w:rsidR="00977492">
        <w:rPr>
          <w:lang w:val="mk-MK"/>
        </w:rPr>
        <w:t xml:space="preserve"> информации</w:t>
      </w:r>
      <w:r w:rsidR="00126B38" w:rsidRPr="00126B38">
        <w:rPr>
          <w:lang w:val="mk-MK"/>
        </w:rPr>
        <w:t>,</w:t>
      </w:r>
      <w:r w:rsidR="00977492">
        <w:rPr>
          <w:lang w:val="mk-MK"/>
        </w:rPr>
        <w:t xml:space="preserve"> додека</w:t>
      </w:r>
      <w:r w:rsidR="00126B38" w:rsidRPr="00126B38">
        <w:rPr>
          <w:lang w:val="mk-MK"/>
        </w:rPr>
        <w:t xml:space="preserve"> работничките претставници често се третираат како </w:t>
      </w:r>
      <w:r w:rsidR="00977492">
        <w:rPr>
          <w:lang w:val="mk-MK"/>
        </w:rPr>
        <w:t>второ</w:t>
      </w:r>
      <w:r w:rsidR="00126B38" w:rsidRPr="00126B38">
        <w:rPr>
          <w:lang w:val="mk-MK"/>
        </w:rPr>
        <w:t>степени корисници</w:t>
      </w:r>
      <w:r w:rsidR="00262769">
        <w:rPr>
          <w:lang w:val="mk-MK"/>
        </w:rPr>
        <w:t xml:space="preserve"> што всушност </w:t>
      </w:r>
      <w:r w:rsidR="00126B38" w:rsidRPr="00126B38">
        <w:rPr>
          <w:lang w:val="mk-MK"/>
        </w:rPr>
        <w:t>ја репродуцира корпоративната нееднаквост.</w:t>
      </w:r>
      <w:r w:rsidR="00262769">
        <w:rPr>
          <w:rStyle w:val="FootnoteReference"/>
          <w:lang w:val="mk-MK"/>
        </w:rPr>
        <w:footnoteReference w:id="406"/>
      </w:r>
      <w:r w:rsidR="00126B38" w:rsidRPr="00126B38">
        <w:rPr>
          <w:lang w:val="mk-MK"/>
        </w:rPr>
        <w:t xml:space="preserve"> </w:t>
      </w:r>
      <w:r w:rsidR="00262769">
        <w:rPr>
          <w:lang w:val="mk-MK"/>
        </w:rPr>
        <w:t>Понатаму, н</w:t>
      </w:r>
      <w:r w:rsidR="00126B38" w:rsidRPr="00126B38">
        <w:rPr>
          <w:lang w:val="mk-MK"/>
        </w:rPr>
        <w:t xml:space="preserve">ефинансиското известување е често инструментално и „козметичко“ </w:t>
      </w:r>
      <w:r w:rsidR="00262769">
        <w:rPr>
          <w:lang w:val="mk-MK"/>
        </w:rPr>
        <w:t xml:space="preserve">затоа што </w:t>
      </w:r>
      <w:r w:rsidR="00126B38" w:rsidRPr="00126B38">
        <w:rPr>
          <w:lang w:val="mk-MK"/>
        </w:rPr>
        <w:t>компаниите ги користат ESG и трудовите индикатори како PR алатка, а не како основа за внатрешна демократизација.</w:t>
      </w:r>
      <w:r w:rsidR="002977E2">
        <w:rPr>
          <w:rStyle w:val="FootnoteReference"/>
          <w:lang w:val="mk-MK"/>
        </w:rPr>
        <w:footnoteReference w:id="407"/>
      </w:r>
      <w:r w:rsidR="00126B38" w:rsidRPr="00126B38">
        <w:rPr>
          <w:lang w:val="mk-MK"/>
        </w:rPr>
        <w:t xml:space="preserve"> </w:t>
      </w:r>
      <w:r w:rsidR="002977E2">
        <w:rPr>
          <w:lang w:val="mk-MK"/>
        </w:rPr>
        <w:t>Често и т</w:t>
      </w:r>
      <w:r w:rsidR="00126B38" w:rsidRPr="00126B38">
        <w:rPr>
          <w:lang w:val="mk-MK"/>
        </w:rPr>
        <w:t xml:space="preserve">ранспарентноста не е доволна за учество </w:t>
      </w:r>
      <w:r w:rsidR="002977E2">
        <w:rPr>
          <w:lang w:val="mk-MK"/>
        </w:rPr>
        <w:t>затоа што</w:t>
      </w:r>
      <w:r w:rsidR="00126B38" w:rsidRPr="00126B38">
        <w:rPr>
          <w:lang w:val="mk-MK"/>
        </w:rPr>
        <w:t xml:space="preserve"> обезбедува информација, но не создава моќ. </w:t>
      </w:r>
      <w:r w:rsidR="00476C2A">
        <w:rPr>
          <w:lang w:val="mk-MK"/>
        </w:rPr>
        <w:t xml:space="preserve">Во ваков случај, </w:t>
      </w:r>
      <w:r w:rsidR="00476C2A" w:rsidRPr="00126B38">
        <w:rPr>
          <w:lang w:val="mk-MK"/>
        </w:rPr>
        <w:t>нефинансиските информации стануваат „мерливи“ и подложни на инвеститорска логика, што го намалува политичко-правниот карактер на работничките права.</w:t>
      </w:r>
      <w:r w:rsidR="00673DFC">
        <w:rPr>
          <w:rStyle w:val="FootnoteReference"/>
          <w:lang w:val="mk-MK"/>
        </w:rPr>
        <w:footnoteReference w:id="408"/>
      </w:r>
      <w:r w:rsidR="00476C2A" w:rsidRPr="00126B38">
        <w:rPr>
          <w:lang w:val="mk-MK"/>
        </w:rPr>
        <w:t xml:space="preserve"> </w:t>
      </w:r>
      <w:r w:rsidR="00126B38" w:rsidRPr="00126B38">
        <w:rPr>
          <w:lang w:val="mk-MK"/>
        </w:rPr>
        <w:t>За да има вистинско учество,</w:t>
      </w:r>
      <w:r w:rsidR="002977E2">
        <w:rPr>
          <w:lang w:val="mk-MK"/>
        </w:rPr>
        <w:t xml:space="preserve"> принципот мора да биде надополнет со</w:t>
      </w:r>
      <w:r w:rsidR="00126B38" w:rsidRPr="00126B38">
        <w:rPr>
          <w:lang w:val="mk-MK"/>
        </w:rPr>
        <w:t xml:space="preserve"> паралелни механизми</w:t>
      </w:r>
      <w:r w:rsidR="002977E2">
        <w:rPr>
          <w:lang w:val="mk-MK"/>
        </w:rPr>
        <w:t xml:space="preserve"> како</w:t>
      </w:r>
      <w:r w:rsidR="00126B38" w:rsidRPr="00126B38">
        <w:rPr>
          <w:lang w:val="mk-MK"/>
        </w:rPr>
        <w:t xml:space="preserve"> работнички совети, места во управни одбори, колективно договарање и заштита на претставниците. </w:t>
      </w:r>
    </w:p>
    <w:p w14:paraId="59842B7E" w14:textId="09501B92" w:rsidR="00126B38" w:rsidRDefault="00126B38" w:rsidP="00262769">
      <w:pPr>
        <w:pStyle w:val="BodyText"/>
        <w:spacing w:before="240"/>
        <w:ind w:firstLine="720"/>
        <w:jc w:val="both"/>
        <w:rPr>
          <w:lang w:val="mk-MK"/>
        </w:rPr>
      </w:pPr>
      <w:r w:rsidRPr="00126B38">
        <w:rPr>
          <w:lang w:val="mk-MK"/>
        </w:rPr>
        <w:t xml:space="preserve">Во македонскиот контекст, Принципот IV </w:t>
      </w:r>
      <w:r w:rsidR="00587149">
        <w:rPr>
          <w:lang w:val="mk-MK"/>
        </w:rPr>
        <w:t>може да биде од критична важност</w:t>
      </w:r>
      <w:r w:rsidRPr="00126B38">
        <w:rPr>
          <w:lang w:val="mk-MK"/>
        </w:rPr>
        <w:t xml:space="preserve"> </w:t>
      </w:r>
      <w:r w:rsidR="005B7BFC">
        <w:rPr>
          <w:lang w:val="mk-MK"/>
        </w:rPr>
        <w:t>затоа што</w:t>
      </w:r>
      <w:r w:rsidRPr="00126B38">
        <w:rPr>
          <w:lang w:val="mk-MK"/>
        </w:rPr>
        <w:t xml:space="preserve"> постои висок степен на недоверба во корп</w:t>
      </w:r>
      <w:r w:rsidR="005B7BFC">
        <w:rPr>
          <w:lang w:val="mk-MK"/>
        </w:rPr>
        <w:t>о</w:t>
      </w:r>
      <w:r w:rsidRPr="00126B38">
        <w:rPr>
          <w:lang w:val="mk-MK"/>
        </w:rPr>
        <w:t>ративните структури</w:t>
      </w:r>
      <w:r w:rsidR="005B7BFC">
        <w:rPr>
          <w:lang w:val="mk-MK"/>
        </w:rPr>
        <w:t xml:space="preserve">, </w:t>
      </w:r>
      <w:r w:rsidR="00A277DF">
        <w:rPr>
          <w:lang w:val="mk-MK"/>
        </w:rPr>
        <w:t>кои се гледаат како тесно поврзани со властите. Понатаму,</w:t>
      </w:r>
      <w:r w:rsidRPr="00126B38">
        <w:rPr>
          <w:lang w:val="mk-MK"/>
        </w:rPr>
        <w:t xml:space="preserve"> нефункционалноста на надзорните механизми создава потреба од поголема транспарентност</w:t>
      </w:r>
      <w:r w:rsidR="00A277DF">
        <w:rPr>
          <w:lang w:val="mk-MK"/>
        </w:rPr>
        <w:t>,</w:t>
      </w:r>
      <w:r w:rsidRPr="00126B38">
        <w:rPr>
          <w:lang w:val="mk-MK"/>
        </w:rPr>
        <w:t xml:space="preserve"> учеството на работниците е слабо институционализирано, а пристапот до информации е ограничен</w:t>
      </w:r>
      <w:r w:rsidR="00587149">
        <w:rPr>
          <w:lang w:val="mk-MK"/>
        </w:rPr>
        <w:t xml:space="preserve"> и</w:t>
      </w:r>
      <w:r w:rsidRPr="00126B38">
        <w:rPr>
          <w:lang w:val="mk-MK"/>
        </w:rPr>
        <w:t xml:space="preserve"> корпоративните злоупотреби</w:t>
      </w:r>
      <w:r w:rsidR="00587149">
        <w:rPr>
          <w:lang w:val="mk-MK"/>
        </w:rPr>
        <w:t xml:space="preserve">, </w:t>
      </w:r>
      <w:r w:rsidRPr="00126B38">
        <w:rPr>
          <w:lang w:val="mk-MK"/>
        </w:rPr>
        <w:t>особено во приватизацијата и реструктурирањето</w:t>
      </w:r>
      <w:r w:rsidR="00587149">
        <w:rPr>
          <w:lang w:val="mk-MK"/>
        </w:rPr>
        <w:t>,</w:t>
      </w:r>
      <w:r w:rsidRPr="00126B38">
        <w:rPr>
          <w:lang w:val="mk-MK"/>
        </w:rPr>
        <w:t xml:space="preserve"> историски се поврзани со нетранспарентност. Принципот IV затоа треба да се чита како дел од поширокиот реформски пакет кој би овозможил информирана партиципација на работниците, зајакнување на внатрешните контроли и поголема усогласеност со европскиот тренд на ESG и трудови стандарди</w:t>
      </w:r>
      <w:r w:rsidR="00E468D2">
        <w:rPr>
          <w:lang w:val="mk-MK"/>
        </w:rPr>
        <w:t xml:space="preserve"> во корпоративното управување</w:t>
      </w:r>
      <w:r w:rsidRPr="00126B38">
        <w:rPr>
          <w:lang w:val="mk-MK"/>
        </w:rPr>
        <w:t>.</w:t>
      </w:r>
    </w:p>
    <w:p w14:paraId="1B35AE91" w14:textId="6A8188FA" w:rsidR="00A4279E" w:rsidRDefault="005B48CD" w:rsidP="009330C0">
      <w:pPr>
        <w:pStyle w:val="Heading2"/>
        <w:numPr>
          <w:ilvl w:val="1"/>
          <w:numId w:val="13"/>
        </w:numPr>
        <w:jc w:val="both"/>
        <w:rPr>
          <w:rFonts w:ascii="Times New Roman" w:hAnsi="Times New Roman" w:cs="Times New Roman"/>
          <w:b w:val="0"/>
          <w:bCs w:val="0"/>
          <w:color w:val="000000" w:themeColor="text1"/>
          <w:sz w:val="24"/>
          <w:szCs w:val="24"/>
          <w:lang w:val="en-US"/>
        </w:rPr>
      </w:pPr>
      <w:r>
        <w:rPr>
          <w:rFonts w:ascii="Times New Roman" w:hAnsi="Times New Roman" w:cs="Times New Roman"/>
          <w:b w:val="0"/>
          <w:bCs w:val="0"/>
          <w:color w:val="000000" w:themeColor="text1"/>
          <w:sz w:val="24"/>
          <w:szCs w:val="24"/>
          <w:lang w:val="mk-MK"/>
        </w:rPr>
        <w:t xml:space="preserve"> </w:t>
      </w:r>
      <w:bookmarkStart w:id="34" w:name="_Toc230523887"/>
      <w:r w:rsidR="00A4279E" w:rsidRPr="00D66115">
        <w:rPr>
          <w:rFonts w:ascii="Times New Roman" w:hAnsi="Times New Roman" w:cs="Times New Roman"/>
          <w:b w:val="0"/>
          <w:bCs w:val="0"/>
          <w:color w:val="000000" w:themeColor="text1"/>
          <w:sz w:val="24"/>
          <w:szCs w:val="24"/>
          <w:lang w:val="mk-MK"/>
        </w:rPr>
        <w:t>Принципот V на ОЕЦД: „</w:t>
      </w:r>
      <w:r w:rsidR="00452B66" w:rsidRPr="00452B66">
        <w:rPr>
          <w:rFonts w:ascii="Times New Roman" w:hAnsi="Times New Roman" w:cs="Times New Roman"/>
          <w:b w:val="0"/>
          <w:bCs w:val="0"/>
          <w:color w:val="000000" w:themeColor="text1"/>
          <w:sz w:val="24"/>
          <w:szCs w:val="24"/>
          <w:lang w:val="mk-MK"/>
        </w:rPr>
        <w:t xml:space="preserve">Одговорности на </w:t>
      </w:r>
      <w:r w:rsidR="002F5C07">
        <w:rPr>
          <w:rFonts w:ascii="Times New Roman" w:hAnsi="Times New Roman" w:cs="Times New Roman"/>
          <w:b w:val="0"/>
          <w:bCs w:val="0"/>
          <w:color w:val="000000" w:themeColor="text1"/>
          <w:sz w:val="24"/>
          <w:szCs w:val="24"/>
          <w:lang w:val="mk-MK"/>
        </w:rPr>
        <w:t>управниот о</w:t>
      </w:r>
      <w:r w:rsidR="00452B66" w:rsidRPr="00452B66">
        <w:rPr>
          <w:rFonts w:ascii="Times New Roman" w:hAnsi="Times New Roman" w:cs="Times New Roman"/>
          <w:b w:val="0"/>
          <w:bCs w:val="0"/>
          <w:color w:val="000000" w:themeColor="text1"/>
          <w:sz w:val="24"/>
          <w:szCs w:val="24"/>
          <w:lang w:val="mk-MK"/>
        </w:rPr>
        <w:t>дбор</w:t>
      </w:r>
      <w:r w:rsidR="00A4279E" w:rsidRPr="00D66115">
        <w:rPr>
          <w:rFonts w:ascii="Times New Roman" w:hAnsi="Times New Roman" w:cs="Times New Roman"/>
          <w:b w:val="0"/>
          <w:bCs w:val="0"/>
          <w:color w:val="000000" w:themeColor="text1"/>
          <w:sz w:val="24"/>
          <w:szCs w:val="24"/>
          <w:lang w:val="mk-MK"/>
        </w:rPr>
        <w:t>“</w:t>
      </w:r>
      <w:bookmarkEnd w:id="34"/>
    </w:p>
    <w:p w14:paraId="5B60A658" w14:textId="4A7F43B5" w:rsidR="00350062" w:rsidRDefault="00350062" w:rsidP="00350062">
      <w:pPr>
        <w:pStyle w:val="BodyText"/>
        <w:spacing w:before="240"/>
        <w:ind w:firstLine="720"/>
        <w:jc w:val="both"/>
        <w:rPr>
          <w:lang w:val="en-US"/>
        </w:rPr>
      </w:pPr>
      <w:r w:rsidRPr="00350062">
        <w:rPr>
          <w:lang w:val="mk-MK"/>
        </w:rPr>
        <w:t xml:space="preserve">Принципот V од ОЕЦД Принципите за корпоративно управување го дефинира нормативниот и функционален опсег на одговорностите на управниот одбор како централен орган на корпоративното управување. Неговата суштинска цел е да обезбеди </w:t>
      </w:r>
      <w:r w:rsidRPr="00350062">
        <w:rPr>
          <w:lang w:val="mk-MK"/>
        </w:rPr>
        <w:lastRenderedPageBreak/>
        <w:t>ефективно стратегиско раководење, надзор над извршното управување, интегритет на процесите за известување и заштита на интересите на корпорацијата и нејзините засегнати страни. Во концептуална смисла, овој принцип го претставува јадрото на „внатрешната уставност“ на корпорацијата</w:t>
      </w:r>
      <w:r w:rsidR="00E55477">
        <w:rPr>
          <w:lang w:val="mk-MK"/>
        </w:rPr>
        <w:t xml:space="preserve"> затоа што</w:t>
      </w:r>
      <w:r w:rsidRPr="00350062">
        <w:rPr>
          <w:lang w:val="mk-MK"/>
        </w:rPr>
        <w:t xml:space="preserve"> токму преку одборот се артикулираат корпоративната стратегија, рамнотежата </w:t>
      </w:r>
      <w:r w:rsidR="00E55477">
        <w:rPr>
          <w:lang w:val="mk-MK"/>
        </w:rPr>
        <w:t>по</w:t>
      </w:r>
      <w:r w:rsidRPr="00350062">
        <w:rPr>
          <w:lang w:val="mk-MK"/>
        </w:rPr>
        <w:t xml:space="preserve">меѓу ризикот и контролата и односот </w:t>
      </w:r>
      <w:r w:rsidR="007E4CE8">
        <w:rPr>
          <w:lang w:val="mk-MK"/>
        </w:rPr>
        <w:t>по</w:t>
      </w:r>
      <w:r w:rsidRPr="00350062">
        <w:rPr>
          <w:lang w:val="mk-MK"/>
        </w:rPr>
        <w:t>меѓу капиталот, трудот и управувањето.</w:t>
      </w:r>
      <w:r w:rsidR="007A3F08">
        <w:rPr>
          <w:rStyle w:val="FootnoteReference"/>
          <w:lang w:val="mk-MK"/>
        </w:rPr>
        <w:footnoteReference w:id="409"/>
      </w:r>
    </w:p>
    <w:p w14:paraId="480164D4" w14:textId="79883FA0" w:rsidR="00570585" w:rsidRDefault="00593B2F" w:rsidP="00350062">
      <w:pPr>
        <w:pStyle w:val="BodyText"/>
        <w:spacing w:before="240"/>
        <w:ind w:firstLine="720"/>
        <w:jc w:val="both"/>
        <w:rPr>
          <w:lang w:val="mk-MK"/>
        </w:rPr>
      </w:pPr>
      <w:r w:rsidRPr="00593B2F">
        <w:rPr>
          <w:lang w:val="mk-MK"/>
        </w:rPr>
        <w:t xml:space="preserve">Принципот V идентификува </w:t>
      </w:r>
      <w:r>
        <w:rPr>
          <w:lang w:val="mk-MK"/>
        </w:rPr>
        <w:t>неколку</w:t>
      </w:r>
      <w:r w:rsidRPr="00593B2F">
        <w:rPr>
          <w:lang w:val="mk-MK"/>
        </w:rPr>
        <w:t xml:space="preserve"> основни обврски и надлежности на одборот</w:t>
      </w:r>
      <w:r>
        <w:rPr>
          <w:lang w:val="mk-MK"/>
        </w:rPr>
        <w:t>.</w:t>
      </w:r>
      <w:r w:rsidR="00145862">
        <w:rPr>
          <w:lang w:val="mk-MK"/>
        </w:rPr>
        <w:t xml:space="preserve"> (1)</w:t>
      </w:r>
      <w:r w:rsidRPr="00593B2F">
        <w:rPr>
          <w:lang w:val="mk-MK"/>
        </w:rPr>
        <w:t xml:space="preserve"> Стратешко раководење: усвојување, ревидирање и следење на корпоративната стратегија, корпоративните цели, распределбата на ресурси и долгорочните развојни визии. </w:t>
      </w:r>
      <w:r w:rsidR="000722BA">
        <w:rPr>
          <w:lang w:val="en-US"/>
        </w:rPr>
        <w:t xml:space="preserve">(2) </w:t>
      </w:r>
      <w:r w:rsidRPr="00593B2F">
        <w:rPr>
          <w:lang w:val="mk-MK"/>
        </w:rPr>
        <w:t>Ефективен надзор над менаџментот: именување, оценување, наградување и по потреба разрешување на извршните директори</w:t>
      </w:r>
      <w:r w:rsidR="000A4317">
        <w:rPr>
          <w:lang w:val="mk-MK"/>
        </w:rPr>
        <w:t xml:space="preserve"> со цел</w:t>
      </w:r>
      <w:r w:rsidRPr="00593B2F">
        <w:rPr>
          <w:lang w:val="mk-MK"/>
        </w:rPr>
        <w:t xml:space="preserve"> осигурување на интегритет, компетентност и отчетност. </w:t>
      </w:r>
      <w:r w:rsidR="000C6A14">
        <w:rPr>
          <w:lang w:val="mk-MK"/>
        </w:rPr>
        <w:t xml:space="preserve">(3) </w:t>
      </w:r>
      <w:r w:rsidRPr="00593B2F">
        <w:rPr>
          <w:lang w:val="mk-MK"/>
        </w:rPr>
        <w:t>Ризичен менаџмент и внатрешна контрола: воспоставување системи за идентификација, проценка и управување со ризици, како и ефективни механизми за внатреш</w:t>
      </w:r>
      <w:r w:rsidR="000C6A14">
        <w:rPr>
          <w:lang w:val="mk-MK"/>
        </w:rPr>
        <w:t>на</w:t>
      </w:r>
      <w:r w:rsidRPr="00593B2F">
        <w:rPr>
          <w:lang w:val="mk-MK"/>
        </w:rPr>
        <w:t xml:space="preserve"> и надвореш</w:t>
      </w:r>
      <w:r w:rsidR="000C6A14">
        <w:rPr>
          <w:lang w:val="mk-MK"/>
        </w:rPr>
        <w:t>на ревизија</w:t>
      </w:r>
      <w:r w:rsidRPr="00593B2F">
        <w:rPr>
          <w:lang w:val="mk-MK"/>
        </w:rPr>
        <w:t xml:space="preserve">. </w:t>
      </w:r>
      <w:r w:rsidR="000C6A14">
        <w:rPr>
          <w:lang w:val="mk-MK"/>
        </w:rPr>
        <w:t xml:space="preserve">(4) </w:t>
      </w:r>
      <w:r w:rsidRPr="00593B2F">
        <w:rPr>
          <w:lang w:val="mk-MK"/>
        </w:rPr>
        <w:t>Етичко раководење: поставување корпоративни вредности, усвојување кодекси за етика и однесување и заштита на интегритетот на компанијата. Обезбедување транспарентност и интегритет на информациските процеси: надзор врз финансиското и нефинансиското известување во согласност со Принципот IV. Должност на лојалност и должност на грижа: работа во најдобар интерес на корпорацијата и соодветно управување со потенцијалните конфликти на интереси.</w:t>
      </w:r>
      <w:r w:rsidR="00A777E7">
        <w:rPr>
          <w:rStyle w:val="FootnoteReference"/>
          <w:lang w:val="mk-MK"/>
        </w:rPr>
        <w:footnoteReference w:id="410"/>
      </w:r>
    </w:p>
    <w:p w14:paraId="121414B3" w14:textId="3148682B" w:rsidR="00A96039" w:rsidRDefault="00A96039" w:rsidP="00350062">
      <w:pPr>
        <w:pStyle w:val="BodyText"/>
        <w:spacing w:before="240"/>
        <w:ind w:firstLine="720"/>
        <w:jc w:val="both"/>
        <w:rPr>
          <w:lang w:val="mk-MK"/>
        </w:rPr>
      </w:pPr>
      <w:r w:rsidRPr="00A96039">
        <w:rPr>
          <w:lang w:val="mk-MK"/>
        </w:rPr>
        <w:t>ОЕЦД нагласува дека компетентноста и составот на одборот се детерминирачки за квалитетот на корпоративното управување. Во оваа рамка клучни се прашањата на независност, разновидност</w:t>
      </w:r>
      <w:r w:rsidR="002F5944">
        <w:rPr>
          <w:lang w:val="mk-MK"/>
        </w:rPr>
        <w:t xml:space="preserve">, </w:t>
      </w:r>
      <w:r w:rsidRPr="00A96039">
        <w:rPr>
          <w:lang w:val="mk-MK"/>
        </w:rPr>
        <w:t>вклучително и родова, професионална експертиза и адекватна застапеност на релевантните интереси.</w:t>
      </w:r>
      <w:r w:rsidR="00B95919">
        <w:rPr>
          <w:lang w:val="mk-MK"/>
        </w:rPr>
        <w:t xml:space="preserve"> </w:t>
      </w:r>
      <w:r w:rsidR="00B95919" w:rsidRPr="00B95919">
        <w:rPr>
          <w:lang w:val="mk-MK"/>
        </w:rPr>
        <w:t>Иако Принципот V не навлегува експлицитно во дилемата помеѓу „shareholder primacy“ и „stakeholder governance“, неговата интерпретација во пракса е суштински поврзана со ова основно прашање. ОЕЦД официјално признава дека одборите имаат одговорност кон „корпорацијата како целина“, што имплицира одредена автономија од интересите на индивидуалните акционери. Ова отвора простор за пошироко толкување кое ги инкорпорира: интересите на работниците, интересите на кредиторите, обврските кон заедницата</w:t>
      </w:r>
      <w:r w:rsidR="00451C39">
        <w:rPr>
          <w:lang w:val="mk-MK"/>
        </w:rPr>
        <w:t xml:space="preserve"> и</w:t>
      </w:r>
      <w:r w:rsidR="00B95919" w:rsidRPr="00B95919">
        <w:rPr>
          <w:lang w:val="mk-MK"/>
        </w:rPr>
        <w:t xml:space="preserve"> долгорочните еколошки и социјални цели. Сепак, во повеќето јурисдикции кои се раководат од ОЕЦД Принципите, приоритетот на акционерската вредност се задржува како де факто норма.</w:t>
      </w:r>
      <w:r w:rsidR="007A140F">
        <w:rPr>
          <w:rStyle w:val="FootnoteReference"/>
          <w:lang w:val="mk-MK"/>
        </w:rPr>
        <w:footnoteReference w:id="411"/>
      </w:r>
      <w:r w:rsidR="00B95919" w:rsidRPr="00B95919">
        <w:rPr>
          <w:lang w:val="mk-MK"/>
        </w:rPr>
        <w:t xml:space="preserve"> Ова создава структурен јаз помеѓу формалните обврски на одборот и реалната распределба на корпоративната моќ.</w:t>
      </w:r>
    </w:p>
    <w:p w14:paraId="6A950E4F" w14:textId="17CBF4B5" w:rsidR="00CE21AF" w:rsidRDefault="00CE21AF" w:rsidP="00350062">
      <w:pPr>
        <w:pStyle w:val="BodyText"/>
        <w:spacing w:before="240"/>
        <w:ind w:firstLine="720"/>
        <w:jc w:val="both"/>
        <w:rPr>
          <w:lang w:val="mk-MK"/>
        </w:rPr>
      </w:pPr>
      <w:r w:rsidRPr="00CE21AF">
        <w:rPr>
          <w:lang w:val="mk-MK"/>
        </w:rPr>
        <w:t xml:space="preserve">Најзначајниот аспект за </w:t>
      </w:r>
      <w:r>
        <w:rPr>
          <w:lang w:val="mk-MK"/>
        </w:rPr>
        <w:t>корпоративното управување е тоа</w:t>
      </w:r>
      <w:r w:rsidRPr="00CE21AF">
        <w:rPr>
          <w:lang w:val="mk-MK"/>
        </w:rPr>
        <w:t xml:space="preserve"> што Принципот V не пропишува никаква експлицитна обврска за вклучување на работнички претставници во управните одбори. Тој не забранува такво учество, но не го ни стимулира. ОЕЦД признава дека некои земји</w:t>
      </w:r>
      <w:r w:rsidR="00F939B8">
        <w:rPr>
          <w:lang w:val="mk-MK"/>
        </w:rPr>
        <w:t xml:space="preserve">, </w:t>
      </w:r>
      <w:r w:rsidRPr="00CE21AF">
        <w:rPr>
          <w:lang w:val="mk-MK"/>
        </w:rPr>
        <w:t>како Германија, Норвешка, Словенија</w:t>
      </w:r>
      <w:r w:rsidR="00F939B8">
        <w:rPr>
          <w:lang w:val="mk-MK"/>
        </w:rPr>
        <w:t xml:space="preserve"> и</w:t>
      </w:r>
      <w:r w:rsidRPr="00CE21AF">
        <w:rPr>
          <w:lang w:val="mk-MK"/>
        </w:rPr>
        <w:t xml:space="preserve"> Холандија</w:t>
      </w:r>
      <w:r w:rsidR="00F939B8">
        <w:rPr>
          <w:lang w:val="mk-MK"/>
        </w:rPr>
        <w:t>,</w:t>
      </w:r>
      <w:r w:rsidRPr="00CE21AF">
        <w:rPr>
          <w:lang w:val="mk-MK"/>
        </w:rPr>
        <w:t xml:space="preserve"> имаат развиени системи на работничка ко-детерминација, но го остава ова прашање во рацете на националните законодавства. </w:t>
      </w:r>
      <w:r w:rsidR="006B57D0">
        <w:rPr>
          <w:lang w:val="mk-MK"/>
        </w:rPr>
        <w:t>Оттука, в</w:t>
      </w:r>
      <w:r w:rsidRPr="00CE21AF">
        <w:rPr>
          <w:lang w:val="mk-MK"/>
        </w:rPr>
        <w:t>ажно е да се забележи дека Принципот V содржи јасни упатства за управување со конфликти на интереси кај акционерите</w:t>
      </w:r>
      <w:r w:rsidR="000966C9">
        <w:rPr>
          <w:lang w:val="mk-MK"/>
        </w:rPr>
        <w:t>,</w:t>
      </w:r>
      <w:r w:rsidRPr="00CE21AF">
        <w:rPr>
          <w:lang w:val="mk-MK"/>
        </w:rPr>
        <w:t xml:space="preserve"> но не содржи паралелни механизми за заштита на интересите на работниците или </w:t>
      </w:r>
      <w:r w:rsidR="002E1088">
        <w:rPr>
          <w:lang w:val="mk-MK"/>
        </w:rPr>
        <w:t xml:space="preserve">за </w:t>
      </w:r>
      <w:r w:rsidRPr="00CE21AF">
        <w:rPr>
          <w:lang w:val="mk-MK"/>
        </w:rPr>
        <w:t xml:space="preserve">обезбедување нивно учество во клучните одборски процеси. Ова </w:t>
      </w:r>
      <w:r w:rsidR="002E1088">
        <w:rPr>
          <w:lang w:val="mk-MK"/>
        </w:rPr>
        <w:t xml:space="preserve">го наметнува </w:t>
      </w:r>
      <w:r w:rsidRPr="00CE21AF">
        <w:rPr>
          <w:lang w:val="mk-MK"/>
        </w:rPr>
        <w:lastRenderedPageBreak/>
        <w:t>прашање</w:t>
      </w:r>
      <w:r w:rsidR="002E1088">
        <w:rPr>
          <w:lang w:val="mk-MK"/>
        </w:rPr>
        <w:t>то</w:t>
      </w:r>
      <w:r w:rsidRPr="00CE21AF">
        <w:rPr>
          <w:lang w:val="mk-MK"/>
        </w:rPr>
        <w:t xml:space="preserve"> за легитимноста на одборот како „орган на корпорацијата како целина“ ако една суштинска група засегнати страни</w:t>
      </w:r>
      <w:r w:rsidR="00743B67">
        <w:rPr>
          <w:lang w:val="mk-MK"/>
        </w:rPr>
        <w:t xml:space="preserve">, </w:t>
      </w:r>
      <w:r w:rsidRPr="00CE21AF">
        <w:rPr>
          <w:lang w:val="mk-MK"/>
        </w:rPr>
        <w:t>работниците</w:t>
      </w:r>
      <w:r w:rsidR="00743B67">
        <w:rPr>
          <w:lang w:val="mk-MK"/>
        </w:rPr>
        <w:t>,</w:t>
      </w:r>
      <w:r w:rsidRPr="00CE21AF">
        <w:rPr>
          <w:lang w:val="mk-MK"/>
        </w:rPr>
        <w:t xml:space="preserve"> е систематски отсутна од процесите на одлучување.</w:t>
      </w:r>
    </w:p>
    <w:p w14:paraId="1B39B2DD" w14:textId="77777777" w:rsidR="00742E08" w:rsidRDefault="006B7B84" w:rsidP="00255137">
      <w:pPr>
        <w:pStyle w:val="BodyText"/>
        <w:spacing w:before="240"/>
        <w:ind w:firstLine="720"/>
        <w:jc w:val="both"/>
        <w:rPr>
          <w:lang w:val="mk-MK"/>
        </w:rPr>
      </w:pPr>
      <w:r>
        <w:rPr>
          <w:lang w:val="mk-MK"/>
        </w:rPr>
        <w:t>Управниот о</w:t>
      </w:r>
      <w:r w:rsidRPr="006B7B84">
        <w:rPr>
          <w:lang w:val="mk-MK"/>
        </w:rPr>
        <w:t>дбор е инструмент на капиталниот интерес и треба да обезбеди дисциплина и контрола врз менаџментот во име на акционерите.</w:t>
      </w:r>
      <w:r w:rsidR="00154311">
        <w:rPr>
          <w:lang w:val="mk-MK"/>
        </w:rPr>
        <w:t xml:space="preserve"> Примарните цели се</w:t>
      </w:r>
      <w:r w:rsidRPr="006B7B84">
        <w:rPr>
          <w:lang w:val="mk-MK"/>
        </w:rPr>
        <w:t xml:space="preserve"> </w:t>
      </w:r>
      <w:r w:rsidR="00154311">
        <w:rPr>
          <w:lang w:val="mk-MK"/>
        </w:rPr>
        <w:t>т</w:t>
      </w:r>
      <w:r w:rsidRPr="006B7B84">
        <w:rPr>
          <w:lang w:val="mk-MK"/>
        </w:rPr>
        <w:t>ранспарентност</w:t>
      </w:r>
      <w:r w:rsidR="00154311">
        <w:rPr>
          <w:lang w:val="mk-MK"/>
        </w:rPr>
        <w:t>а</w:t>
      </w:r>
      <w:r w:rsidRPr="006B7B84">
        <w:rPr>
          <w:lang w:val="mk-MK"/>
        </w:rPr>
        <w:t>, ризич</w:t>
      </w:r>
      <w:r w:rsidR="00154311">
        <w:rPr>
          <w:lang w:val="mk-MK"/>
        </w:rPr>
        <w:t>ниот</w:t>
      </w:r>
      <w:r w:rsidRPr="006B7B84">
        <w:rPr>
          <w:lang w:val="mk-MK"/>
        </w:rPr>
        <w:t xml:space="preserve"> менаџмент и стратешка</w:t>
      </w:r>
      <w:r w:rsidR="00154311">
        <w:rPr>
          <w:lang w:val="mk-MK"/>
        </w:rPr>
        <w:t>та</w:t>
      </w:r>
      <w:r w:rsidRPr="006B7B84">
        <w:rPr>
          <w:lang w:val="mk-MK"/>
        </w:rPr>
        <w:t xml:space="preserve"> дисциплина</w:t>
      </w:r>
      <w:r w:rsidR="00154311">
        <w:rPr>
          <w:lang w:val="mk-MK"/>
        </w:rPr>
        <w:t>. Иако одборот</w:t>
      </w:r>
      <w:r w:rsidRPr="006B7B84">
        <w:rPr>
          <w:lang w:val="mk-MK"/>
        </w:rPr>
        <w:t xml:space="preserve"> може да се замисли </w:t>
      </w:r>
      <w:r w:rsidR="001A79BC">
        <w:rPr>
          <w:lang w:val="mk-MK"/>
        </w:rPr>
        <w:t xml:space="preserve">и </w:t>
      </w:r>
      <w:r w:rsidRPr="006B7B84">
        <w:rPr>
          <w:lang w:val="mk-MK"/>
        </w:rPr>
        <w:t>како хибридна институција на корпоративна демократија, каде што различни групи</w:t>
      </w:r>
      <w:r w:rsidR="001A79BC">
        <w:rPr>
          <w:lang w:val="mk-MK"/>
        </w:rPr>
        <w:t xml:space="preserve">, </w:t>
      </w:r>
      <w:r w:rsidRPr="006B7B84">
        <w:rPr>
          <w:lang w:val="mk-MK"/>
        </w:rPr>
        <w:t xml:space="preserve">вклучително и </w:t>
      </w:r>
      <w:r w:rsidR="001A79BC">
        <w:rPr>
          <w:lang w:val="mk-MK"/>
        </w:rPr>
        <w:t>вработените,</w:t>
      </w:r>
      <w:r w:rsidRPr="006B7B84">
        <w:rPr>
          <w:lang w:val="mk-MK"/>
        </w:rPr>
        <w:t xml:space="preserve"> ја делат одговорноста и го артикулираат плурализмот на интереси</w:t>
      </w:r>
      <w:r w:rsidR="00255137">
        <w:rPr>
          <w:lang w:val="mk-MK"/>
        </w:rPr>
        <w:t>, се добива впечаток дека ОЕЦД не ја следи оваа логика</w:t>
      </w:r>
      <w:r w:rsidRPr="006B7B84">
        <w:rPr>
          <w:lang w:val="mk-MK"/>
        </w:rPr>
        <w:t>.</w:t>
      </w:r>
      <w:r w:rsidR="00255137">
        <w:rPr>
          <w:lang w:val="mk-MK"/>
        </w:rPr>
        <w:t xml:space="preserve"> </w:t>
      </w:r>
      <w:r w:rsidRPr="006B7B84">
        <w:rPr>
          <w:lang w:val="mk-MK"/>
        </w:rPr>
        <w:t>ОЕЦД не го спречува ваквиот модел</w:t>
      </w:r>
      <w:r w:rsidR="00255137">
        <w:rPr>
          <w:lang w:val="mk-MK"/>
        </w:rPr>
        <w:t>,</w:t>
      </w:r>
      <w:r w:rsidRPr="006B7B84">
        <w:rPr>
          <w:lang w:val="mk-MK"/>
        </w:rPr>
        <w:t xml:space="preserve"> напротив, ги признава националните варијации</w:t>
      </w:r>
      <w:r w:rsidR="00255137">
        <w:rPr>
          <w:lang w:val="mk-MK"/>
        </w:rPr>
        <w:t>,</w:t>
      </w:r>
      <w:r w:rsidRPr="006B7B84">
        <w:rPr>
          <w:lang w:val="mk-MK"/>
        </w:rPr>
        <w:t xml:space="preserve"> но не го нормализира. Еден од главните проблеми е</w:t>
      </w:r>
      <w:r w:rsidR="0026181D">
        <w:rPr>
          <w:lang w:val="mk-MK"/>
        </w:rPr>
        <w:t xml:space="preserve"> тоа што</w:t>
      </w:r>
      <w:r w:rsidRPr="006B7B84">
        <w:rPr>
          <w:lang w:val="mk-MK"/>
        </w:rPr>
        <w:t xml:space="preserve"> логиката на „fiduciary duties“ традиционално се толкува така што го стеснува полето на дозволени интереси.</w:t>
      </w:r>
      <w:r w:rsidR="006852AE">
        <w:rPr>
          <w:rStyle w:val="FootnoteReference"/>
          <w:lang w:val="mk-MK"/>
        </w:rPr>
        <w:footnoteReference w:id="412"/>
      </w:r>
      <w:r w:rsidRPr="006B7B84">
        <w:rPr>
          <w:lang w:val="mk-MK"/>
        </w:rPr>
        <w:t xml:space="preserve"> Дури и кога одборот треба да размислува за ESG, климатски ризици или социјални фактори, тоа често се прави од перспектива на финансиски </w:t>
      </w:r>
      <w:r w:rsidR="00742E08">
        <w:rPr>
          <w:lang w:val="mk-MK"/>
        </w:rPr>
        <w:t>перформанси и бренд</w:t>
      </w:r>
      <w:r w:rsidRPr="006B7B84">
        <w:rPr>
          <w:lang w:val="mk-MK"/>
        </w:rPr>
        <w:t xml:space="preserve">, </w:t>
      </w:r>
      <w:r w:rsidR="00742E08">
        <w:rPr>
          <w:lang w:val="mk-MK"/>
        </w:rPr>
        <w:t>наместо</w:t>
      </w:r>
      <w:r w:rsidRPr="006B7B84">
        <w:rPr>
          <w:lang w:val="mk-MK"/>
        </w:rPr>
        <w:t xml:space="preserve"> социјална легитимност. </w:t>
      </w:r>
    </w:p>
    <w:p w14:paraId="7541C759" w14:textId="2AA9D850" w:rsidR="00454D03" w:rsidRDefault="006B7B84" w:rsidP="00255137">
      <w:pPr>
        <w:pStyle w:val="BodyText"/>
        <w:spacing w:before="240"/>
        <w:ind w:firstLine="720"/>
        <w:jc w:val="both"/>
        <w:rPr>
          <w:lang w:val="mk-MK"/>
        </w:rPr>
      </w:pPr>
      <w:r w:rsidRPr="006B7B84">
        <w:rPr>
          <w:lang w:val="mk-MK"/>
        </w:rPr>
        <w:t xml:space="preserve">Во македонскиот контекст, Принципот V е значаен </w:t>
      </w:r>
      <w:r w:rsidR="00742E08">
        <w:rPr>
          <w:lang w:val="mk-MK"/>
        </w:rPr>
        <w:t>од неколку причини.</w:t>
      </w:r>
      <w:r w:rsidRPr="006B7B84">
        <w:rPr>
          <w:lang w:val="mk-MK"/>
        </w:rPr>
        <w:t xml:space="preserve"> Одборите често функционираат формално, со силно концентрирана моќ во извршниот менаџмент или во доминантните акционери. </w:t>
      </w:r>
      <w:r w:rsidR="004C089D">
        <w:rPr>
          <w:lang w:val="mk-MK"/>
        </w:rPr>
        <w:t>Често н</w:t>
      </w:r>
      <w:r w:rsidRPr="006B7B84">
        <w:rPr>
          <w:lang w:val="mk-MK"/>
        </w:rPr>
        <w:t xml:space="preserve">едостасува систематична култура на </w:t>
      </w:r>
      <w:r w:rsidR="004C089D">
        <w:rPr>
          <w:lang w:val="mk-MK"/>
        </w:rPr>
        <w:t xml:space="preserve">реален </w:t>
      </w:r>
      <w:r w:rsidRPr="006B7B84">
        <w:rPr>
          <w:lang w:val="mk-MK"/>
        </w:rPr>
        <w:t xml:space="preserve">надзор, што го нарушува принципот на отчетност. </w:t>
      </w:r>
      <w:r w:rsidR="004C089D">
        <w:rPr>
          <w:lang w:val="mk-MK"/>
        </w:rPr>
        <w:t>Понатаму, р</w:t>
      </w:r>
      <w:r w:rsidRPr="006B7B84">
        <w:rPr>
          <w:lang w:val="mk-MK"/>
        </w:rPr>
        <w:t>аботничкото учество е минимално</w:t>
      </w:r>
      <w:r w:rsidR="004C089D">
        <w:rPr>
          <w:lang w:val="mk-MK"/>
        </w:rPr>
        <w:t xml:space="preserve"> и</w:t>
      </w:r>
      <w:r w:rsidRPr="006B7B84">
        <w:rPr>
          <w:lang w:val="mk-MK"/>
        </w:rPr>
        <w:t xml:space="preserve"> нема законска обврска за застапување на работници во одборите. Недостасуваат етички и политики</w:t>
      </w:r>
      <w:r w:rsidR="004C089D">
        <w:rPr>
          <w:lang w:val="mk-MK"/>
        </w:rPr>
        <w:t xml:space="preserve"> за управување со ризик,</w:t>
      </w:r>
      <w:r w:rsidRPr="006B7B84">
        <w:rPr>
          <w:lang w:val="mk-MK"/>
        </w:rPr>
        <w:t xml:space="preserve"> а внатрешните контроли се недоволно развиени. Инкорпорацијата на поширок „stakeholder“ пристап и потенцијална реформа во насока на работничка ко-детерминација би можела да го трансформира одборот од инструмент на акционерски интереси во вистински форум за колективна корпоративна одговорност.</w:t>
      </w:r>
    </w:p>
    <w:p w14:paraId="7789A008" w14:textId="12D4FBED" w:rsidR="00454D03" w:rsidRDefault="00454D03" w:rsidP="009330C0">
      <w:pPr>
        <w:pStyle w:val="Heading2"/>
        <w:numPr>
          <w:ilvl w:val="1"/>
          <w:numId w:val="13"/>
        </w:numPr>
        <w:jc w:val="both"/>
        <w:rPr>
          <w:rFonts w:ascii="Times New Roman" w:hAnsi="Times New Roman" w:cs="Times New Roman"/>
          <w:b w:val="0"/>
          <w:bCs w:val="0"/>
          <w:color w:val="000000" w:themeColor="text1"/>
          <w:sz w:val="24"/>
          <w:szCs w:val="24"/>
          <w:lang w:val="en-US"/>
        </w:rPr>
      </w:pPr>
      <w:r>
        <w:rPr>
          <w:rFonts w:ascii="Times New Roman" w:hAnsi="Times New Roman" w:cs="Times New Roman"/>
          <w:b w:val="0"/>
          <w:bCs w:val="0"/>
          <w:color w:val="000000" w:themeColor="text1"/>
          <w:sz w:val="24"/>
          <w:szCs w:val="24"/>
          <w:lang w:val="mk-MK"/>
        </w:rPr>
        <w:t xml:space="preserve"> </w:t>
      </w:r>
      <w:bookmarkStart w:id="35" w:name="_Toc230523888"/>
      <w:r w:rsidRPr="00D66115">
        <w:rPr>
          <w:rFonts w:ascii="Times New Roman" w:hAnsi="Times New Roman" w:cs="Times New Roman"/>
          <w:b w:val="0"/>
          <w:bCs w:val="0"/>
          <w:color w:val="000000" w:themeColor="text1"/>
          <w:sz w:val="24"/>
          <w:szCs w:val="24"/>
          <w:lang w:val="mk-MK"/>
        </w:rPr>
        <w:t>Принципот V</w:t>
      </w:r>
      <w:r w:rsidR="00E07724">
        <w:rPr>
          <w:rFonts w:ascii="Times New Roman" w:hAnsi="Times New Roman" w:cs="Times New Roman"/>
          <w:b w:val="0"/>
          <w:bCs w:val="0"/>
          <w:color w:val="000000" w:themeColor="text1"/>
          <w:sz w:val="24"/>
          <w:szCs w:val="24"/>
          <w:lang w:val="en-US"/>
        </w:rPr>
        <w:t>I</w:t>
      </w:r>
      <w:r w:rsidRPr="00D66115">
        <w:rPr>
          <w:rFonts w:ascii="Times New Roman" w:hAnsi="Times New Roman" w:cs="Times New Roman"/>
          <w:b w:val="0"/>
          <w:bCs w:val="0"/>
          <w:color w:val="000000" w:themeColor="text1"/>
          <w:sz w:val="24"/>
          <w:szCs w:val="24"/>
          <w:lang w:val="mk-MK"/>
        </w:rPr>
        <w:t xml:space="preserve"> на ОЕЦД: „</w:t>
      </w:r>
      <w:r w:rsidR="00A21F61" w:rsidRPr="00A21F61">
        <w:rPr>
          <w:rFonts w:ascii="Times New Roman" w:hAnsi="Times New Roman" w:cs="Times New Roman"/>
          <w:b w:val="0"/>
          <w:bCs w:val="0"/>
          <w:color w:val="000000" w:themeColor="text1"/>
          <w:sz w:val="24"/>
          <w:szCs w:val="24"/>
          <w:lang w:val="mk-MK"/>
        </w:rPr>
        <w:t>Одржливост и отпорност</w:t>
      </w:r>
      <w:r w:rsidRPr="00D66115">
        <w:rPr>
          <w:rFonts w:ascii="Times New Roman" w:hAnsi="Times New Roman" w:cs="Times New Roman"/>
          <w:b w:val="0"/>
          <w:bCs w:val="0"/>
          <w:color w:val="000000" w:themeColor="text1"/>
          <w:sz w:val="24"/>
          <w:szCs w:val="24"/>
          <w:lang w:val="mk-MK"/>
        </w:rPr>
        <w:t>“</w:t>
      </w:r>
      <w:bookmarkEnd w:id="35"/>
    </w:p>
    <w:p w14:paraId="78692873" w14:textId="3C56941D" w:rsidR="00454D03" w:rsidRDefault="004720F8" w:rsidP="004720F8">
      <w:pPr>
        <w:pStyle w:val="BodyText"/>
        <w:spacing w:before="240"/>
        <w:ind w:firstLine="720"/>
        <w:jc w:val="both"/>
        <w:rPr>
          <w:lang w:val="mk-MK"/>
        </w:rPr>
      </w:pPr>
      <w:r w:rsidRPr="004720F8">
        <w:rPr>
          <w:lang w:val="mk-MK"/>
        </w:rPr>
        <w:t>Принципот VI на ОЕЦД за корпоративно управување го нагласува фундаменталното значење на одржливоста и отпорноста на компаниите како предуслов за долгорочна вредност и стабилност. Во рамките на современите концепти на управување, овој принцип ја надминува класичната економска рационалност и ја интегрира долгорочната стратешка визија со општествената и еколошката одговорност. Компаниите се повикуваат да ги вклучат ESG факторите (Environmental, Social, Governance) во својата основна деловна логика, обезбедувајќи дека нивните активности не создаваат ризик за идниот опстанок на бизнисот, ниту за општеството и околината.</w:t>
      </w:r>
      <w:r w:rsidR="003678FC">
        <w:rPr>
          <w:rStyle w:val="FootnoteReference"/>
          <w:lang w:val="mk-MK"/>
        </w:rPr>
        <w:footnoteReference w:id="413"/>
      </w:r>
    </w:p>
    <w:p w14:paraId="13286646" w14:textId="1013A44D" w:rsidR="00CE007B" w:rsidRDefault="00CE007B" w:rsidP="004720F8">
      <w:pPr>
        <w:pStyle w:val="BodyText"/>
        <w:spacing w:before="240"/>
        <w:ind w:firstLine="720"/>
        <w:jc w:val="both"/>
        <w:rPr>
          <w:lang w:val="mk-MK"/>
        </w:rPr>
      </w:pPr>
      <w:r w:rsidRPr="00CE007B">
        <w:rPr>
          <w:lang w:val="mk-MK"/>
        </w:rPr>
        <w:t>Клучниот аспект на овој принцип е дека управните органи мораат да обезбедат соодветни механизми за процена и управување со ризици поврзани со климатски промени, еколошки импликации, социјални и трудови прашања, како и со процесните и системските шокови кои мож</w:t>
      </w:r>
      <w:r w:rsidR="00E14038">
        <w:rPr>
          <w:lang w:val="mk-MK"/>
        </w:rPr>
        <w:t>ат</w:t>
      </w:r>
      <w:r w:rsidRPr="00CE007B">
        <w:rPr>
          <w:lang w:val="mk-MK"/>
        </w:rPr>
        <w:t xml:space="preserve"> да </w:t>
      </w:r>
      <w:r w:rsidR="00E14038">
        <w:rPr>
          <w:lang w:val="mk-MK"/>
        </w:rPr>
        <w:t>го</w:t>
      </w:r>
      <w:r w:rsidRPr="00CE007B">
        <w:rPr>
          <w:lang w:val="mk-MK"/>
        </w:rPr>
        <w:t xml:space="preserve"> нарушат функционирањето на </w:t>
      </w:r>
      <w:r w:rsidR="00E14038">
        <w:rPr>
          <w:lang w:val="mk-MK"/>
        </w:rPr>
        <w:t>друштвото</w:t>
      </w:r>
      <w:r w:rsidRPr="00CE007B">
        <w:rPr>
          <w:lang w:val="mk-MK"/>
        </w:rPr>
        <w:t xml:space="preserve">. Тоа </w:t>
      </w:r>
      <w:r w:rsidRPr="00CE007B">
        <w:rPr>
          <w:lang w:val="mk-MK"/>
        </w:rPr>
        <w:lastRenderedPageBreak/>
        <w:t>вклучува подготовка за финансиски, оперативни и технолошки ризици, како и воспоставување на структури за адаптација и отпорност во случаи на кризи, трансформации на пазарот или регулаторни промени. Оттука, одржливоста не се однесува само на „зелени“ или еколошки прашања, туку на целокупниот капацитет на претпријатието да преживее и да се развива во динамичната деловна средина.</w:t>
      </w:r>
    </w:p>
    <w:p w14:paraId="78F2EA29" w14:textId="5384B713" w:rsidR="00B30942" w:rsidRDefault="00B30942" w:rsidP="004720F8">
      <w:pPr>
        <w:pStyle w:val="BodyText"/>
        <w:spacing w:before="240"/>
        <w:ind w:firstLine="720"/>
        <w:jc w:val="both"/>
        <w:rPr>
          <w:lang w:val="en-US"/>
        </w:rPr>
      </w:pPr>
      <w:r w:rsidRPr="00B30942">
        <w:rPr>
          <w:lang w:val="mk-MK"/>
        </w:rPr>
        <w:t>Принципот ја нагласува и потребата за транспарентно обелоденување на информации за одржливост, со што се овозможува надворешна контрола и доверба од страна на инвеститорите, вработените и јавноста. Обелоденувањето се однесува на климатските ризици, индикатори</w:t>
      </w:r>
      <w:r w:rsidR="00B72B67">
        <w:rPr>
          <w:lang w:val="mk-MK"/>
        </w:rPr>
        <w:t>те</w:t>
      </w:r>
      <w:r w:rsidRPr="00B30942">
        <w:rPr>
          <w:lang w:val="mk-MK"/>
        </w:rPr>
        <w:t xml:space="preserve"> за социјална и управувачка одговорност, цели</w:t>
      </w:r>
      <w:r w:rsidR="00B72B67">
        <w:rPr>
          <w:lang w:val="mk-MK"/>
        </w:rPr>
        <w:t>те</w:t>
      </w:r>
      <w:r w:rsidRPr="00B30942">
        <w:rPr>
          <w:lang w:val="mk-MK"/>
        </w:rPr>
        <w:t xml:space="preserve"> за ефикасност и резултати</w:t>
      </w:r>
      <w:r w:rsidR="00B72B67">
        <w:rPr>
          <w:lang w:val="mk-MK"/>
        </w:rPr>
        <w:t>те</w:t>
      </w:r>
      <w:r w:rsidRPr="00B30942">
        <w:rPr>
          <w:lang w:val="mk-MK"/>
        </w:rPr>
        <w:t xml:space="preserve"> во управувањето со ресурси. Ваквата транспарентност ја зајакнува легитимноста на управниот орган и создава општествено одговорна корпоративна култура.</w:t>
      </w:r>
      <w:r w:rsidR="00B72B67">
        <w:rPr>
          <w:rStyle w:val="FootnoteReference"/>
          <w:lang w:val="mk-MK"/>
        </w:rPr>
        <w:footnoteReference w:id="414"/>
      </w:r>
    </w:p>
    <w:p w14:paraId="2A164438" w14:textId="2D8172DC" w:rsidR="003C42F6" w:rsidRDefault="003C42F6" w:rsidP="004720F8">
      <w:pPr>
        <w:pStyle w:val="BodyText"/>
        <w:spacing w:before="240"/>
        <w:ind w:firstLine="720"/>
        <w:jc w:val="both"/>
        <w:rPr>
          <w:lang w:val="mk-MK"/>
        </w:rPr>
      </w:pPr>
      <w:r w:rsidRPr="003C42F6">
        <w:rPr>
          <w:lang w:val="mk-MK"/>
        </w:rPr>
        <w:t>Во контекст на Македонија, примената на Принципот VI е особено предизвикувачка поради релативно ниското ниво на ESG интеграција, ограничената практика на корпоративна транспарентност и слабиот развој на стратегии за управување со климатски и технолошки ризици. За јавните претпријатија, кои доминираат во македонската економија, ова значи дека усвојувањето на принципот може да служи како клучен механизам за реформа на управните структури, подобрување на етичките стандарди, зајакнување на одговорноста и интеграција на долгорочни интереси на сите засегнати страни.</w:t>
      </w:r>
    </w:p>
    <w:p w14:paraId="2E0F58E3" w14:textId="1AB34CE5" w:rsidR="00B91248" w:rsidRPr="003C42F6" w:rsidRDefault="00B91248" w:rsidP="004720F8">
      <w:pPr>
        <w:pStyle w:val="BodyText"/>
        <w:spacing w:before="240"/>
        <w:ind w:firstLine="720"/>
        <w:jc w:val="both"/>
        <w:rPr>
          <w:lang w:val="mk-MK"/>
        </w:rPr>
      </w:pPr>
      <w:r w:rsidRPr="00B91248">
        <w:rPr>
          <w:lang w:val="mk-MK"/>
        </w:rPr>
        <w:t xml:space="preserve">Принципот VI, со тоа, </w:t>
      </w:r>
      <w:r w:rsidR="00065F0B">
        <w:rPr>
          <w:lang w:val="mk-MK"/>
        </w:rPr>
        <w:t>ги</w:t>
      </w:r>
      <w:r w:rsidRPr="00B91248">
        <w:rPr>
          <w:lang w:val="mk-MK"/>
        </w:rPr>
        <w:t xml:space="preserve"> позиционира одржливоста и отпорноста како демократски и институционално релевантни категории на корпоративното управување, кои ги поврзуваат економските цели со човековите права, социјалната правда и еколошката одговорност. Во комбинација со другите принципи на ОЕЦД, </w:t>
      </w:r>
      <w:r w:rsidR="00065F0B">
        <w:rPr>
          <w:lang w:val="mk-MK"/>
        </w:rPr>
        <w:t>овој принцип</w:t>
      </w:r>
      <w:r w:rsidRPr="00B91248">
        <w:rPr>
          <w:lang w:val="mk-MK"/>
        </w:rPr>
        <w:t xml:space="preserve"> ја дефинира современата визија на корпоративното управување како рамка </w:t>
      </w:r>
      <w:r w:rsidR="00026AE2">
        <w:rPr>
          <w:lang w:val="mk-MK"/>
        </w:rPr>
        <w:t>која</w:t>
      </w:r>
      <w:r w:rsidRPr="00B91248">
        <w:rPr>
          <w:lang w:val="mk-MK"/>
        </w:rPr>
        <w:t xml:space="preserve"> не само што обезбедува финансиски успех, туку и одржлива и легитимна интеграција во поширокото општество.</w:t>
      </w:r>
    </w:p>
    <w:p w14:paraId="14BBF60B" w14:textId="5CBB5A28" w:rsidR="00C25DAC" w:rsidRPr="00C25DAC" w:rsidRDefault="00C25DAC" w:rsidP="009330C0">
      <w:pPr>
        <w:pStyle w:val="Heading2"/>
        <w:numPr>
          <w:ilvl w:val="1"/>
          <w:numId w:val="13"/>
        </w:numPr>
        <w:jc w:val="both"/>
        <w:rPr>
          <w:rFonts w:ascii="Times New Roman" w:hAnsi="Times New Roman" w:cs="Times New Roman"/>
          <w:b w:val="0"/>
          <w:bCs w:val="0"/>
          <w:color w:val="000000" w:themeColor="text1"/>
          <w:sz w:val="24"/>
          <w:szCs w:val="24"/>
          <w:lang w:val="en-US"/>
        </w:rPr>
      </w:pPr>
      <w:r>
        <w:rPr>
          <w:rFonts w:ascii="Times New Roman" w:hAnsi="Times New Roman" w:cs="Times New Roman"/>
          <w:b w:val="0"/>
          <w:bCs w:val="0"/>
          <w:color w:val="000000" w:themeColor="text1"/>
          <w:sz w:val="24"/>
          <w:szCs w:val="24"/>
          <w:lang w:val="en-US"/>
        </w:rPr>
        <w:t xml:space="preserve"> </w:t>
      </w:r>
      <w:bookmarkStart w:id="36" w:name="_Toc230523889"/>
      <w:r w:rsidRPr="00C25DAC">
        <w:rPr>
          <w:rFonts w:ascii="Times New Roman" w:hAnsi="Times New Roman" w:cs="Times New Roman"/>
          <w:b w:val="0"/>
          <w:bCs w:val="0"/>
          <w:color w:val="000000" w:themeColor="text1"/>
          <w:sz w:val="24"/>
          <w:szCs w:val="24"/>
          <w:lang w:val="mk-MK"/>
        </w:rPr>
        <w:t>ОЕЦД принципите во англосанксонските земји</w:t>
      </w:r>
      <w:bookmarkEnd w:id="36"/>
    </w:p>
    <w:p w14:paraId="1734BD6F" w14:textId="77777777" w:rsidR="00C17496" w:rsidRDefault="00AF0097" w:rsidP="00F81DA5">
      <w:pPr>
        <w:pStyle w:val="BodyText"/>
        <w:spacing w:before="240" w:after="240"/>
        <w:ind w:firstLine="720"/>
        <w:jc w:val="both"/>
        <w:rPr>
          <w:lang w:val="mk-MK"/>
        </w:rPr>
      </w:pPr>
      <w:r w:rsidRPr="00AF0097">
        <w:rPr>
          <w:lang w:val="mk-MK"/>
        </w:rPr>
        <w:t>Практичната примена на ОЕЦД Принципите на корпоративно управување покажува дека нивниот ефект во голема мера зависи од институционалниот контекст и постепеното усогласување на националните правни системи со меѓународните стандарди.</w:t>
      </w:r>
      <w:r w:rsidR="003B2E97">
        <w:rPr>
          <w:rStyle w:val="FootnoteReference"/>
          <w:lang w:val="mk-MK"/>
        </w:rPr>
        <w:footnoteReference w:id="415"/>
      </w:r>
      <w:r w:rsidRPr="00AF0097">
        <w:rPr>
          <w:lang w:val="mk-MK"/>
        </w:rPr>
        <w:t xml:space="preserve"> Иако Принципите имаат универзална амбиција, нивното толкување и операционализација варираат значително помеѓу англосаксонските, континенталните</w:t>
      </w:r>
      <w:r w:rsidR="00F81DA5">
        <w:rPr>
          <w:lang w:val="mk-MK"/>
        </w:rPr>
        <w:t>, па дури</w:t>
      </w:r>
      <w:r w:rsidRPr="00AF0097">
        <w:rPr>
          <w:lang w:val="mk-MK"/>
        </w:rPr>
        <w:t xml:space="preserve"> и скандинавските</w:t>
      </w:r>
      <w:r w:rsidR="00F81DA5">
        <w:rPr>
          <w:lang w:val="mk-MK"/>
        </w:rPr>
        <w:t>, како подгрупа на континенталните</w:t>
      </w:r>
      <w:r w:rsidR="002C083B">
        <w:rPr>
          <w:lang w:val="mk-MK"/>
        </w:rPr>
        <w:t>, модели</w:t>
      </w:r>
      <w:r w:rsidRPr="00AF0097">
        <w:rPr>
          <w:lang w:val="mk-MK"/>
        </w:rPr>
        <w:t xml:space="preserve"> на корпоративно управување. </w:t>
      </w:r>
    </w:p>
    <w:p w14:paraId="5D5A45AF" w14:textId="0715F8D6" w:rsidR="00B928FF" w:rsidRPr="00F81DA5" w:rsidRDefault="00AF0097" w:rsidP="00F81DA5">
      <w:pPr>
        <w:pStyle w:val="BodyText"/>
        <w:spacing w:before="240" w:after="240"/>
        <w:ind w:firstLine="720"/>
        <w:jc w:val="both"/>
        <w:rPr>
          <w:lang w:val="en-US"/>
        </w:rPr>
      </w:pPr>
      <w:r w:rsidRPr="00AF0097">
        <w:rPr>
          <w:lang w:val="mk-MK"/>
        </w:rPr>
        <w:t xml:space="preserve">Во англосаксонските системи како Велика Британија, САД или Австралија, приматот на акционерите останува доминантен, иако последните години има извесна реторичка експанзија кон признавање на интересите на другите засегнати страни (stakeholders). </w:t>
      </w:r>
      <w:r w:rsidR="002C083B">
        <w:rPr>
          <w:lang w:val="mk-MK"/>
        </w:rPr>
        <w:t>Во најголем дел, ова се должи на директни барања на корпорациите, чиј интерес е помал обрт</w:t>
      </w:r>
      <w:r w:rsidR="00C308D3">
        <w:rPr>
          <w:lang w:val="mk-MK"/>
        </w:rPr>
        <w:t xml:space="preserve"> и заминување</w:t>
      </w:r>
      <w:r w:rsidR="002C083B">
        <w:rPr>
          <w:lang w:val="mk-MK"/>
        </w:rPr>
        <w:t xml:space="preserve"> на вработените и поголемо задоволство и мотивација </w:t>
      </w:r>
      <w:r w:rsidR="002C083B">
        <w:rPr>
          <w:lang w:val="mk-MK"/>
        </w:rPr>
        <w:lastRenderedPageBreak/>
        <w:t>на ве</w:t>
      </w:r>
      <w:r w:rsidR="00C308D3">
        <w:rPr>
          <w:lang w:val="mk-MK"/>
        </w:rPr>
        <w:t>ќ</w:t>
      </w:r>
      <w:r w:rsidR="002C083B">
        <w:rPr>
          <w:lang w:val="mk-MK"/>
        </w:rPr>
        <w:t xml:space="preserve">е вработениот кадар. </w:t>
      </w:r>
      <w:r w:rsidRPr="00AF0097">
        <w:rPr>
          <w:lang w:val="mk-MK"/>
        </w:rPr>
        <w:t xml:space="preserve">Британскиот </w:t>
      </w:r>
      <w:r w:rsidRPr="002C083B">
        <w:rPr>
          <w:i/>
          <w:iCs/>
          <w:lang w:val="mk-MK"/>
        </w:rPr>
        <w:t>Companies Act 2006</w:t>
      </w:r>
      <w:r w:rsidRPr="00AF0097">
        <w:rPr>
          <w:lang w:val="mk-MK"/>
        </w:rPr>
        <w:t>, особено член 172, бара од директорите да ги земаат предвид интересите на вработените, добавувачите и заедницата, но тоа останува обврска на грижа (duty of care</w:t>
      </w:r>
      <w:r w:rsidR="007C1342">
        <w:rPr>
          <w:lang w:val="en-US"/>
        </w:rPr>
        <w:t xml:space="preserve"> &amp; d</w:t>
      </w:r>
      <w:r w:rsidR="007C1342" w:rsidRPr="007C1342">
        <w:rPr>
          <w:lang w:val="en-US"/>
        </w:rPr>
        <w:t>uty to promote the success of the company</w:t>
      </w:r>
      <w:r w:rsidRPr="00AF0097">
        <w:rPr>
          <w:lang w:val="mk-MK"/>
        </w:rPr>
        <w:t>), а не правно издржано право на ко-одлучување.</w:t>
      </w:r>
      <w:r w:rsidR="007C1342">
        <w:rPr>
          <w:rStyle w:val="FootnoteReference"/>
          <w:lang w:val="mk-MK"/>
        </w:rPr>
        <w:footnoteReference w:id="416"/>
      </w:r>
      <w:r w:rsidR="00F81DA5">
        <w:rPr>
          <w:lang w:val="en-US"/>
        </w:rPr>
        <w:t xml:space="preserve"> </w:t>
      </w:r>
    </w:p>
    <w:p w14:paraId="72E00562" w14:textId="00565FDC" w:rsidR="00F52069" w:rsidRDefault="00AF0097" w:rsidP="000706F2">
      <w:pPr>
        <w:pStyle w:val="BodyText"/>
        <w:spacing w:before="240" w:after="240"/>
        <w:ind w:firstLine="720"/>
        <w:jc w:val="both"/>
        <w:rPr>
          <w:lang w:val="mk-MK"/>
        </w:rPr>
      </w:pPr>
      <w:r w:rsidRPr="00AF0097">
        <w:rPr>
          <w:lang w:val="mk-MK"/>
        </w:rPr>
        <w:t xml:space="preserve">Критиките кон ОЕЦД </w:t>
      </w:r>
      <w:r w:rsidR="00025027">
        <w:rPr>
          <w:lang w:val="mk-MK"/>
        </w:rPr>
        <w:t>п</w:t>
      </w:r>
      <w:r w:rsidRPr="00AF0097">
        <w:rPr>
          <w:lang w:val="mk-MK"/>
        </w:rPr>
        <w:t>ринципите</w:t>
      </w:r>
      <w:r w:rsidR="00025027">
        <w:rPr>
          <w:lang w:val="mk-MK"/>
        </w:rPr>
        <w:t xml:space="preserve"> и нивната примена во англосанксонското право</w:t>
      </w:r>
      <w:r w:rsidRPr="00AF0097">
        <w:rPr>
          <w:lang w:val="mk-MK"/>
        </w:rPr>
        <w:t xml:space="preserve"> најчесто се насочени кон нивниот </w:t>
      </w:r>
      <w:r w:rsidR="004A6F41">
        <w:rPr>
          <w:lang w:val="mk-MK"/>
        </w:rPr>
        <w:t xml:space="preserve">мек, односно, </w:t>
      </w:r>
      <w:r w:rsidRPr="00AF0097">
        <w:rPr>
          <w:lang w:val="mk-MK"/>
        </w:rPr>
        <w:t xml:space="preserve">„софт“ нормативен карактер. Како </w:t>
      </w:r>
      <w:r w:rsidR="00025027">
        <w:rPr>
          <w:lang w:val="mk-MK"/>
        </w:rPr>
        <w:t>необврзувачки</w:t>
      </w:r>
      <w:r w:rsidRPr="00AF0097">
        <w:rPr>
          <w:lang w:val="mk-MK"/>
        </w:rPr>
        <w:t xml:space="preserve"> инструмент, тие</w:t>
      </w:r>
      <w:r w:rsidR="00025027">
        <w:rPr>
          <w:lang w:val="mk-MK"/>
        </w:rPr>
        <w:t xml:space="preserve"> се</w:t>
      </w:r>
      <w:r w:rsidRPr="00AF0097">
        <w:rPr>
          <w:lang w:val="mk-MK"/>
        </w:rPr>
        <w:t xml:space="preserve"> потпираат на доброволна имплементација, што создава асиметрии </w:t>
      </w:r>
      <w:r w:rsidR="00025027">
        <w:rPr>
          <w:lang w:val="mk-MK"/>
        </w:rPr>
        <w:t>по</w:t>
      </w:r>
      <w:r w:rsidRPr="00AF0097">
        <w:rPr>
          <w:lang w:val="mk-MK"/>
        </w:rPr>
        <w:t>меѓу развиените и помалку развиените економии. Истражувањата покажуваат дека во економии со силна регулаторна и институционална култура (како Германија или Франција), Принципите делуваат како „нормативна потврда“ на веќе постоечките вредности, додека во земјите во транзиција тие се применуваат повеќе формално, без значајни практични последици.</w:t>
      </w:r>
      <w:r w:rsidR="00A25939">
        <w:rPr>
          <w:rStyle w:val="FootnoteReference"/>
          <w:lang w:val="mk-MK"/>
        </w:rPr>
        <w:footnoteReference w:id="417"/>
      </w:r>
      <w:r w:rsidRPr="00AF0097">
        <w:rPr>
          <w:lang w:val="mk-MK"/>
        </w:rPr>
        <w:t xml:space="preserve"> </w:t>
      </w:r>
    </w:p>
    <w:p w14:paraId="5E9E7C55" w14:textId="71193B2D" w:rsidR="00AF0097" w:rsidRDefault="00AF0097" w:rsidP="000706F2">
      <w:pPr>
        <w:pStyle w:val="BodyText"/>
        <w:spacing w:before="240" w:after="240"/>
        <w:ind w:firstLine="720"/>
        <w:jc w:val="both"/>
        <w:rPr>
          <w:lang w:val="en-US"/>
        </w:rPr>
      </w:pPr>
      <w:r w:rsidRPr="00AF0097">
        <w:rPr>
          <w:lang w:val="mk-MK"/>
        </w:rPr>
        <w:t xml:space="preserve">Во поновата ревизија од 2023 година, ОЕЦД </w:t>
      </w:r>
      <w:r w:rsidR="00F52069">
        <w:rPr>
          <w:lang w:val="mk-MK"/>
        </w:rPr>
        <w:t xml:space="preserve">се </w:t>
      </w:r>
      <w:r w:rsidRPr="00AF0097">
        <w:rPr>
          <w:lang w:val="mk-MK"/>
        </w:rPr>
        <w:t>обиде да ја надмине оваа празнина со јасно нагласување на ESG параметрите,</w:t>
      </w:r>
      <w:r w:rsidR="0028583A">
        <w:rPr>
          <w:rStyle w:val="FootnoteReference"/>
          <w:lang w:val="mk-MK"/>
        </w:rPr>
        <w:footnoteReference w:id="418"/>
      </w:r>
      <w:r w:rsidRPr="00AF0097">
        <w:rPr>
          <w:lang w:val="mk-MK"/>
        </w:rPr>
        <w:t xml:space="preserve"> како и повикување на компаниите да интегрираат човекови права и работнички стандарди во своите управувачки процеси (OECD, 2023b)</w:t>
      </w:r>
      <w:r w:rsidR="00D0439B">
        <w:rPr>
          <w:lang w:val="en-US"/>
        </w:rPr>
        <w:t xml:space="preserve">, </w:t>
      </w:r>
      <w:r w:rsidR="00D0439B">
        <w:rPr>
          <w:lang w:val="mk-MK"/>
        </w:rPr>
        <w:t xml:space="preserve">но процесот се уште се чини несинхронизиран со </w:t>
      </w:r>
      <w:r w:rsidR="007F779C">
        <w:rPr>
          <w:lang w:val="mk-MK"/>
        </w:rPr>
        <w:t>барањата и потребите на корпорациите</w:t>
      </w:r>
      <w:r w:rsidRPr="00AF0097">
        <w:rPr>
          <w:lang w:val="mk-MK"/>
        </w:rPr>
        <w:t>. Овој тренд се поклопува со пошироките глобални движења кон „одговорен капитализам“, во кој вредноста на претпријатието се мери не само преку профит, туку и преку општественото влијание и квалитетот на раб</w:t>
      </w:r>
      <w:r w:rsidR="00424F39">
        <w:rPr>
          <w:lang w:val="mk-MK"/>
        </w:rPr>
        <w:t>от</w:t>
      </w:r>
      <w:r w:rsidRPr="00AF0097">
        <w:rPr>
          <w:lang w:val="mk-MK"/>
        </w:rPr>
        <w:t>ните односи.</w:t>
      </w:r>
    </w:p>
    <w:p w14:paraId="335EED04" w14:textId="38F93C4A" w:rsidR="00296B54" w:rsidRDefault="0069339D" w:rsidP="0069339D">
      <w:pPr>
        <w:pStyle w:val="BodyText"/>
        <w:spacing w:before="240" w:after="240"/>
        <w:ind w:firstLine="720"/>
        <w:jc w:val="both"/>
        <w:rPr>
          <w:lang w:val="mk-MK"/>
        </w:rPr>
      </w:pPr>
      <w:r w:rsidRPr="003B2E97">
        <w:t xml:space="preserve">Сепак, дури и оваа ревизија е предмет на дебата. Дел од теоретичарите предупредуваат дека вградувањето на stakeholder-перспективата во ОЕЦД </w:t>
      </w:r>
      <w:r w:rsidR="000809FA">
        <w:rPr>
          <w:lang w:val="mk-MK"/>
        </w:rPr>
        <w:t>п</w:t>
      </w:r>
      <w:r w:rsidRPr="003B2E97">
        <w:t>ринципите ризикува да остане површинск</w:t>
      </w:r>
      <w:r w:rsidR="00AB7830">
        <w:rPr>
          <w:lang w:val="en-US"/>
        </w:rPr>
        <w:t>a</w:t>
      </w:r>
      <w:r w:rsidRPr="003B2E97">
        <w:t xml:space="preserve"> без вистинска промена на корпоративната структура</w:t>
      </w:r>
      <w:r w:rsidR="00AB7830">
        <w:rPr>
          <w:lang w:val="mk-MK"/>
        </w:rPr>
        <w:t xml:space="preserve"> на моќ</w:t>
      </w:r>
      <w:r w:rsidRPr="003B2E97">
        <w:t>.</w:t>
      </w:r>
      <w:r w:rsidR="0081643D">
        <w:rPr>
          <w:rStyle w:val="FootnoteReference"/>
        </w:rPr>
        <w:footnoteReference w:id="419"/>
      </w:r>
      <w:r w:rsidRPr="003B2E97">
        <w:t xml:space="preserve"> Наместо промена во балансот на интересите, се создава </w:t>
      </w:r>
      <w:r w:rsidR="00296B54">
        <w:rPr>
          <w:lang w:val="mk-MK"/>
        </w:rPr>
        <w:t xml:space="preserve">одреден </w:t>
      </w:r>
      <w:r w:rsidRPr="003B2E97">
        <w:t xml:space="preserve">нов јазик на </w:t>
      </w:r>
      <w:r w:rsidR="00296B54">
        <w:rPr>
          <w:lang w:val="mk-MK"/>
        </w:rPr>
        <w:t xml:space="preserve">вештачка </w:t>
      </w:r>
      <w:r w:rsidRPr="003B2E97">
        <w:t xml:space="preserve">вклученост кој ја легитимира постојната нееднаквост </w:t>
      </w:r>
      <w:r w:rsidR="00296B54">
        <w:rPr>
          <w:lang w:val="mk-MK"/>
        </w:rPr>
        <w:t>по</w:t>
      </w:r>
      <w:r w:rsidRPr="003B2E97">
        <w:t>меѓу капиталот и трудот. Токму овие критички дилеми се суштински за разбирање на нормативниот пренос кон националните контексти</w:t>
      </w:r>
      <w:r w:rsidR="00296B54">
        <w:rPr>
          <w:lang w:val="mk-MK"/>
        </w:rPr>
        <w:t xml:space="preserve"> затоа што не им одговараат ниту на корпорациите, ниту на вработените</w:t>
      </w:r>
      <w:r w:rsidRPr="003B2E97">
        <w:t xml:space="preserve">. </w:t>
      </w:r>
    </w:p>
    <w:p w14:paraId="26C8C320" w14:textId="4B11DCE7" w:rsidR="000E7A26" w:rsidRPr="00C308D3" w:rsidRDefault="0069339D" w:rsidP="00C308D3">
      <w:pPr>
        <w:pStyle w:val="BodyText"/>
        <w:spacing w:before="240" w:after="240"/>
        <w:ind w:firstLine="720"/>
        <w:jc w:val="both"/>
        <w:rPr>
          <w:lang w:val="mk-MK"/>
        </w:rPr>
      </w:pPr>
      <w:r w:rsidRPr="003B2E97">
        <w:t>За земји как</w:t>
      </w:r>
      <w:r w:rsidR="00800F80">
        <w:rPr>
          <w:lang w:val="mk-MK"/>
        </w:rPr>
        <w:t>о</w:t>
      </w:r>
      <w:r w:rsidRPr="003B2E97">
        <w:t xml:space="preserve"> Македонија, каде корпоративното управување сè уште е под силно влијание на приватизациските и постсоцијалистичките модели, </w:t>
      </w:r>
      <w:r w:rsidR="00800F80">
        <w:rPr>
          <w:lang w:val="mk-MK"/>
        </w:rPr>
        <w:t xml:space="preserve">дури и практиките на </w:t>
      </w:r>
      <w:r w:rsidRPr="003B2E97">
        <w:t xml:space="preserve">ОЕЦД </w:t>
      </w:r>
      <w:r w:rsidR="00800F80">
        <w:rPr>
          <w:lang w:val="mk-MK"/>
        </w:rPr>
        <w:t>п</w:t>
      </w:r>
      <w:r w:rsidRPr="003B2E97">
        <w:t xml:space="preserve">ринципите </w:t>
      </w:r>
      <w:r w:rsidR="00800F80">
        <w:rPr>
          <w:lang w:val="mk-MK"/>
        </w:rPr>
        <w:t xml:space="preserve">во англосанксонските земји </w:t>
      </w:r>
      <w:r w:rsidRPr="003B2E97">
        <w:t>можат да послужат како рамка за нормативна модернизација, но само ако се поврзат со реална институционална реформа и социјален дијалог. Во спротивно, тие ризикуваат да останат меѓународен декор без суштинско влијание врз корпоративната демократија и учеството на работниците.</w:t>
      </w:r>
    </w:p>
    <w:p w14:paraId="68D43B86" w14:textId="45F1C8FE" w:rsidR="0074428A" w:rsidRPr="000E7A26" w:rsidRDefault="000E7A26" w:rsidP="009330C0">
      <w:pPr>
        <w:pStyle w:val="Heading2"/>
        <w:numPr>
          <w:ilvl w:val="1"/>
          <w:numId w:val="13"/>
        </w:numPr>
        <w:spacing w:before="0"/>
        <w:jc w:val="both"/>
        <w:rPr>
          <w:rFonts w:ascii="Times New Roman" w:hAnsi="Times New Roman" w:cs="Times New Roman"/>
          <w:b w:val="0"/>
          <w:bCs w:val="0"/>
          <w:color w:val="000000" w:themeColor="text1"/>
          <w:sz w:val="24"/>
          <w:szCs w:val="24"/>
          <w:lang w:val="en-US"/>
        </w:rPr>
      </w:pPr>
      <w:r>
        <w:rPr>
          <w:rFonts w:ascii="Times New Roman" w:hAnsi="Times New Roman" w:cs="Times New Roman"/>
          <w:b w:val="0"/>
          <w:bCs w:val="0"/>
          <w:color w:val="000000" w:themeColor="text1"/>
          <w:sz w:val="24"/>
          <w:szCs w:val="24"/>
          <w:lang w:val="en-US"/>
        </w:rPr>
        <w:t xml:space="preserve"> </w:t>
      </w:r>
      <w:bookmarkStart w:id="37" w:name="_Toc230523890"/>
      <w:r w:rsidRPr="00C25DAC">
        <w:rPr>
          <w:rFonts w:ascii="Times New Roman" w:hAnsi="Times New Roman" w:cs="Times New Roman"/>
          <w:b w:val="0"/>
          <w:bCs w:val="0"/>
          <w:color w:val="000000" w:themeColor="text1"/>
          <w:sz w:val="24"/>
          <w:szCs w:val="24"/>
          <w:lang w:val="mk-MK"/>
        </w:rPr>
        <w:t xml:space="preserve">ОЕЦД принципите во </w:t>
      </w:r>
      <w:r w:rsidRPr="000E7A26">
        <w:rPr>
          <w:rFonts w:ascii="Times New Roman" w:hAnsi="Times New Roman" w:cs="Times New Roman"/>
          <w:b w:val="0"/>
          <w:bCs w:val="0"/>
          <w:color w:val="000000" w:themeColor="text1"/>
          <w:sz w:val="24"/>
          <w:szCs w:val="24"/>
          <w:lang w:val="mk-MK"/>
        </w:rPr>
        <w:t>континенталното право</w:t>
      </w:r>
      <w:bookmarkEnd w:id="37"/>
    </w:p>
    <w:p w14:paraId="08B30719" w14:textId="392CEE99" w:rsidR="00AB4066" w:rsidRDefault="0074428A" w:rsidP="007F779C">
      <w:pPr>
        <w:pStyle w:val="BodyText"/>
        <w:spacing w:before="240" w:after="240"/>
        <w:ind w:firstLine="720"/>
        <w:jc w:val="both"/>
        <w:rPr>
          <w:lang w:val="mk-MK"/>
        </w:rPr>
      </w:pPr>
      <w:r w:rsidRPr="0074428A">
        <w:rPr>
          <w:lang w:val="mk-MK"/>
        </w:rPr>
        <w:t xml:space="preserve">Во континенталните европски системи, особено во Германија и Холандија, Принципите на ОЕЦД се надоврзуваат на веќе постоечки традиции на работничко учество во управувањето (Mitbestimmung). Германскиот Mitbestimmungsgesetz (1976) и холандскиот Wet op de ondernemingsraden (WOR) овозможуваат значајно учество на </w:t>
      </w:r>
      <w:r w:rsidRPr="0074428A">
        <w:rPr>
          <w:lang w:val="mk-MK"/>
        </w:rPr>
        <w:lastRenderedPageBreak/>
        <w:t xml:space="preserve">работниците преку претставници во надзорните одбори и работнички совети, што претставува институционализирана верзија на </w:t>
      </w:r>
      <w:r w:rsidR="00372DD0">
        <w:rPr>
          <w:lang w:val="mk-MK"/>
        </w:rPr>
        <w:t>учество на засегнатите страни (</w:t>
      </w:r>
      <w:r w:rsidRPr="0074428A">
        <w:rPr>
          <w:lang w:val="mk-MK"/>
        </w:rPr>
        <w:t>stakeholder governance</w:t>
      </w:r>
      <w:r w:rsidR="00372DD0">
        <w:rPr>
          <w:lang w:val="mk-MK"/>
        </w:rPr>
        <w:t>)</w:t>
      </w:r>
      <w:r w:rsidRPr="0074428A">
        <w:rPr>
          <w:lang w:val="mk-MK"/>
        </w:rPr>
        <w:t>. Токму овие модели често се наведуваат како емпирска потврда на принципот VI од ОЕЦД, кој повикува на вклучување на засегнатите страни во одлучувањето.</w:t>
      </w:r>
      <w:r w:rsidR="00981783">
        <w:rPr>
          <w:rStyle w:val="FootnoteReference"/>
          <w:lang w:val="mk-MK"/>
        </w:rPr>
        <w:footnoteReference w:id="420"/>
      </w:r>
      <w:r w:rsidRPr="0074428A">
        <w:rPr>
          <w:lang w:val="mk-MK"/>
        </w:rPr>
        <w:t xml:space="preserve"> </w:t>
      </w:r>
    </w:p>
    <w:p w14:paraId="3BAB897B" w14:textId="77777777" w:rsidR="0069339D" w:rsidRDefault="0074428A" w:rsidP="007F779C">
      <w:pPr>
        <w:pStyle w:val="BodyText"/>
        <w:spacing w:before="240" w:after="240"/>
        <w:ind w:firstLine="720"/>
        <w:jc w:val="both"/>
        <w:rPr>
          <w:lang w:val="en-US"/>
        </w:rPr>
      </w:pPr>
      <w:r w:rsidRPr="0074428A">
        <w:rPr>
          <w:lang w:val="mk-MK"/>
        </w:rPr>
        <w:t xml:space="preserve">Во скандинавските земји, каде социјалниот дијалог и трипартизмот се вградени во правната и политичката култура, примената на ОЕЦД </w:t>
      </w:r>
      <w:r w:rsidR="00AB4066">
        <w:rPr>
          <w:lang w:val="mk-MK"/>
        </w:rPr>
        <w:t>п</w:t>
      </w:r>
      <w:r w:rsidRPr="0074428A">
        <w:rPr>
          <w:lang w:val="mk-MK"/>
        </w:rPr>
        <w:t>ринципите е уште поинтегрирана. Шведска, Данска и Норвешка го гледаат корпоративното управување како проширен процес на демократска одговорност, при што државата, синдикатите и компаниите имаат координирани улоги во дефинирањето на стандардите за транспарентност и учество.</w:t>
      </w:r>
      <w:r w:rsidR="0069339D">
        <w:rPr>
          <w:rStyle w:val="FootnoteReference"/>
          <w:lang w:val="mk-MK"/>
        </w:rPr>
        <w:footnoteReference w:id="421"/>
      </w:r>
      <w:r w:rsidRPr="0074428A">
        <w:rPr>
          <w:lang w:val="mk-MK"/>
        </w:rPr>
        <w:t xml:space="preserve"> </w:t>
      </w:r>
    </w:p>
    <w:p w14:paraId="41DF8591" w14:textId="09BB199F" w:rsidR="006B4790" w:rsidRPr="00F03E26" w:rsidRDefault="0074428A" w:rsidP="00F03E26">
      <w:pPr>
        <w:pStyle w:val="BodyText"/>
        <w:spacing w:before="240" w:after="240"/>
        <w:ind w:firstLine="720"/>
        <w:jc w:val="both"/>
        <w:rPr>
          <w:lang w:val="mk-MK"/>
        </w:rPr>
      </w:pPr>
      <w:r w:rsidRPr="0074428A">
        <w:rPr>
          <w:lang w:val="mk-MK"/>
        </w:rPr>
        <w:t>Во земјите во постсоцијалистичка и транзициска фаза</w:t>
      </w:r>
      <w:r w:rsidR="000002DB">
        <w:rPr>
          <w:lang w:val="mk-MK"/>
        </w:rPr>
        <w:t xml:space="preserve"> во овој поглед</w:t>
      </w:r>
      <w:r w:rsidRPr="0074428A">
        <w:rPr>
          <w:lang w:val="mk-MK"/>
        </w:rPr>
        <w:t xml:space="preserve">, имплементацијата на ОЕЦД </w:t>
      </w:r>
      <w:r w:rsidR="000002DB">
        <w:rPr>
          <w:lang w:val="mk-MK"/>
        </w:rPr>
        <w:t>п</w:t>
      </w:r>
      <w:r w:rsidRPr="0074428A">
        <w:rPr>
          <w:lang w:val="mk-MK"/>
        </w:rPr>
        <w:t xml:space="preserve">ринципите се соочува со структурни предизвици. </w:t>
      </w:r>
      <w:r w:rsidR="00A22AE0">
        <w:rPr>
          <w:lang w:val="mk-MK"/>
        </w:rPr>
        <w:t>Иако Македонија</w:t>
      </w:r>
      <w:r w:rsidRPr="0074428A">
        <w:rPr>
          <w:lang w:val="mk-MK"/>
        </w:rPr>
        <w:t xml:space="preserve"> формално ги интегрираше ОЕЦД препораките преку својот Кодекс за корпоративно управување,</w:t>
      </w:r>
      <w:r w:rsidR="00B51611">
        <w:rPr>
          <w:rStyle w:val="FootnoteReference"/>
          <w:lang w:val="mk-MK"/>
        </w:rPr>
        <w:footnoteReference w:id="422"/>
      </w:r>
      <w:r w:rsidRPr="0074428A">
        <w:rPr>
          <w:lang w:val="mk-MK"/>
        </w:rPr>
        <w:t xml:space="preserve"> суштинското вградување на stakeholder-димензијата останува ограничено. Најголемиот проблем се јавува во разликата </w:t>
      </w:r>
      <w:r w:rsidR="00D469F8">
        <w:rPr>
          <w:lang w:val="mk-MK"/>
        </w:rPr>
        <w:t>по</w:t>
      </w:r>
      <w:r w:rsidRPr="0074428A">
        <w:rPr>
          <w:lang w:val="mk-MK"/>
        </w:rPr>
        <w:t>меѓу декларативните и функционалните норми: правните рамки ги признаваат засегнатите страни, но институциите и корпоративните практики сè уште функционираат во логиката на</w:t>
      </w:r>
      <w:r w:rsidR="00B954AA">
        <w:rPr>
          <w:lang w:val="mk-MK"/>
        </w:rPr>
        <w:t xml:space="preserve"> замислен</w:t>
      </w:r>
      <w:r w:rsidRPr="0074428A">
        <w:rPr>
          <w:lang w:val="mk-MK"/>
        </w:rPr>
        <w:t xml:space="preserve"> акционерски капитализам</w:t>
      </w:r>
      <w:r w:rsidR="00D469F8">
        <w:rPr>
          <w:lang w:val="mk-MK"/>
        </w:rPr>
        <w:t>.</w:t>
      </w:r>
    </w:p>
    <w:p w14:paraId="3713E61D" w14:textId="77777777" w:rsidR="006B4790" w:rsidRDefault="006B4790" w:rsidP="009330C0">
      <w:pPr>
        <w:pStyle w:val="Heading2"/>
        <w:numPr>
          <w:ilvl w:val="1"/>
          <w:numId w:val="13"/>
        </w:numPr>
        <w:spacing w:before="0"/>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38" w:name="_Toc230523891"/>
      <w:r>
        <w:rPr>
          <w:rFonts w:ascii="Times New Roman" w:hAnsi="Times New Roman" w:cs="Times New Roman"/>
          <w:b w:val="0"/>
          <w:bCs w:val="0"/>
          <w:color w:val="000000" w:themeColor="text1"/>
          <w:sz w:val="24"/>
          <w:szCs w:val="24"/>
          <w:lang w:val="mk-MK"/>
        </w:rPr>
        <w:t>Пристапот на Македонија кон принципите на ОЕЦД</w:t>
      </w:r>
      <w:bookmarkEnd w:id="38"/>
      <w:r>
        <w:rPr>
          <w:rFonts w:ascii="Times New Roman" w:hAnsi="Times New Roman" w:cs="Times New Roman"/>
          <w:b w:val="0"/>
          <w:bCs w:val="0"/>
          <w:color w:val="000000" w:themeColor="text1"/>
          <w:sz w:val="24"/>
          <w:szCs w:val="24"/>
          <w:lang w:val="mk-MK"/>
        </w:rPr>
        <w:t xml:space="preserve"> </w:t>
      </w:r>
    </w:p>
    <w:p w14:paraId="6A940B96" w14:textId="77777777" w:rsidR="00A56CA2" w:rsidRDefault="006B4790" w:rsidP="006B4790">
      <w:pPr>
        <w:pStyle w:val="BodyText"/>
        <w:spacing w:before="240"/>
        <w:ind w:firstLine="720"/>
        <w:jc w:val="both"/>
        <w:rPr>
          <w:lang w:val="en-US"/>
        </w:rPr>
      </w:pPr>
      <w:r w:rsidRPr="00EC6335">
        <w:rPr>
          <w:lang w:val="mk-MK"/>
        </w:rPr>
        <w:t xml:space="preserve">Во постсоцијалистичките земји, меѓу кои </w:t>
      </w:r>
      <w:r>
        <w:rPr>
          <w:lang w:val="mk-MK"/>
        </w:rPr>
        <w:t xml:space="preserve">е и </w:t>
      </w:r>
      <w:r w:rsidRPr="00EC6335">
        <w:rPr>
          <w:lang w:val="mk-MK"/>
        </w:rPr>
        <w:t>Македонија, имплементацијата на ОЕЦД принципите се одвива под влијание на процесите на европеизација и меѓународните програми за корпоративна реформа.</w:t>
      </w:r>
      <w:r>
        <w:rPr>
          <w:rStyle w:val="FootnoteReference"/>
          <w:lang w:val="mk-MK"/>
        </w:rPr>
        <w:footnoteReference w:id="423"/>
      </w:r>
      <w:r w:rsidRPr="00EC6335">
        <w:rPr>
          <w:lang w:val="mk-MK"/>
        </w:rPr>
        <w:t xml:space="preserve"> Сепак, таму каде што нема силни традиции на работничко учество, ОЕЦД принципите често остануваат симболичка рамка без вистинско вкоренување во корпоративната пракса. Тоа ја открива основната слабост на </w:t>
      </w:r>
      <w:r>
        <w:rPr>
          <w:lang w:val="mk-MK"/>
        </w:rPr>
        <w:t xml:space="preserve">таканаречените трансплантирачки реформи, </w:t>
      </w:r>
      <w:r w:rsidRPr="00EC6335">
        <w:rPr>
          <w:lang w:val="mk-MK"/>
        </w:rPr>
        <w:t>каде што нормите се пренесуваат формално, но без соодветна институционална инфраструктура</w:t>
      </w:r>
      <w:r>
        <w:rPr>
          <w:lang w:val="mk-MK"/>
        </w:rPr>
        <w:t xml:space="preserve">. </w:t>
      </w:r>
    </w:p>
    <w:p w14:paraId="116FC998" w14:textId="45084D8E" w:rsidR="006B4790" w:rsidRDefault="006B4790" w:rsidP="006B4790">
      <w:pPr>
        <w:pStyle w:val="BodyText"/>
        <w:spacing w:before="240"/>
        <w:ind w:firstLine="720"/>
        <w:jc w:val="both"/>
        <w:rPr>
          <w:lang w:val="mk-MK"/>
        </w:rPr>
      </w:pPr>
      <w:r w:rsidRPr="004D481D">
        <w:rPr>
          <w:lang w:val="mk-MK"/>
        </w:rPr>
        <w:t xml:space="preserve">Македонија не е членка на ОЕЦД, но е земја со која ОЕЦД соработува преку својата Регионална програма за Југоисточна Европа за поддршка на економските реформи и конвергенцијата. ОЕЦД соработува </w:t>
      </w:r>
      <w:r>
        <w:rPr>
          <w:lang w:val="mk-MK"/>
        </w:rPr>
        <w:t>со</w:t>
      </w:r>
      <w:r w:rsidRPr="004D481D">
        <w:rPr>
          <w:lang w:val="mk-MK"/>
        </w:rPr>
        <w:t xml:space="preserve"> Македонија на разни иницијативи, како што се Индексот на политики за мали и средни претпријатија и Патоказот за циркуларна економија, за да помогне во усогласувањето на политики</w:t>
      </w:r>
      <w:r>
        <w:rPr>
          <w:lang w:val="mk-MK"/>
        </w:rPr>
        <w:t>те</w:t>
      </w:r>
      <w:r w:rsidRPr="004D481D">
        <w:rPr>
          <w:lang w:val="mk-MK"/>
        </w:rPr>
        <w:t xml:space="preserve"> и стандарди</w:t>
      </w:r>
      <w:r>
        <w:rPr>
          <w:lang w:val="mk-MK"/>
        </w:rPr>
        <w:t>те</w:t>
      </w:r>
      <w:r w:rsidRPr="004D481D">
        <w:rPr>
          <w:lang w:val="mk-MK"/>
        </w:rPr>
        <w:t xml:space="preserve"> со оние на земјите од ОЕЦД и ЕУ.</w:t>
      </w:r>
    </w:p>
    <w:p w14:paraId="499AAE15" w14:textId="5FAB8E33" w:rsidR="009A5C4F" w:rsidRPr="009A5C4F" w:rsidRDefault="006B4790" w:rsidP="009A5C4F">
      <w:pPr>
        <w:pStyle w:val="BodyText"/>
        <w:spacing w:before="240"/>
        <w:ind w:firstLine="720"/>
        <w:jc w:val="both"/>
        <w:rPr>
          <w:lang w:val="mk-MK"/>
        </w:rPr>
      </w:pPr>
      <w:r>
        <w:rPr>
          <w:lang w:val="mk-MK"/>
        </w:rPr>
        <w:t xml:space="preserve">Оттука, </w:t>
      </w:r>
      <w:r w:rsidRPr="00B95A2E">
        <w:rPr>
          <w:lang w:val="mk-MK"/>
        </w:rPr>
        <w:t xml:space="preserve">ОЕЦД принципите имаат нормативно, но не и правно дејство. Земјата, иако не е членка на ОЕЦД, е потписник на </w:t>
      </w:r>
      <w:r>
        <w:rPr>
          <w:lang w:val="mk-MK"/>
        </w:rPr>
        <w:t>горенаведените иницијативи</w:t>
      </w:r>
      <w:r w:rsidRPr="00B95A2E">
        <w:rPr>
          <w:lang w:val="mk-MK"/>
        </w:rPr>
        <w:t xml:space="preserve"> преку кои се промовира транспарентност и корпоративна отчетност. Во Законот за трговски друштва и националниот Кодекс за корпоративно управување </w:t>
      </w:r>
      <w:r>
        <w:rPr>
          <w:lang w:val="mk-MK"/>
        </w:rPr>
        <w:t>на Македонија</w:t>
      </w:r>
      <w:r w:rsidRPr="00B95A2E">
        <w:rPr>
          <w:lang w:val="mk-MK"/>
        </w:rPr>
        <w:t xml:space="preserve">, постојат одредби што го следат духот на ОЕЦД принципите, но без експлицитно признание на работниците како засегнати страни. Работничкото учество е спомнато во општ контекст </w:t>
      </w:r>
      <w:r w:rsidRPr="00B95A2E">
        <w:rPr>
          <w:lang w:val="mk-MK"/>
        </w:rPr>
        <w:lastRenderedPageBreak/>
        <w:t>на</w:t>
      </w:r>
      <w:r>
        <w:rPr>
          <w:lang w:val="mk-MK"/>
        </w:rPr>
        <w:t xml:space="preserve"> шест места во кодексот, </w:t>
      </w:r>
      <w:r w:rsidRPr="00B95A2E">
        <w:rPr>
          <w:lang w:val="mk-MK"/>
        </w:rPr>
        <w:t>но не постојат механизми за институционализирано претставување на нивните интереси во управувачките органи.</w:t>
      </w:r>
      <w:r w:rsidR="00CD4418">
        <w:rPr>
          <w:rStyle w:val="FootnoteReference"/>
          <w:lang w:val="mk-MK"/>
        </w:rPr>
        <w:footnoteReference w:id="424"/>
      </w:r>
      <w:r w:rsidRPr="00B95A2E">
        <w:rPr>
          <w:lang w:val="mk-MK"/>
        </w:rPr>
        <w:t xml:space="preserve"> </w:t>
      </w:r>
    </w:p>
    <w:p w14:paraId="6B0E58CC" w14:textId="77777777" w:rsidR="006B4790" w:rsidRDefault="006B4790" w:rsidP="006B4790">
      <w:pPr>
        <w:pStyle w:val="BodyText"/>
        <w:spacing w:before="240"/>
        <w:ind w:firstLine="720"/>
        <w:jc w:val="both"/>
        <w:rPr>
          <w:lang w:val="mk-MK"/>
        </w:rPr>
      </w:pPr>
      <w:r w:rsidRPr="00B95A2E">
        <w:rPr>
          <w:lang w:val="mk-MK"/>
        </w:rPr>
        <w:t xml:space="preserve">Оваа празнина покажува дека македонската регулаторна рамка ја третира корпоративната одговорност претежно како доброволен етички стандард, а не како составен дел на корпоративното управување. Ваквиот пристап ја ограничува можноста за синергија </w:t>
      </w:r>
      <w:r>
        <w:rPr>
          <w:lang w:val="mk-MK"/>
        </w:rPr>
        <w:t>по</w:t>
      </w:r>
      <w:r w:rsidRPr="00B95A2E">
        <w:rPr>
          <w:lang w:val="mk-MK"/>
        </w:rPr>
        <w:t xml:space="preserve">меѓу трудовите стандарди на МОТ и принципите на ОЕЦД, кои заедно можат да создадат потранспарентен и </w:t>
      </w:r>
      <w:r>
        <w:rPr>
          <w:lang w:val="mk-MK"/>
        </w:rPr>
        <w:t>подинамичен</w:t>
      </w:r>
      <w:r w:rsidRPr="00B95A2E">
        <w:rPr>
          <w:lang w:val="mk-MK"/>
        </w:rPr>
        <w:t xml:space="preserve"> систем.</w:t>
      </w:r>
      <w:r>
        <w:rPr>
          <w:lang w:val="mk-MK"/>
        </w:rPr>
        <w:t xml:space="preserve"> Дополнително, релативната опскурност на кодексот и неговото практично невидливо постоење е уште еден знак за неговата мала важност во секојдневието на корпорациите кои работат во или се поврзани со Македонија. </w:t>
      </w:r>
    </w:p>
    <w:p w14:paraId="7C31EF40" w14:textId="03D46342" w:rsidR="00F04F9F" w:rsidRDefault="00F04F9F" w:rsidP="00F04F9F">
      <w:pPr>
        <w:pStyle w:val="BodyText"/>
        <w:spacing w:before="240" w:after="240"/>
        <w:ind w:firstLine="720"/>
        <w:jc w:val="both"/>
        <w:rPr>
          <w:lang w:val="mk-MK"/>
        </w:rPr>
      </w:pPr>
      <w:r>
        <w:rPr>
          <w:lang w:val="mk-MK"/>
        </w:rPr>
        <w:t>Г</w:t>
      </w:r>
      <w:r w:rsidRPr="00D33923">
        <w:rPr>
          <w:lang w:val="mk-MK"/>
        </w:rPr>
        <w:t xml:space="preserve">лавната предност на ОЕЦД принципите </w:t>
      </w:r>
      <w:r>
        <w:rPr>
          <w:lang w:val="mk-MK"/>
        </w:rPr>
        <w:t>претставува</w:t>
      </w:r>
      <w:r w:rsidRPr="00D33923">
        <w:rPr>
          <w:lang w:val="mk-MK"/>
        </w:rPr>
        <w:t xml:space="preserve"> нивната флексибилност и универзалност</w:t>
      </w:r>
      <w:r>
        <w:rPr>
          <w:lang w:val="mk-MK"/>
        </w:rPr>
        <w:t xml:space="preserve"> и тоа што </w:t>
      </w:r>
      <w:r w:rsidRPr="00D33923">
        <w:rPr>
          <w:lang w:val="mk-MK"/>
        </w:rPr>
        <w:t xml:space="preserve">тие дозволуваат различни патишта кон истата цел: ефикасно, транспарентно и одговорно управување. </w:t>
      </w:r>
      <w:r>
        <w:rPr>
          <w:lang w:val="mk-MK"/>
        </w:rPr>
        <w:t>Сепак</w:t>
      </w:r>
      <w:r w:rsidRPr="00D33923">
        <w:rPr>
          <w:lang w:val="mk-MK"/>
        </w:rPr>
        <w:t xml:space="preserve">, токму таа флексибилност ја </w:t>
      </w:r>
      <w:r>
        <w:rPr>
          <w:lang w:val="mk-MK"/>
        </w:rPr>
        <w:t>потенцира</w:t>
      </w:r>
      <w:r w:rsidRPr="00D33923">
        <w:rPr>
          <w:lang w:val="mk-MK"/>
        </w:rPr>
        <w:t xml:space="preserve"> и нивната слабост</w:t>
      </w:r>
      <w:r w:rsidR="00E8650F">
        <w:rPr>
          <w:lang w:val="mk-MK"/>
        </w:rPr>
        <w:t xml:space="preserve"> затоа што</w:t>
      </w:r>
      <w:r w:rsidRPr="00D33923">
        <w:rPr>
          <w:lang w:val="mk-MK"/>
        </w:rPr>
        <w:t xml:space="preserve"> во отсуство на политичка волја и институционален капацитет, принципите лесно можат да се сведат на декларативен документ без реално влијание. Во компаративна перспектива, земјите со силен социјален дијалог и институционализирани синдикати успеваат да ги претворат ОЕЦД принципите во живи стандарди, додека земјите со слаби механизми на работничко застапување ги применуваат површно и формално</w:t>
      </w:r>
      <w:r>
        <w:rPr>
          <w:lang w:val="en-US"/>
        </w:rPr>
        <w:t xml:space="preserve"> </w:t>
      </w:r>
      <w:r>
        <w:rPr>
          <w:lang w:val="mk-MK"/>
        </w:rPr>
        <w:t>или воопшто не ги применуваат</w:t>
      </w:r>
      <w:r w:rsidRPr="00D33923">
        <w:rPr>
          <w:lang w:val="mk-MK"/>
        </w:rPr>
        <w:t xml:space="preserve">. </w:t>
      </w:r>
      <w:r>
        <w:rPr>
          <w:lang w:val="mk-MK"/>
        </w:rPr>
        <w:t>За жал, Македонија во моментов не</w:t>
      </w:r>
      <w:r w:rsidRPr="00D33923">
        <w:rPr>
          <w:lang w:val="mk-MK"/>
        </w:rPr>
        <w:t xml:space="preserve"> создава услови каде работниците стануваат партнери во управувањето.</w:t>
      </w:r>
    </w:p>
    <w:p w14:paraId="24E8850B" w14:textId="00A95BC3" w:rsidR="00AF5D79" w:rsidRDefault="00AF5D79" w:rsidP="00F04F9F">
      <w:pPr>
        <w:pStyle w:val="BodyText"/>
        <w:spacing w:before="240" w:after="240"/>
        <w:ind w:firstLine="720"/>
        <w:jc w:val="both"/>
        <w:rPr>
          <w:lang w:val="mk-MK"/>
        </w:rPr>
      </w:pPr>
      <w:r w:rsidRPr="00AF5D79">
        <w:rPr>
          <w:lang w:val="mk-MK"/>
        </w:rPr>
        <w:t>Од друга страна, присуството на транснационални корпорации воведува различ</w:t>
      </w:r>
      <w:r w:rsidR="00340219">
        <w:rPr>
          <w:lang w:val="mk-MK"/>
        </w:rPr>
        <w:t>на динамика и своевиден</w:t>
      </w:r>
      <w:r w:rsidRPr="00AF5D79">
        <w:rPr>
          <w:lang w:val="mk-MK"/>
        </w:rPr>
        <w:t xml:space="preserve"> притисок</w:t>
      </w:r>
      <w:r w:rsidR="00340219">
        <w:rPr>
          <w:lang w:val="mk-MK"/>
        </w:rPr>
        <w:t xml:space="preserve"> кон домашните трговски друштва</w:t>
      </w:r>
      <w:r w:rsidRPr="00AF5D79">
        <w:rPr>
          <w:lang w:val="mk-MK"/>
        </w:rPr>
        <w:t>. Овие компании често ги применуваат минималните стандарди на своите матични пазари, но ретко ги унапредуваат практиките над законскиот минимум, особено во средини со слаба регулација. Иако транснационалните групации носат поголема дисциплина во однос на финансиската транспарентност, тие не секогаш придонесуваат кон локалн</w:t>
      </w:r>
      <w:r w:rsidR="00FF4F72">
        <w:rPr>
          <w:lang w:val="mk-MK"/>
        </w:rPr>
        <w:t>о водство</w:t>
      </w:r>
      <w:r w:rsidRPr="00AF5D79">
        <w:rPr>
          <w:lang w:val="mk-MK"/>
        </w:rPr>
        <w:t xml:space="preserve"> во корпоративното управување, ниту кон унапредување на работничките права. На тој начин, ОЕЦД принципите во Македонија постојат како нормативен хоризонт што ја артикулира визијата за модерна и транспарентна корпоративна култура, но нивната реализација се соочува со системски ограничувања произлезени од политичката економија, институционалната слабост и асиметричната моќ на глобалниот капитал.</w:t>
      </w:r>
    </w:p>
    <w:p w14:paraId="4FD92529" w14:textId="77777777" w:rsidR="00A072EB" w:rsidRDefault="00E1314D" w:rsidP="006B4790">
      <w:pPr>
        <w:pStyle w:val="BodyText"/>
        <w:spacing w:before="240"/>
        <w:ind w:firstLine="720"/>
        <w:jc w:val="both"/>
        <w:rPr>
          <w:lang w:val="mk-MK"/>
        </w:rPr>
      </w:pPr>
      <w:r>
        <w:rPr>
          <w:lang w:val="mk-MK"/>
        </w:rPr>
        <w:t>Сумирано</w:t>
      </w:r>
      <w:r w:rsidR="001C0A0E">
        <w:rPr>
          <w:lang w:val="mk-MK"/>
        </w:rPr>
        <w:t xml:space="preserve">, </w:t>
      </w:r>
      <w:r w:rsidR="001C0A0E" w:rsidRPr="001C0A0E">
        <w:rPr>
          <w:lang w:val="mk-MK"/>
        </w:rPr>
        <w:t xml:space="preserve">ОЕЦД принципите за корпоративно управување формално претставуваат ориентациски стандард за модернизација на деловното право, но нивната реална примена останува ограничена и фрагментирана. Државата ги препознава како неопходни за приближување кон европските регулативи, за подобрување на инвестиционата клима и за привлекување странски капитал. Во законодавството, особено во Законот за трговски друштва и во рамките на Комисијата за хартии од вредност, може да се види обид за усогласување со некои од принципите, особено во делот на транспарентност, обелоденување и основните права на акционерите. </w:t>
      </w:r>
    </w:p>
    <w:p w14:paraId="477D7E99" w14:textId="03EBD784" w:rsidR="006B4790" w:rsidRPr="00A072EB" w:rsidRDefault="001C0A0E" w:rsidP="00A072EB">
      <w:pPr>
        <w:pStyle w:val="BodyText"/>
        <w:spacing w:before="240" w:after="240"/>
        <w:ind w:firstLine="720"/>
        <w:jc w:val="both"/>
        <w:rPr>
          <w:lang w:val="mk-MK"/>
        </w:rPr>
      </w:pPr>
      <w:r w:rsidRPr="001C0A0E">
        <w:rPr>
          <w:lang w:val="mk-MK"/>
        </w:rPr>
        <w:t xml:space="preserve">Сепак, во пракса тие функционираат повеќе како нормативен идеал отколку како материјален извор на корпоративно поведение. Во контексти каде локалните политички елити се корумпирани или длабоко вмрежени со управувачките структури на државните претпријатија, ОЕЦД принципите имаат ограничена трансформативна моќ. </w:t>
      </w:r>
      <w:r w:rsidRPr="001C0A0E">
        <w:rPr>
          <w:lang w:val="mk-MK"/>
        </w:rPr>
        <w:lastRenderedPageBreak/>
        <w:t>Корпоративното управување во Македонија се карактеризира со клиентелизам, политички назначени управни одбори и минимална институционална независност. Во такви услови, принципите за одговорност, независен надзор, работничко учество или интегрирање на одржливост стануваат декларативни, бидејќи нивната примена би нарушила постојни мрежи на контрола и рента. Оттука, влијанието на ОЕЦД рамката често зависи од надворешен притисок, особено преку ЕУ интеграции или меѓународни финансиски институции.</w:t>
      </w:r>
    </w:p>
    <w:p w14:paraId="4E1B09A1" w14:textId="651B2FA1" w:rsidR="004F7CF4" w:rsidRPr="006377B2" w:rsidRDefault="00C5454A" w:rsidP="009330C0">
      <w:pPr>
        <w:pStyle w:val="Heading1"/>
        <w:numPr>
          <w:ilvl w:val="0"/>
          <w:numId w:val="10"/>
        </w:numPr>
        <w:jc w:val="both"/>
      </w:pPr>
      <w:bookmarkStart w:id="39" w:name="_Toc230523892"/>
      <w:r w:rsidRPr="00C5454A">
        <w:t>Инструменти на Советот на Европа</w:t>
      </w:r>
      <w:bookmarkEnd w:id="39"/>
    </w:p>
    <w:p w14:paraId="76413729" w14:textId="28329072" w:rsidR="00430732" w:rsidRPr="00372F05" w:rsidRDefault="008F77B8" w:rsidP="00215BB7">
      <w:pPr>
        <w:pStyle w:val="BodyText"/>
        <w:spacing w:before="240" w:after="240"/>
        <w:ind w:firstLine="720"/>
        <w:jc w:val="both"/>
        <w:rPr>
          <w:lang w:val="en-US"/>
        </w:rPr>
      </w:pPr>
      <w:r w:rsidRPr="008F77B8">
        <w:rPr>
          <w:lang w:val="mk-MK"/>
        </w:rPr>
        <w:t>Советот на Европа (CoE), основан во 1949 година со цел промоција на демократијата, владеењето на правото и човековите права,</w:t>
      </w:r>
      <w:r w:rsidR="00A23286">
        <w:rPr>
          <w:rStyle w:val="FootnoteReference"/>
          <w:lang w:val="mk-MK"/>
        </w:rPr>
        <w:footnoteReference w:id="425"/>
      </w:r>
      <w:r w:rsidR="001F0C58">
        <w:rPr>
          <w:lang w:val="en-US"/>
        </w:rPr>
        <w:t xml:space="preserve"> </w:t>
      </w:r>
      <w:r w:rsidR="001F0C58">
        <w:rPr>
          <w:lang w:val="mk-MK"/>
        </w:rPr>
        <w:t>има</w:t>
      </w:r>
      <w:r w:rsidRPr="008F77B8">
        <w:rPr>
          <w:lang w:val="mk-MK"/>
        </w:rPr>
        <w:t xml:space="preserve"> разви</w:t>
      </w:r>
      <w:r w:rsidR="001F0C58">
        <w:rPr>
          <w:lang w:val="mk-MK"/>
        </w:rPr>
        <w:t>ено</w:t>
      </w:r>
      <w:r w:rsidRPr="008F77B8">
        <w:rPr>
          <w:lang w:val="mk-MK"/>
        </w:rPr>
        <w:t xml:space="preserve"> слоевит систем на правно-политички инструменти, кои иако првично</w:t>
      </w:r>
      <w:r w:rsidR="005541FA">
        <w:rPr>
          <w:lang w:val="en-US"/>
        </w:rPr>
        <w:t xml:space="preserve"> </w:t>
      </w:r>
      <w:r w:rsidR="005541FA">
        <w:rPr>
          <w:lang w:val="mk-MK"/>
        </w:rPr>
        <w:t>биле</w:t>
      </w:r>
      <w:r w:rsidRPr="008F77B8">
        <w:rPr>
          <w:lang w:val="mk-MK"/>
        </w:rPr>
        <w:t xml:space="preserve"> насочени кон заштита на индивидуалните права</w:t>
      </w:r>
      <w:r w:rsidR="005541FA">
        <w:rPr>
          <w:lang w:val="mk-MK"/>
        </w:rPr>
        <w:t>,</w:t>
      </w:r>
      <w:r w:rsidRPr="008F77B8">
        <w:rPr>
          <w:lang w:val="mk-MK"/>
        </w:rPr>
        <w:t xml:space="preserve"> постепено созда</w:t>
      </w:r>
      <w:r w:rsidR="005541FA">
        <w:rPr>
          <w:lang w:val="mk-MK"/>
        </w:rPr>
        <w:t>ле</w:t>
      </w:r>
      <w:r w:rsidRPr="008F77B8">
        <w:rPr>
          <w:lang w:val="mk-MK"/>
        </w:rPr>
        <w:t xml:space="preserve"> нормативна рамка за социјална и економска демократија. </w:t>
      </w:r>
      <w:r w:rsidR="00736F99" w:rsidRPr="00736F99">
        <w:rPr>
          <w:lang w:val="mk-MK"/>
        </w:rPr>
        <w:t>Европската конвенција за човекови права, Европската социјална повелба, препораките на Комитетот на министри и јуриспруденцијата на Европскиот суд за човекови права ја создаваат нормативната рамка што ги засилува принципите на одговорност, транспарентност и учество во економските субјекти. Во контекст на корпоративното управување, ова значи дека претпријатијата не се само економски единици туку и носители на обврски кон работниците, јавноста и општеството, а нивните управни структури мора</w:t>
      </w:r>
      <w:r w:rsidR="00633C00">
        <w:rPr>
          <w:lang w:val="mk-MK"/>
        </w:rPr>
        <w:t>ат</w:t>
      </w:r>
      <w:r w:rsidR="00736F99" w:rsidRPr="00736F99">
        <w:rPr>
          <w:lang w:val="mk-MK"/>
        </w:rPr>
        <w:t xml:space="preserve"> да овозможат ефективно почитување на слободата на здружување, правото на претставување и недискриминацијата како основни демократски стандарди.</w:t>
      </w:r>
      <w:r w:rsidR="003904F4">
        <w:rPr>
          <w:rStyle w:val="FootnoteReference"/>
          <w:lang w:val="mk-MK"/>
        </w:rPr>
        <w:footnoteReference w:id="426"/>
      </w:r>
    </w:p>
    <w:p w14:paraId="144C8B09" w14:textId="6A9806B8" w:rsidR="004A51D9" w:rsidRDefault="004A51D9" w:rsidP="00215BB7">
      <w:pPr>
        <w:pStyle w:val="BodyText"/>
        <w:spacing w:before="240" w:after="240"/>
        <w:ind w:firstLine="720"/>
        <w:jc w:val="both"/>
        <w:rPr>
          <w:lang w:val="mk-MK"/>
        </w:rPr>
      </w:pPr>
      <w:r w:rsidRPr="004A51D9">
        <w:rPr>
          <w:lang w:val="mk-MK"/>
        </w:rPr>
        <w:t xml:space="preserve">Советот на Европа влијае и преку своите </w:t>
      </w:r>
      <w:r w:rsidR="00475BF6">
        <w:rPr>
          <w:lang w:val="mk-MK"/>
        </w:rPr>
        <w:t>меки</w:t>
      </w:r>
      <w:r w:rsidRPr="004A51D9">
        <w:rPr>
          <w:lang w:val="mk-MK"/>
        </w:rPr>
        <w:t xml:space="preserve"> механизми, особено преку препораките за добро владеење, борба</w:t>
      </w:r>
      <w:r w:rsidR="00475BF6">
        <w:rPr>
          <w:lang w:val="mk-MK"/>
        </w:rPr>
        <w:t>та</w:t>
      </w:r>
      <w:r w:rsidRPr="004A51D9">
        <w:rPr>
          <w:lang w:val="mk-MK"/>
        </w:rPr>
        <w:t xml:space="preserve"> против корупцијата, судска</w:t>
      </w:r>
      <w:r w:rsidR="00475BF6">
        <w:rPr>
          <w:lang w:val="mk-MK"/>
        </w:rPr>
        <w:t>та</w:t>
      </w:r>
      <w:r w:rsidRPr="004A51D9">
        <w:rPr>
          <w:lang w:val="mk-MK"/>
        </w:rPr>
        <w:t xml:space="preserve"> независност и деловна транспарентност. Инструментите како ГРЕКО, групата против корупција, создаваат притисок врз државите да воспостават системи што индиректно ја подобруваат корпоративната култура. Кога институциите се поотпорни на корупција и донесувањето одлуки е поинклузивно и транспарентно и корпоративните структури</w:t>
      </w:r>
      <w:r w:rsidR="00C2171D">
        <w:rPr>
          <w:lang w:val="mk-MK"/>
        </w:rPr>
        <w:t xml:space="preserve"> природно</w:t>
      </w:r>
      <w:r w:rsidRPr="004A51D9">
        <w:rPr>
          <w:lang w:val="mk-MK"/>
        </w:rPr>
        <w:t xml:space="preserve"> се движат кон поголема отчетност. Истовремено, Европската социјална повелба и нејзиниот надзорен механизам ги зајакнуваат барањата за работничко учество, колективно договарање и заштита на претставниците на работниците, што е директно релевантно за демократски модели на корпоративно управување.</w:t>
      </w:r>
    </w:p>
    <w:p w14:paraId="6651BC10" w14:textId="39D946BD" w:rsidR="00C2171D" w:rsidRDefault="006972F3" w:rsidP="00215BB7">
      <w:pPr>
        <w:pStyle w:val="BodyText"/>
        <w:spacing w:before="240" w:after="240"/>
        <w:ind w:firstLine="720"/>
        <w:jc w:val="both"/>
        <w:rPr>
          <w:lang w:val="mk-MK"/>
        </w:rPr>
      </w:pPr>
      <w:r w:rsidRPr="006972F3">
        <w:rPr>
          <w:lang w:val="mk-MK"/>
        </w:rPr>
        <w:t>Во земји како Македонија, каде корпоративното управување е под влијание на слабата институционална култура и доминантни политичко економски интереси, инструментите на Советот на Европа служат како надворешен гарант на минималните стандарди</w:t>
      </w:r>
      <w:r w:rsidR="00645F87">
        <w:rPr>
          <w:lang w:val="en-US"/>
        </w:rPr>
        <w:t xml:space="preserve"> </w:t>
      </w:r>
      <w:r w:rsidR="00645F87">
        <w:rPr>
          <w:lang w:val="mk-MK"/>
        </w:rPr>
        <w:t>директно спроведлив во Македонија</w:t>
      </w:r>
      <w:r w:rsidRPr="006972F3">
        <w:rPr>
          <w:lang w:val="mk-MK"/>
        </w:rPr>
        <w:t>. Практиката на Европскиот суд за човекови права, особено во случаи што се однесуваат на синдикално здружување и колективни права, обезбедува јуриспруденција која постепено ги премостува празнините во националното законодавство и го проширува просторот за учество на работниците во управните процеси. На тој начин, С</w:t>
      </w:r>
      <w:r w:rsidR="00631A81">
        <w:rPr>
          <w:lang w:val="mk-MK"/>
        </w:rPr>
        <w:t xml:space="preserve">Е </w:t>
      </w:r>
      <w:r w:rsidRPr="006972F3">
        <w:rPr>
          <w:lang w:val="mk-MK"/>
        </w:rPr>
        <w:t xml:space="preserve">работи како </w:t>
      </w:r>
      <w:r w:rsidR="00631A81">
        <w:rPr>
          <w:lang w:val="mk-MK"/>
        </w:rPr>
        <w:t>наднационален</w:t>
      </w:r>
      <w:r w:rsidRPr="006972F3">
        <w:rPr>
          <w:lang w:val="mk-MK"/>
        </w:rPr>
        <w:t xml:space="preserve"> коректив што ја поврзува корпоративната сфера со пошироката архитектура на демократијата, создавајќи услови </w:t>
      </w:r>
      <w:r w:rsidR="00A72076">
        <w:rPr>
          <w:lang w:val="mk-MK"/>
        </w:rPr>
        <w:t>за поголема вклученост на вработените</w:t>
      </w:r>
      <w:r w:rsidRPr="006972F3">
        <w:rPr>
          <w:lang w:val="mk-MK"/>
        </w:rPr>
        <w:t>.</w:t>
      </w:r>
    </w:p>
    <w:p w14:paraId="06E9F71A" w14:textId="28007170" w:rsidR="002777A4" w:rsidRDefault="000C11F6" w:rsidP="00085F58">
      <w:pPr>
        <w:pStyle w:val="Heading2"/>
        <w:numPr>
          <w:ilvl w:val="0"/>
          <w:numId w:val="0"/>
        </w:numPr>
        <w:rPr>
          <w:rFonts w:ascii="Times New Roman" w:hAnsi="Times New Roman" w:cs="Times New Roman"/>
          <w:b w:val="0"/>
          <w:bCs w:val="0"/>
          <w:color w:val="000000" w:themeColor="text1"/>
          <w:sz w:val="24"/>
          <w:szCs w:val="24"/>
          <w:lang w:val="mk-MK"/>
        </w:rPr>
      </w:pPr>
      <w:bookmarkStart w:id="40" w:name="_Toc230523893"/>
      <w:r w:rsidRPr="004A51D9">
        <w:rPr>
          <w:rFonts w:ascii="Times New Roman" w:hAnsi="Times New Roman" w:cs="Times New Roman"/>
          <w:b w:val="0"/>
          <w:bCs w:val="0"/>
          <w:color w:val="000000" w:themeColor="text1"/>
          <w:sz w:val="24"/>
          <w:szCs w:val="24"/>
          <w:lang w:val="mk-MK"/>
        </w:rPr>
        <w:lastRenderedPageBreak/>
        <w:t xml:space="preserve">4.1. </w:t>
      </w:r>
      <w:r w:rsidR="002777A4" w:rsidRPr="004A51D9">
        <w:rPr>
          <w:rFonts w:ascii="Times New Roman" w:hAnsi="Times New Roman" w:cs="Times New Roman"/>
          <w:b w:val="0"/>
          <w:bCs w:val="0"/>
          <w:color w:val="000000" w:themeColor="text1"/>
          <w:sz w:val="24"/>
          <w:szCs w:val="24"/>
          <w:lang w:val="mk-MK"/>
        </w:rPr>
        <w:t>Европска конвенција за човекови права</w:t>
      </w:r>
      <w:bookmarkEnd w:id="40"/>
      <w:r w:rsidR="002777A4" w:rsidRPr="004A51D9">
        <w:rPr>
          <w:rFonts w:ascii="Times New Roman" w:hAnsi="Times New Roman" w:cs="Times New Roman"/>
          <w:b w:val="0"/>
          <w:bCs w:val="0"/>
          <w:color w:val="000000" w:themeColor="text1"/>
          <w:sz w:val="24"/>
          <w:szCs w:val="24"/>
          <w:lang w:val="mk-MK"/>
        </w:rPr>
        <w:t xml:space="preserve"> </w:t>
      </w:r>
    </w:p>
    <w:p w14:paraId="7FA58EDD" w14:textId="50D25F14" w:rsidR="00E33BE1" w:rsidRDefault="00B94CD0" w:rsidP="00E33BE1">
      <w:pPr>
        <w:pStyle w:val="BodyText"/>
        <w:ind w:firstLine="720"/>
        <w:jc w:val="both"/>
        <w:rPr>
          <w:lang w:val="en-US"/>
        </w:rPr>
      </w:pPr>
      <w:r w:rsidRPr="00B94CD0">
        <w:rPr>
          <w:lang w:val="mk-MK"/>
        </w:rPr>
        <w:t>Европската конвенција за човекови права е еден од најмоќните и највлијателните меѓународни инструменти за заштита на индивидуалните слободи и гарантирање на владеењето на правото во Европа. Усвоена во 1950 година во рамките на Советот на Европа, таа претставува прв современ, регионален и правно обврзувачки документ што на државите им наметнува јасни, извршливи обврски во сферата на човековите права.</w:t>
      </w:r>
      <w:r w:rsidR="00106CAF">
        <w:rPr>
          <w:rStyle w:val="FootnoteReference"/>
          <w:lang w:val="mk-MK"/>
        </w:rPr>
        <w:footnoteReference w:id="427"/>
      </w:r>
      <w:r w:rsidRPr="00B94CD0">
        <w:rPr>
          <w:lang w:val="mk-MK"/>
        </w:rPr>
        <w:t xml:space="preserve"> Конвенцијата ги кодифицира темелните права како што се правото на живот,</w:t>
      </w:r>
      <w:r w:rsidR="00940339">
        <w:rPr>
          <w:rStyle w:val="FootnoteReference"/>
          <w:lang w:val="mk-MK"/>
        </w:rPr>
        <w:footnoteReference w:id="428"/>
      </w:r>
      <w:r w:rsidRPr="00B94CD0">
        <w:rPr>
          <w:lang w:val="mk-MK"/>
        </w:rPr>
        <w:t xml:space="preserve"> забраната на тортура,</w:t>
      </w:r>
      <w:r w:rsidR="00940339">
        <w:rPr>
          <w:rStyle w:val="FootnoteReference"/>
          <w:lang w:val="mk-MK"/>
        </w:rPr>
        <w:footnoteReference w:id="429"/>
      </w:r>
      <w:r w:rsidRPr="00B94CD0">
        <w:rPr>
          <w:lang w:val="mk-MK"/>
        </w:rPr>
        <w:t xml:space="preserve"> правото на слобода и безбедност,</w:t>
      </w:r>
      <w:r w:rsidR="000F73B0">
        <w:rPr>
          <w:rStyle w:val="FootnoteReference"/>
          <w:lang w:val="mk-MK"/>
        </w:rPr>
        <w:footnoteReference w:id="430"/>
      </w:r>
      <w:r w:rsidRPr="00B94CD0">
        <w:rPr>
          <w:lang w:val="mk-MK"/>
        </w:rPr>
        <w:t xml:space="preserve"> слободата на здружување,</w:t>
      </w:r>
      <w:r w:rsidR="000F73B0">
        <w:rPr>
          <w:rStyle w:val="FootnoteReference"/>
          <w:lang w:val="mk-MK"/>
        </w:rPr>
        <w:footnoteReference w:id="431"/>
      </w:r>
      <w:r w:rsidRPr="00B94CD0">
        <w:rPr>
          <w:lang w:val="mk-MK"/>
        </w:rPr>
        <w:t xml:space="preserve"> правото на сопственост и правото на правично судење.</w:t>
      </w:r>
      <w:r w:rsidR="001D570E">
        <w:rPr>
          <w:rStyle w:val="FootnoteReference"/>
          <w:lang w:val="mk-MK"/>
        </w:rPr>
        <w:footnoteReference w:id="432"/>
      </w:r>
      <w:r w:rsidRPr="00B94CD0">
        <w:rPr>
          <w:lang w:val="mk-MK"/>
        </w:rPr>
        <w:t xml:space="preserve"> Оваа рамка создава конституционален хоризонт за цела Европа и ја обврзува државата </w:t>
      </w:r>
      <w:r w:rsidR="000A3466">
        <w:rPr>
          <w:lang w:val="mk-MK"/>
        </w:rPr>
        <w:t xml:space="preserve">како ентитет </w:t>
      </w:r>
      <w:r w:rsidRPr="00B94CD0">
        <w:rPr>
          <w:lang w:val="mk-MK"/>
        </w:rPr>
        <w:t>да се однесува соодветно, независно дали делува директно или преку неавторизирани структури како приватни субјекти со јавна функција.</w:t>
      </w:r>
      <w:r w:rsidR="00745CF2">
        <w:rPr>
          <w:rStyle w:val="FootnoteReference"/>
          <w:lang w:val="mk-MK"/>
        </w:rPr>
        <w:footnoteReference w:id="433"/>
      </w:r>
    </w:p>
    <w:p w14:paraId="5A1811A6" w14:textId="6C932AE2" w:rsidR="00E33BE1" w:rsidRDefault="00E33BE1" w:rsidP="00E33BE1">
      <w:pPr>
        <w:pStyle w:val="BodyText"/>
        <w:spacing w:before="240"/>
        <w:ind w:firstLine="720"/>
        <w:jc w:val="both"/>
        <w:rPr>
          <w:lang w:val="mk-MK"/>
        </w:rPr>
      </w:pPr>
      <w:r w:rsidRPr="00E33BE1">
        <w:rPr>
          <w:lang w:val="mk-MK"/>
        </w:rPr>
        <w:t>Клучната новина на Конвенцијата е воспоставувањето на Европскиот суд за човекови права, кој обезбедува наднационален надзор и има овластувањ</w:t>
      </w:r>
      <w:r w:rsidR="000A3466">
        <w:rPr>
          <w:lang w:val="mk-MK"/>
        </w:rPr>
        <w:t>а</w:t>
      </w:r>
      <w:r w:rsidRPr="00E33BE1">
        <w:rPr>
          <w:lang w:val="mk-MK"/>
        </w:rPr>
        <w:t xml:space="preserve"> да </w:t>
      </w:r>
      <w:r w:rsidR="00193BBB">
        <w:rPr>
          <w:lang w:val="mk-MK"/>
        </w:rPr>
        <w:t xml:space="preserve">донесува </w:t>
      </w:r>
      <w:r w:rsidRPr="00E33BE1">
        <w:rPr>
          <w:lang w:val="mk-MK"/>
        </w:rPr>
        <w:t xml:space="preserve">пресуди </w:t>
      </w:r>
      <w:r w:rsidR="00193BBB">
        <w:rPr>
          <w:lang w:val="mk-MK"/>
        </w:rPr>
        <w:t>кои се задолжителни за</w:t>
      </w:r>
      <w:r w:rsidRPr="00E33BE1">
        <w:rPr>
          <w:lang w:val="mk-MK"/>
        </w:rPr>
        <w:t xml:space="preserve"> државите. Ова создава уникатна состојба во меѓународното право: поединецот може да тужи држава, а државата е должна да го имплементира исходот. Заради тоа Конвенцијата не е обичен каталог на права, туку жива уставна рамка што преку судската практика постојано се развива и се акту</w:t>
      </w:r>
      <w:r w:rsidR="00BB1826">
        <w:rPr>
          <w:lang w:val="mk-MK"/>
        </w:rPr>
        <w:t>е</w:t>
      </w:r>
      <w:r w:rsidRPr="00E33BE1">
        <w:rPr>
          <w:lang w:val="mk-MK"/>
        </w:rPr>
        <w:t>лизира. Судот користи динамично и еволутивно толкување, што значи дека содржината на правата се менува според општествените развои, економските услови и измените во демократската култура на Европа.</w:t>
      </w:r>
    </w:p>
    <w:p w14:paraId="340B57F2" w14:textId="0251D1C7" w:rsidR="00732176" w:rsidRDefault="00060D79" w:rsidP="00732176">
      <w:pPr>
        <w:pStyle w:val="BodyText"/>
        <w:spacing w:before="240"/>
        <w:ind w:firstLine="720"/>
        <w:jc w:val="both"/>
        <w:rPr>
          <w:lang w:val="mk-MK"/>
        </w:rPr>
      </w:pPr>
      <w:r w:rsidRPr="00060D79">
        <w:rPr>
          <w:lang w:val="mk-MK"/>
        </w:rPr>
        <w:t>Во контекст на тема</w:t>
      </w:r>
      <w:r>
        <w:rPr>
          <w:lang w:val="mk-MK"/>
        </w:rPr>
        <w:t>та</w:t>
      </w:r>
      <w:r w:rsidRPr="00060D79">
        <w:rPr>
          <w:lang w:val="mk-MK"/>
        </w:rPr>
        <w:t xml:space="preserve">, Конвенцијата е значајна затоа што создава легален и нормативен мост </w:t>
      </w:r>
      <w:r w:rsidR="00B70DF2">
        <w:rPr>
          <w:lang w:val="mk-MK"/>
        </w:rPr>
        <w:t>по</w:t>
      </w:r>
      <w:r w:rsidRPr="00060D79">
        <w:rPr>
          <w:lang w:val="mk-MK"/>
        </w:rPr>
        <w:t>меѓу човековите права и економските структури како што се претпријатијата, синдикатите и корпоративните управувачки органи. Преку членот 11 за слобода на здружување, членот 1 од Протокол број 1 за сопственост,</w:t>
      </w:r>
      <w:r w:rsidR="00904782">
        <w:rPr>
          <w:rStyle w:val="FootnoteReference"/>
          <w:lang w:val="mk-MK"/>
        </w:rPr>
        <w:footnoteReference w:id="434"/>
      </w:r>
      <w:r w:rsidRPr="00060D79">
        <w:rPr>
          <w:lang w:val="mk-MK"/>
        </w:rPr>
        <w:t xml:space="preserve"> членот 6 за правично судење и членот 14 за недискриминација, Конвенцијата индиректно обликува стандарди на корпоративно управување со тоа што ја дефинира улогата на работниците, заштитата на нивните колективни права и процесните гаранции во труд</w:t>
      </w:r>
      <w:r w:rsidR="00E32144">
        <w:rPr>
          <w:lang w:val="mk-MK"/>
        </w:rPr>
        <w:t>овите</w:t>
      </w:r>
      <w:r w:rsidRPr="00060D79">
        <w:rPr>
          <w:lang w:val="mk-MK"/>
        </w:rPr>
        <w:t xml:space="preserve"> и корпоративните спорови.</w:t>
      </w:r>
      <w:r w:rsidR="001E4035">
        <w:rPr>
          <w:rStyle w:val="FootnoteReference"/>
          <w:lang w:val="mk-MK"/>
        </w:rPr>
        <w:footnoteReference w:id="435"/>
      </w:r>
      <w:r w:rsidRPr="00060D79">
        <w:rPr>
          <w:lang w:val="mk-MK"/>
        </w:rPr>
        <w:t xml:space="preserve"> </w:t>
      </w:r>
      <w:r w:rsidR="00EF3B0B" w:rsidRPr="00836A92">
        <w:rPr>
          <w:lang w:val="mk-MK"/>
        </w:rPr>
        <w:t>Иако Европската конвенција за човекови права директно не предвидува право на работничко учество, праксата на Европскиот суд за човекови права во последните две децении значително го прошири нејзиното толкување во насока на индиректна заштита на економската демократија</w:t>
      </w:r>
      <w:r w:rsidR="009870CF">
        <w:rPr>
          <w:lang w:val="en-US"/>
        </w:rPr>
        <w:t>.</w:t>
      </w:r>
      <w:r w:rsidR="00EF3B0B" w:rsidRPr="00836A92">
        <w:rPr>
          <w:lang w:val="mk-MK"/>
        </w:rPr>
        <w:t xml:space="preserve"> </w:t>
      </w:r>
    </w:p>
    <w:p w14:paraId="560D8E0A" w14:textId="6E7DE02C" w:rsidR="00CC3962" w:rsidRDefault="00CC3962" w:rsidP="00F56A19">
      <w:pPr>
        <w:pStyle w:val="Heading3"/>
        <w:rPr>
          <w:rFonts w:ascii="Times New Roman" w:hAnsi="Times New Roman" w:cs="Times New Roman"/>
          <w:i/>
          <w:iCs/>
          <w:color w:val="000000" w:themeColor="text1"/>
          <w:sz w:val="22"/>
          <w:szCs w:val="22"/>
          <w:u w:val="single"/>
          <w:lang w:val="en-US"/>
        </w:rPr>
      </w:pPr>
      <w:bookmarkStart w:id="41" w:name="_Toc230523894"/>
      <w:r w:rsidRPr="007869CA">
        <w:rPr>
          <w:rFonts w:ascii="Times New Roman" w:hAnsi="Times New Roman" w:cs="Times New Roman"/>
          <w:color w:val="000000" w:themeColor="text1"/>
          <w:sz w:val="22"/>
          <w:szCs w:val="22"/>
          <w:lang w:val="mk-MK"/>
        </w:rPr>
        <w:lastRenderedPageBreak/>
        <w:t>4.1.</w:t>
      </w:r>
      <w:r w:rsidR="00F56A19" w:rsidRPr="00F723E7">
        <w:rPr>
          <w:rFonts w:ascii="Times New Roman" w:hAnsi="Times New Roman" w:cs="Times New Roman"/>
          <w:color w:val="000000" w:themeColor="text1"/>
          <w:sz w:val="22"/>
          <w:szCs w:val="22"/>
          <w:lang w:val="en-US"/>
        </w:rPr>
        <w:t>1</w:t>
      </w:r>
      <w:r w:rsidR="00F56A19"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sidR="007869CA">
        <w:rPr>
          <w:rFonts w:ascii="Times New Roman" w:hAnsi="Times New Roman" w:cs="Times New Roman"/>
          <w:i/>
          <w:iCs/>
          <w:color w:val="000000" w:themeColor="text1"/>
          <w:sz w:val="22"/>
          <w:szCs w:val="22"/>
          <w:u w:val="single"/>
          <w:lang w:val="mk-MK"/>
        </w:rPr>
        <w:t xml:space="preserve">Член </w:t>
      </w:r>
      <w:r w:rsidR="00026D9C">
        <w:rPr>
          <w:rFonts w:ascii="Times New Roman" w:hAnsi="Times New Roman" w:cs="Times New Roman"/>
          <w:i/>
          <w:iCs/>
          <w:color w:val="000000" w:themeColor="text1"/>
          <w:sz w:val="22"/>
          <w:szCs w:val="22"/>
          <w:u w:val="single"/>
          <w:lang w:val="mk-MK"/>
        </w:rPr>
        <w:t>6</w:t>
      </w:r>
      <w:r w:rsidR="007869CA">
        <w:rPr>
          <w:rFonts w:ascii="Times New Roman" w:hAnsi="Times New Roman" w:cs="Times New Roman"/>
          <w:i/>
          <w:iCs/>
          <w:color w:val="000000" w:themeColor="text1"/>
          <w:sz w:val="22"/>
          <w:szCs w:val="22"/>
          <w:u w:val="single"/>
          <w:lang w:val="mk-MK"/>
        </w:rPr>
        <w:t xml:space="preserve"> од Е</w:t>
      </w:r>
      <w:r w:rsidR="00F723E7">
        <w:rPr>
          <w:rFonts w:ascii="Times New Roman" w:hAnsi="Times New Roman" w:cs="Times New Roman"/>
          <w:i/>
          <w:iCs/>
          <w:color w:val="000000" w:themeColor="text1"/>
          <w:sz w:val="22"/>
          <w:szCs w:val="22"/>
          <w:u w:val="single"/>
          <w:lang w:val="mk-MK"/>
        </w:rPr>
        <w:t>вропската конвенција за човекови права</w:t>
      </w:r>
      <w:bookmarkEnd w:id="41"/>
    </w:p>
    <w:p w14:paraId="3D13B0B2" w14:textId="1C4B2913" w:rsidR="001B782F" w:rsidRDefault="003808B4" w:rsidP="001B782F">
      <w:pPr>
        <w:spacing w:before="240"/>
        <w:ind w:firstLine="720"/>
        <w:jc w:val="both"/>
        <w:rPr>
          <w:sz w:val="24"/>
          <w:szCs w:val="24"/>
          <w:lang w:val="mk-MK"/>
        </w:rPr>
      </w:pPr>
      <w:r w:rsidRPr="003808B4">
        <w:rPr>
          <w:sz w:val="24"/>
          <w:szCs w:val="24"/>
          <w:lang w:val="mk-MK"/>
        </w:rPr>
        <w:t>Член 6 од Европската конвенција за човекови права гарантира право на правично судење во сите спорови што се однесуваат на граѓански права и обврски или на кривични обвиненија. Иако овој член традиционално се поврзува со судските процедури во класичните граѓански и кривични предмети, со текот на времето неговото значење се прошири и стана критична норма за регулирање на односите во сферата на трудот, корпоративните спорови и управувачките процеси во претпријатијата.</w:t>
      </w:r>
      <w:r w:rsidR="00D96BA0">
        <w:rPr>
          <w:rStyle w:val="FootnoteReference"/>
          <w:sz w:val="24"/>
          <w:szCs w:val="24"/>
          <w:lang w:val="mk-MK"/>
        </w:rPr>
        <w:footnoteReference w:id="436"/>
      </w:r>
      <w:r w:rsidRPr="003808B4">
        <w:rPr>
          <w:sz w:val="24"/>
          <w:szCs w:val="24"/>
          <w:lang w:val="mk-MK"/>
        </w:rPr>
        <w:t xml:space="preserve"> Во современиот економски контекст, каде судските и административните тела имаат значајна улога во регулирањето на корпоративното однесување, во обезбедувањето на непристрасна арбитража во работните спорови и во санкционирањето на злоупотреби на управувачките органи, член 6 служи како институционален гарант на правната сигурност и на процесните права на работниците и другите засегнати страни.</w:t>
      </w:r>
    </w:p>
    <w:p w14:paraId="567552AC" w14:textId="51092280" w:rsidR="009259C4" w:rsidRDefault="00270745" w:rsidP="001B782F">
      <w:pPr>
        <w:spacing w:before="240"/>
        <w:ind w:firstLine="720"/>
        <w:jc w:val="both"/>
        <w:rPr>
          <w:sz w:val="24"/>
          <w:szCs w:val="24"/>
          <w:lang w:val="en-US"/>
        </w:rPr>
      </w:pPr>
      <w:r w:rsidRPr="00270745">
        <w:rPr>
          <w:sz w:val="24"/>
          <w:szCs w:val="24"/>
          <w:lang w:val="mk-MK"/>
        </w:rPr>
        <w:t>Од перспектива на корпоративното управување, член 6 влијае врз три централни области. Првата е пристапот до правична и независна процедура во работните спорови. Во многу европски држави, вклучително и Македонија, спорните прашања поврзани со отпуштање, повреда на работничките права, дискриминација или одмазда поради синдикална активност спаѓаат во доменот на граѓанските права. Тоа значи дека работниците имаат право на судска заштита што ги исполнува стандардите на член 6, кои вклучуваат независност на судот, разумен рок, јавност на постапката и право да се чуе нивната страна.</w:t>
      </w:r>
      <w:r w:rsidR="00A01CEE">
        <w:rPr>
          <w:rStyle w:val="FootnoteReference"/>
          <w:sz w:val="24"/>
          <w:szCs w:val="24"/>
          <w:lang w:val="mk-MK"/>
        </w:rPr>
        <w:footnoteReference w:id="437"/>
      </w:r>
      <w:r w:rsidRPr="00270745">
        <w:rPr>
          <w:sz w:val="24"/>
          <w:szCs w:val="24"/>
          <w:lang w:val="mk-MK"/>
        </w:rPr>
        <w:t xml:space="preserve"> Во контекст на корпоративното управување, ова е од суштинско значење затоа што процесните гаранции создаваат противтежа на моќта на органите на управување. Работник кој се соочува со незаконити дејствија од управителите или од одборот на директори мора да има ефективен пристап до правдата, во постапка која не е под влијание на политички или корпоративни интереси.</w:t>
      </w:r>
    </w:p>
    <w:p w14:paraId="71A8A6FE" w14:textId="3C8EBE8D" w:rsidR="001F1DB6" w:rsidRDefault="001F1DB6" w:rsidP="001B782F">
      <w:pPr>
        <w:spacing w:before="240"/>
        <w:ind w:firstLine="720"/>
        <w:jc w:val="both"/>
        <w:rPr>
          <w:sz w:val="24"/>
          <w:szCs w:val="24"/>
          <w:lang w:val="mk-MK"/>
        </w:rPr>
      </w:pPr>
      <w:r w:rsidRPr="001F1DB6">
        <w:rPr>
          <w:sz w:val="24"/>
          <w:szCs w:val="24"/>
          <w:lang w:val="mk-MK"/>
        </w:rPr>
        <w:t>Втората област се однесува на корпоративните спорови и одговорноста на управувачките органи. Член 6 важи и за спорови што вклучуваат акционери, членови на надзорни одбори, инвеститори или други субјекти кои остваруваат граѓански права во рамки на компанијата. Прашањата како злоупотреба на мнозинска моќ, незаконито одлучување, непочитување на процедурите за назначување или разрешување на директори, пристап до информации или одговорност за неправилности мож</w:t>
      </w:r>
      <w:r w:rsidR="00EA6CE2">
        <w:rPr>
          <w:sz w:val="24"/>
          <w:szCs w:val="24"/>
          <w:lang w:val="mk-MK"/>
        </w:rPr>
        <w:t>ат</w:t>
      </w:r>
      <w:r w:rsidRPr="001F1DB6">
        <w:rPr>
          <w:sz w:val="24"/>
          <w:szCs w:val="24"/>
          <w:lang w:val="mk-MK"/>
        </w:rPr>
        <w:t xml:space="preserve"> да се најдат пред судовите или специјализираните тела. Во тие случаи, стандардите на член 6 </w:t>
      </w:r>
      <w:r w:rsidR="00EA6CE2">
        <w:rPr>
          <w:sz w:val="24"/>
          <w:szCs w:val="24"/>
          <w:lang w:val="mk-MK"/>
        </w:rPr>
        <w:t>гарантираат</w:t>
      </w:r>
      <w:r w:rsidRPr="001F1DB6">
        <w:rPr>
          <w:sz w:val="24"/>
          <w:szCs w:val="24"/>
          <w:lang w:val="mk-MK"/>
        </w:rPr>
        <w:t xml:space="preserve"> дека разгледувањето ќе биде непристрасно, независно и транспарентно.</w:t>
      </w:r>
      <w:r w:rsidR="00EA6CE2">
        <w:rPr>
          <w:rStyle w:val="FootnoteReference"/>
          <w:sz w:val="24"/>
          <w:szCs w:val="24"/>
          <w:lang w:val="mk-MK"/>
        </w:rPr>
        <w:footnoteReference w:id="438"/>
      </w:r>
      <w:r w:rsidRPr="001F1DB6">
        <w:rPr>
          <w:sz w:val="24"/>
          <w:szCs w:val="24"/>
          <w:lang w:val="mk-MK"/>
        </w:rPr>
        <w:t xml:space="preserve"> На тој начин, конвенцијата индиректно го зајакнува квалитетот на корпоративното управување, бидејќи непристрасната контрола на управувачките практики е клучен елемент на секој систем што има за цел да спречи корупција, фаворизирање или произволно однесување на корпоративните елити.</w:t>
      </w:r>
    </w:p>
    <w:p w14:paraId="0ECAD87F" w14:textId="7819284C" w:rsidR="00B94F1F" w:rsidRDefault="001F089B" w:rsidP="001B782F">
      <w:pPr>
        <w:spacing w:before="240"/>
        <w:ind w:firstLine="720"/>
        <w:jc w:val="both"/>
        <w:rPr>
          <w:sz w:val="24"/>
          <w:szCs w:val="24"/>
          <w:lang w:val="mk-MK"/>
        </w:rPr>
      </w:pPr>
      <w:r w:rsidRPr="001F089B">
        <w:rPr>
          <w:sz w:val="24"/>
          <w:szCs w:val="24"/>
          <w:lang w:val="mk-MK"/>
        </w:rPr>
        <w:t>Третата област се однесува на поширокиот концепт на економска демократија. Иако член 6 формално штити процесни права, неговата примена во корпоративните и трудовите спорови создава правна архитектура во која правата на работниците и другите засегнати страни добиваат институционална тежина.</w:t>
      </w:r>
      <w:r w:rsidR="00C8603E">
        <w:rPr>
          <w:rStyle w:val="FootnoteReference"/>
          <w:sz w:val="24"/>
          <w:szCs w:val="24"/>
          <w:lang w:val="mk-MK"/>
        </w:rPr>
        <w:footnoteReference w:id="439"/>
      </w:r>
      <w:r w:rsidRPr="001F089B">
        <w:rPr>
          <w:sz w:val="24"/>
          <w:szCs w:val="24"/>
          <w:lang w:val="mk-MK"/>
        </w:rPr>
        <w:t xml:space="preserve"> Со тоа што гарантира дека нивните барања ќе бидат разгледани на правичен начин, член 6 спречува создавање на </w:t>
      </w:r>
      <w:r w:rsidRPr="001F089B">
        <w:rPr>
          <w:sz w:val="24"/>
          <w:szCs w:val="24"/>
          <w:lang w:val="mk-MK"/>
        </w:rPr>
        <w:lastRenderedPageBreak/>
        <w:t>корпоративни режими во кои органите на управување функционираат без надворешна контрола. Во земји со ранливи институции или со доминантни корпоративни групи, член 6 служи како механизам за ограничување на концентрацијата на моќ, бидејќи независните судови претставуваат корективен фактор на корпоративната автономија. Преку ова, член 6 не само што придонесува за заштита на индивидуалните права, туку индиректно креира основа за поголема транспарентност и отчетност во управувањето.</w:t>
      </w:r>
    </w:p>
    <w:p w14:paraId="0BE07D3E" w14:textId="3FF9EBAC" w:rsidR="00DF0BD6" w:rsidRPr="001F1DB6" w:rsidRDefault="00DF0BD6" w:rsidP="001B782F">
      <w:pPr>
        <w:spacing w:before="240"/>
        <w:ind w:firstLine="720"/>
        <w:jc w:val="both"/>
        <w:rPr>
          <w:sz w:val="24"/>
          <w:szCs w:val="24"/>
          <w:lang w:val="mk-MK"/>
        </w:rPr>
      </w:pPr>
      <w:r w:rsidRPr="00DF0BD6">
        <w:rPr>
          <w:sz w:val="24"/>
          <w:szCs w:val="24"/>
          <w:lang w:val="mk-MK"/>
        </w:rPr>
        <w:t xml:space="preserve">Во севкупниот нормативен контекст, член 6 ја надополнува материјалната заштита што ја нудат член 11, </w:t>
      </w:r>
      <w:r w:rsidR="00A40944" w:rsidRPr="00DF0BD6">
        <w:rPr>
          <w:sz w:val="24"/>
          <w:szCs w:val="24"/>
          <w:lang w:val="mk-MK"/>
        </w:rPr>
        <w:t>член 14</w:t>
      </w:r>
      <w:r w:rsidR="00A40944">
        <w:rPr>
          <w:sz w:val="24"/>
          <w:szCs w:val="24"/>
          <w:lang w:val="mk-MK"/>
        </w:rPr>
        <w:t xml:space="preserve"> и </w:t>
      </w:r>
      <w:r w:rsidRPr="00DF0BD6">
        <w:rPr>
          <w:sz w:val="24"/>
          <w:szCs w:val="24"/>
          <w:lang w:val="mk-MK"/>
        </w:rPr>
        <w:t>член 1 од Протокол број 1. Тој воведува процесен слој кој е неопходен за ефективна реализација на економските и организациските права на работниците и другите учесници во корпоративниот систем. Како резултат на тоа, член 6 станува еден од клучните инструменти преку кои Европската конвенција индиректно влијае врз корпоративното управување и создава правен простор за развој на модели што се поблиски до принципите на економска демократија.</w:t>
      </w:r>
    </w:p>
    <w:p w14:paraId="2E673510" w14:textId="77777777" w:rsidR="00F723E7" w:rsidRDefault="00F723E7" w:rsidP="00F723E7">
      <w:pPr>
        <w:rPr>
          <w:lang w:val="mk-MK"/>
        </w:rPr>
      </w:pPr>
    </w:p>
    <w:p w14:paraId="36C84840" w14:textId="7EED9600" w:rsidR="0054335D" w:rsidRDefault="0054335D" w:rsidP="0054335D">
      <w:pPr>
        <w:pStyle w:val="Heading3"/>
        <w:rPr>
          <w:rFonts w:ascii="Times New Roman" w:hAnsi="Times New Roman" w:cs="Times New Roman"/>
          <w:i/>
          <w:iCs/>
          <w:color w:val="000000" w:themeColor="text1"/>
          <w:sz w:val="22"/>
          <w:szCs w:val="22"/>
          <w:u w:val="single"/>
          <w:lang w:val="mk-MK"/>
        </w:rPr>
      </w:pPr>
      <w:bookmarkStart w:id="42" w:name="_Toc230523895"/>
      <w:r w:rsidRPr="007869CA">
        <w:rPr>
          <w:rFonts w:ascii="Times New Roman" w:hAnsi="Times New Roman" w:cs="Times New Roman"/>
          <w:color w:val="000000" w:themeColor="text1"/>
          <w:sz w:val="22"/>
          <w:szCs w:val="22"/>
          <w:lang w:val="mk-MK"/>
        </w:rPr>
        <w:t>4.1.</w:t>
      </w:r>
      <w:r>
        <w:rPr>
          <w:rFonts w:ascii="Times New Roman" w:hAnsi="Times New Roman" w:cs="Times New Roman"/>
          <w:color w:val="000000" w:themeColor="text1"/>
          <w:sz w:val="22"/>
          <w:szCs w:val="22"/>
          <w:lang w:val="mk-MK"/>
        </w:rPr>
        <w:t>2</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Член 11 од Европската конвенција за човекови права</w:t>
      </w:r>
      <w:bookmarkEnd w:id="42"/>
    </w:p>
    <w:p w14:paraId="4EB49C52" w14:textId="77777777" w:rsidR="0054335D" w:rsidRDefault="0054335D" w:rsidP="0054335D">
      <w:pPr>
        <w:rPr>
          <w:lang w:val="mk-MK"/>
        </w:rPr>
      </w:pPr>
    </w:p>
    <w:p w14:paraId="36BDB64A" w14:textId="32278AC2" w:rsidR="0054335D" w:rsidRDefault="008B7005" w:rsidP="0054335D">
      <w:pPr>
        <w:ind w:firstLine="720"/>
        <w:jc w:val="both"/>
        <w:rPr>
          <w:sz w:val="24"/>
          <w:szCs w:val="24"/>
          <w:lang w:val="mk-MK"/>
        </w:rPr>
      </w:pPr>
      <w:r w:rsidRPr="008B7005">
        <w:rPr>
          <w:sz w:val="24"/>
          <w:szCs w:val="24"/>
          <w:lang w:val="mk-MK"/>
        </w:rPr>
        <w:t xml:space="preserve">Член 11 од Европската конвенција за човекови права гарантира слобода на здружување, што вклучува право да се формираат и </w:t>
      </w:r>
      <w:r w:rsidR="00020F1E">
        <w:rPr>
          <w:sz w:val="24"/>
          <w:szCs w:val="24"/>
          <w:lang w:val="mk-MK"/>
        </w:rPr>
        <w:t xml:space="preserve">вработените да </w:t>
      </w:r>
      <w:r w:rsidRPr="008B7005">
        <w:rPr>
          <w:sz w:val="24"/>
          <w:szCs w:val="24"/>
          <w:lang w:val="mk-MK"/>
        </w:rPr>
        <w:t xml:space="preserve">да се приклучуваат </w:t>
      </w:r>
      <w:r w:rsidR="00020F1E">
        <w:rPr>
          <w:sz w:val="24"/>
          <w:szCs w:val="24"/>
          <w:lang w:val="mk-MK"/>
        </w:rPr>
        <w:t xml:space="preserve">кон </w:t>
      </w:r>
      <w:r w:rsidRPr="008B7005">
        <w:rPr>
          <w:sz w:val="24"/>
          <w:szCs w:val="24"/>
          <w:lang w:val="mk-MK"/>
        </w:rPr>
        <w:t xml:space="preserve">организации заради заштита на сопствени интереси. Во класичната доктрина, ова право главно се поврзува со политичко здружување и синдикално организирање. Сепак, низ богатата и еволутивна практика на Европскиот суд за човекови права, член 11 доби поширока материја и се разви во принцип кој создава нормативна врска </w:t>
      </w:r>
      <w:r w:rsidR="00612AEA">
        <w:rPr>
          <w:sz w:val="24"/>
          <w:szCs w:val="24"/>
          <w:lang w:val="mk-MK"/>
        </w:rPr>
        <w:t>по</w:t>
      </w:r>
      <w:r w:rsidRPr="008B7005">
        <w:rPr>
          <w:sz w:val="24"/>
          <w:szCs w:val="24"/>
          <w:lang w:val="mk-MK"/>
        </w:rPr>
        <w:t>меѓу индивидуалните слободи и економските структури.</w:t>
      </w:r>
      <w:r w:rsidR="00612AEA">
        <w:rPr>
          <w:rStyle w:val="FootnoteReference"/>
          <w:sz w:val="24"/>
          <w:szCs w:val="24"/>
          <w:lang w:val="mk-MK"/>
        </w:rPr>
        <w:footnoteReference w:id="440"/>
      </w:r>
      <w:r w:rsidRPr="008B7005">
        <w:rPr>
          <w:sz w:val="24"/>
          <w:szCs w:val="24"/>
          <w:lang w:val="mk-MK"/>
        </w:rPr>
        <w:t xml:space="preserve"> Судот јасно </w:t>
      </w:r>
      <w:r w:rsidR="00AF5FCA">
        <w:rPr>
          <w:sz w:val="24"/>
          <w:szCs w:val="24"/>
          <w:lang w:val="mk-MK"/>
        </w:rPr>
        <w:t>потенцира</w:t>
      </w:r>
      <w:r w:rsidRPr="008B7005">
        <w:rPr>
          <w:sz w:val="24"/>
          <w:szCs w:val="24"/>
          <w:lang w:val="mk-MK"/>
        </w:rPr>
        <w:t xml:space="preserve"> дека синдикатите, работничките организации, професионалните комори и други колективни форми на претставување </w:t>
      </w:r>
      <w:r w:rsidR="00CF6047">
        <w:rPr>
          <w:sz w:val="24"/>
          <w:szCs w:val="24"/>
          <w:lang w:val="mk-MK"/>
        </w:rPr>
        <w:t>претставуваат</w:t>
      </w:r>
      <w:r w:rsidRPr="008B7005">
        <w:rPr>
          <w:sz w:val="24"/>
          <w:szCs w:val="24"/>
          <w:lang w:val="mk-MK"/>
        </w:rPr>
        <w:t xml:space="preserve"> институционални носители на слободата на здружување. Тие се суштински дел од демократското уредување на политичката сфера, </w:t>
      </w:r>
      <w:r w:rsidR="00CF6047">
        <w:rPr>
          <w:sz w:val="24"/>
          <w:szCs w:val="24"/>
          <w:lang w:val="mk-MK"/>
        </w:rPr>
        <w:t xml:space="preserve">но и </w:t>
      </w:r>
      <w:r w:rsidRPr="008B7005">
        <w:rPr>
          <w:sz w:val="24"/>
          <w:szCs w:val="24"/>
          <w:lang w:val="mk-MK"/>
        </w:rPr>
        <w:t>на економските односи кои функционираат во рамките на современите корпоративни системи.</w:t>
      </w:r>
    </w:p>
    <w:p w14:paraId="395D55B4" w14:textId="77712223" w:rsidR="00CF6047" w:rsidRDefault="0049616B" w:rsidP="0049616B">
      <w:pPr>
        <w:spacing w:before="240"/>
        <w:ind w:firstLine="720"/>
        <w:jc w:val="both"/>
        <w:rPr>
          <w:sz w:val="24"/>
          <w:szCs w:val="24"/>
          <w:lang w:val="mk-MK"/>
        </w:rPr>
      </w:pPr>
      <w:r w:rsidRPr="0049616B">
        <w:rPr>
          <w:sz w:val="24"/>
          <w:szCs w:val="24"/>
          <w:lang w:val="mk-MK"/>
        </w:rPr>
        <w:t>Во контекст на корпоративното управување, член 11 има особено значење во три меѓусебно поврзани димензии. Првата димензија се однесува на правото на работниците да формираат синдикати и професионални асоцијации без мешање од државата или од работодавачите. Ова право е основата врз која се градат институционализирани канали за учество на работниците во одлучувањето. Без слобода на здружување, механизмите на внатрешно корпоративно претставување би биле обезвреднети и зависни од добра волја на работодавачот. Слободата на здружување обезбедува автономна организациска инфраструктура која може да артикулира, брани и преговара за интересите на работниците во однос на управувачките тела.</w:t>
      </w:r>
      <w:r w:rsidR="004A6529">
        <w:rPr>
          <w:rStyle w:val="FootnoteReference"/>
          <w:sz w:val="24"/>
          <w:szCs w:val="24"/>
          <w:lang w:val="mk-MK"/>
        </w:rPr>
        <w:footnoteReference w:id="441"/>
      </w:r>
    </w:p>
    <w:p w14:paraId="750F47ED" w14:textId="66F5E050" w:rsidR="00081E3B" w:rsidRDefault="00081E3B" w:rsidP="0049616B">
      <w:pPr>
        <w:spacing w:before="240"/>
        <w:ind w:firstLine="720"/>
        <w:jc w:val="both"/>
        <w:rPr>
          <w:sz w:val="24"/>
          <w:szCs w:val="24"/>
          <w:lang w:val="mk-MK"/>
        </w:rPr>
      </w:pPr>
      <w:r w:rsidRPr="00081E3B">
        <w:rPr>
          <w:sz w:val="24"/>
          <w:szCs w:val="24"/>
          <w:lang w:val="mk-MK"/>
        </w:rPr>
        <w:t>Втората димензија произлегува од тоа што Судот во повеќе случаи потврди дека член 11 не се исцрпува само со формалното право да се основа синдикат, туку вклучува и суштински права на овие организации да функционираат, да преговараат колективно, да ја уживаат сопствената независност и да преземаат легитимни активности за заштита на интересите на своите членови. Во случаи</w:t>
      </w:r>
      <w:r w:rsidR="00984C26">
        <w:rPr>
          <w:sz w:val="24"/>
          <w:szCs w:val="24"/>
          <w:lang w:val="mk-MK"/>
        </w:rPr>
        <w:t>те што ќе бидат разгледани подолу,</w:t>
      </w:r>
      <w:r w:rsidRPr="00081E3B">
        <w:rPr>
          <w:sz w:val="24"/>
          <w:szCs w:val="24"/>
          <w:lang w:val="mk-MK"/>
        </w:rPr>
        <w:t xml:space="preserve"> како </w:t>
      </w:r>
      <w:r w:rsidRPr="00984C26">
        <w:rPr>
          <w:i/>
          <w:iCs/>
          <w:sz w:val="24"/>
          <w:szCs w:val="24"/>
          <w:lang w:val="mk-MK"/>
        </w:rPr>
        <w:t>Wilson and National Union of Journalists v. United Kingdom</w:t>
      </w:r>
      <w:r w:rsidRPr="00081E3B">
        <w:rPr>
          <w:sz w:val="24"/>
          <w:szCs w:val="24"/>
          <w:lang w:val="mk-MK"/>
        </w:rPr>
        <w:t xml:space="preserve"> и </w:t>
      </w:r>
      <w:r w:rsidRPr="00984C26">
        <w:rPr>
          <w:i/>
          <w:iCs/>
          <w:sz w:val="24"/>
          <w:szCs w:val="24"/>
          <w:lang w:val="mk-MK"/>
        </w:rPr>
        <w:t>Enerji Yapi Yol Sen v. Turkey</w:t>
      </w:r>
      <w:r w:rsidRPr="00081E3B">
        <w:rPr>
          <w:sz w:val="24"/>
          <w:szCs w:val="24"/>
          <w:lang w:val="mk-MK"/>
        </w:rPr>
        <w:t>, Судот утврди</w:t>
      </w:r>
      <w:r w:rsidR="00984C26">
        <w:rPr>
          <w:sz w:val="24"/>
          <w:szCs w:val="24"/>
          <w:lang w:val="mk-MK"/>
        </w:rPr>
        <w:t>л</w:t>
      </w:r>
      <w:r w:rsidRPr="00081E3B">
        <w:rPr>
          <w:sz w:val="24"/>
          <w:szCs w:val="24"/>
          <w:lang w:val="mk-MK"/>
        </w:rPr>
        <w:t xml:space="preserve"> дека ограничувањата што го оневозможуваат ефективното синдикално </w:t>
      </w:r>
      <w:r w:rsidRPr="00081E3B">
        <w:rPr>
          <w:sz w:val="24"/>
          <w:szCs w:val="24"/>
          <w:lang w:val="mk-MK"/>
        </w:rPr>
        <w:lastRenderedPageBreak/>
        <w:t xml:space="preserve">делување претставуваат повреда на член 11. Овие пресуди имаат директна релевантност за корпоративното управување, бидејќи покажуваат дека заштитата на синдикалните активности е од суштинско значење за балансиран однос </w:t>
      </w:r>
      <w:r w:rsidR="00514DE2">
        <w:rPr>
          <w:sz w:val="24"/>
          <w:szCs w:val="24"/>
          <w:lang w:val="mk-MK"/>
        </w:rPr>
        <w:t>по</w:t>
      </w:r>
      <w:r w:rsidRPr="00081E3B">
        <w:rPr>
          <w:sz w:val="24"/>
          <w:szCs w:val="24"/>
          <w:lang w:val="mk-MK"/>
        </w:rPr>
        <w:t>меѓу капиталот и трудот.</w:t>
      </w:r>
      <w:r w:rsidR="00514DE2">
        <w:rPr>
          <w:rStyle w:val="FootnoteReference"/>
          <w:sz w:val="24"/>
          <w:szCs w:val="24"/>
          <w:lang w:val="mk-MK"/>
        </w:rPr>
        <w:footnoteReference w:id="442"/>
      </w:r>
      <w:r w:rsidRPr="00081E3B">
        <w:rPr>
          <w:sz w:val="24"/>
          <w:szCs w:val="24"/>
          <w:lang w:val="mk-MK"/>
        </w:rPr>
        <w:t xml:space="preserve"> Способноста на работниците да се организираат и да делуваат колективно е основен предуслов за било каква форма на учество во корпоративните процеси, било да станува збор за класични модели на колективно преговарање или за пософистицирани механизми на коуправување.</w:t>
      </w:r>
    </w:p>
    <w:p w14:paraId="56420555" w14:textId="5D3BD8BA" w:rsidR="00AE1E39" w:rsidRDefault="00AE1E39" w:rsidP="0049616B">
      <w:pPr>
        <w:spacing w:before="240"/>
        <w:ind w:firstLine="720"/>
        <w:jc w:val="both"/>
        <w:rPr>
          <w:sz w:val="24"/>
          <w:szCs w:val="24"/>
          <w:lang w:val="mk-MK"/>
        </w:rPr>
      </w:pPr>
      <w:r w:rsidRPr="00AE1E39">
        <w:rPr>
          <w:sz w:val="24"/>
          <w:szCs w:val="24"/>
          <w:lang w:val="mk-MK"/>
        </w:rPr>
        <w:t>Третата димензија се поврзува со концептот на економска демократија. Член 11, преку судската практика, создава норма што ја признава колективната страна на економските односи како легитимна сфера во која се применуваат човековите права. Тоа значи дека корпоративните структури и процеси не се неутрални зони одвоени од уставниот и човековоправниот поредок, туку подлежат на стандарди кои обезбедуваат минимум демократски и учеснички елементи.</w:t>
      </w:r>
      <w:r w:rsidR="000D4ADE">
        <w:rPr>
          <w:rStyle w:val="FootnoteReference"/>
          <w:sz w:val="24"/>
          <w:szCs w:val="24"/>
          <w:lang w:val="mk-MK"/>
        </w:rPr>
        <w:footnoteReference w:id="443"/>
      </w:r>
      <w:r w:rsidRPr="00AE1E39">
        <w:rPr>
          <w:sz w:val="24"/>
          <w:szCs w:val="24"/>
          <w:lang w:val="mk-MK"/>
        </w:rPr>
        <w:t xml:space="preserve"> На тој начин, член 11 врши индиректно влијание врз корпоративното управување преку зајакнување на институциите што ја застапуваат работната сила, кои во современите компании се важни противтежи на органите што го претставуваат капиталот.</w:t>
      </w:r>
    </w:p>
    <w:p w14:paraId="32992BF5" w14:textId="7F2489D0" w:rsidR="008B7005" w:rsidRPr="00C070DE" w:rsidRDefault="00C070DE" w:rsidP="00C070DE">
      <w:pPr>
        <w:spacing w:before="240"/>
        <w:ind w:firstLine="720"/>
        <w:jc w:val="both"/>
        <w:rPr>
          <w:sz w:val="24"/>
          <w:szCs w:val="24"/>
          <w:lang w:val="mk-MK"/>
        </w:rPr>
      </w:pPr>
      <w:r w:rsidRPr="00C070DE">
        <w:rPr>
          <w:sz w:val="24"/>
          <w:szCs w:val="24"/>
          <w:lang w:val="mk-MK"/>
        </w:rPr>
        <w:t xml:space="preserve">Со ова, член 11 станува </w:t>
      </w:r>
      <w:r w:rsidR="005533D9">
        <w:rPr>
          <w:sz w:val="24"/>
          <w:szCs w:val="24"/>
          <w:lang w:val="mk-MK"/>
        </w:rPr>
        <w:t>уште еден линк</w:t>
      </w:r>
      <w:r w:rsidRPr="00C070DE">
        <w:rPr>
          <w:sz w:val="24"/>
          <w:szCs w:val="24"/>
          <w:lang w:val="mk-MK"/>
        </w:rPr>
        <w:t xml:space="preserve"> помеѓу човековите права и корпоративното управување. Тој не создава директна обврска за државите да воведат работничко учество во управувачките органи, но поставува силна нормативна основа за модели на учество што почиваат на колективно организирани работници. Во земји што градат или реформираат системи на корпоративно управување, </w:t>
      </w:r>
      <w:r w:rsidR="005533D9">
        <w:rPr>
          <w:sz w:val="24"/>
          <w:szCs w:val="24"/>
          <w:lang w:val="mk-MK"/>
        </w:rPr>
        <w:t>како</w:t>
      </w:r>
      <w:r w:rsidRPr="00C070DE">
        <w:rPr>
          <w:sz w:val="24"/>
          <w:szCs w:val="24"/>
          <w:lang w:val="mk-MK"/>
        </w:rPr>
        <w:t xml:space="preserve"> Македонија, член 11 е значаен бидејќи го нагласува легитимитетот и значењето на колективното дејствување како дел од поширокиот проект на економска демократизација.</w:t>
      </w:r>
    </w:p>
    <w:p w14:paraId="77EC1400" w14:textId="77777777" w:rsidR="0054335D" w:rsidRDefault="0054335D" w:rsidP="00F723E7">
      <w:pPr>
        <w:rPr>
          <w:lang w:val="mk-MK"/>
        </w:rPr>
      </w:pPr>
    </w:p>
    <w:p w14:paraId="56FEA747" w14:textId="3BE1A41F" w:rsidR="0054335D" w:rsidRDefault="0054335D" w:rsidP="0054335D">
      <w:pPr>
        <w:pStyle w:val="Heading3"/>
        <w:rPr>
          <w:rFonts w:ascii="Times New Roman" w:hAnsi="Times New Roman" w:cs="Times New Roman"/>
          <w:i/>
          <w:iCs/>
          <w:color w:val="000000" w:themeColor="text1"/>
          <w:sz w:val="22"/>
          <w:szCs w:val="22"/>
          <w:u w:val="single"/>
          <w:lang w:val="mk-MK"/>
        </w:rPr>
      </w:pPr>
      <w:bookmarkStart w:id="43" w:name="_Toc230523896"/>
      <w:r w:rsidRPr="007869CA">
        <w:rPr>
          <w:rFonts w:ascii="Times New Roman" w:hAnsi="Times New Roman" w:cs="Times New Roman"/>
          <w:color w:val="000000" w:themeColor="text1"/>
          <w:sz w:val="22"/>
          <w:szCs w:val="22"/>
          <w:lang w:val="mk-MK"/>
        </w:rPr>
        <w:t>4.1.</w:t>
      </w:r>
      <w:r>
        <w:rPr>
          <w:rFonts w:ascii="Times New Roman" w:hAnsi="Times New Roman" w:cs="Times New Roman"/>
          <w:color w:val="000000" w:themeColor="text1"/>
          <w:sz w:val="22"/>
          <w:szCs w:val="22"/>
          <w:lang w:val="mk-MK"/>
        </w:rPr>
        <w:t>3</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Член 14 од Европската конвенција за човекови права</w:t>
      </w:r>
      <w:bookmarkEnd w:id="43"/>
    </w:p>
    <w:p w14:paraId="3D106F75" w14:textId="45C25127" w:rsidR="00DE1DE5" w:rsidRPr="000647B9" w:rsidRDefault="00C41573" w:rsidP="00DE1DE5">
      <w:pPr>
        <w:spacing w:before="240"/>
        <w:ind w:firstLine="720"/>
        <w:jc w:val="both"/>
        <w:rPr>
          <w:sz w:val="24"/>
          <w:szCs w:val="24"/>
          <w:lang w:val="mk-MK"/>
        </w:rPr>
      </w:pPr>
      <w:r w:rsidRPr="000647B9">
        <w:rPr>
          <w:sz w:val="24"/>
          <w:szCs w:val="24"/>
          <w:lang w:val="mk-MK"/>
        </w:rPr>
        <w:t xml:space="preserve">Член 14 од Европската конвенција за човекови права гарантира дека уживањето на правата и слободите утврдени со Конвенцијата ќе биде обезбедено без дискриминација по основ на пол, раса, јазик, религија, политичко или друго мислење, национално или социјално потекло, имот, припадност кон национално малцинство или по било која друга основа. Иако оваа одредба традиционално се разбира како дополнителна, а не како автономно право, со текот на времето Судот </w:t>
      </w:r>
      <w:r w:rsidR="00711833" w:rsidRPr="000647B9">
        <w:rPr>
          <w:sz w:val="24"/>
          <w:szCs w:val="24"/>
          <w:lang w:val="mk-MK"/>
        </w:rPr>
        <w:t xml:space="preserve">има </w:t>
      </w:r>
      <w:r w:rsidRPr="000647B9">
        <w:rPr>
          <w:sz w:val="24"/>
          <w:szCs w:val="24"/>
          <w:lang w:val="mk-MK"/>
        </w:rPr>
        <w:t>разви</w:t>
      </w:r>
      <w:r w:rsidR="00711833" w:rsidRPr="000647B9">
        <w:rPr>
          <w:sz w:val="24"/>
          <w:szCs w:val="24"/>
          <w:lang w:val="mk-MK"/>
        </w:rPr>
        <w:t>ено</w:t>
      </w:r>
      <w:r w:rsidRPr="000647B9">
        <w:rPr>
          <w:sz w:val="24"/>
          <w:szCs w:val="24"/>
          <w:lang w:val="mk-MK"/>
        </w:rPr>
        <w:t xml:space="preserve"> богата пракса која ја претвора во силна материјална гаранција. Нејзиното значење е особено изразено во сферата на трудовите и корпоративните односи, каде индексот на моќ е често нерамномерен, а одлуките на органите на управување мож</w:t>
      </w:r>
      <w:r w:rsidR="00486C42" w:rsidRPr="000647B9">
        <w:rPr>
          <w:sz w:val="24"/>
          <w:szCs w:val="24"/>
          <w:lang w:val="mk-MK"/>
        </w:rPr>
        <w:t>ат</w:t>
      </w:r>
      <w:r w:rsidRPr="000647B9">
        <w:rPr>
          <w:sz w:val="24"/>
          <w:szCs w:val="24"/>
          <w:lang w:val="mk-MK"/>
        </w:rPr>
        <w:t xml:space="preserve"> да произведат последици врз стотици работници, синдикални групи или категории на вработени.</w:t>
      </w:r>
      <w:r w:rsidR="00486C42" w:rsidRPr="000647B9">
        <w:rPr>
          <w:rStyle w:val="FootnoteReference"/>
          <w:sz w:val="24"/>
          <w:szCs w:val="24"/>
          <w:lang w:val="mk-MK"/>
        </w:rPr>
        <w:footnoteReference w:id="444"/>
      </w:r>
    </w:p>
    <w:p w14:paraId="47DE50A2" w14:textId="71D9AA5E" w:rsidR="000647B9" w:rsidRDefault="000647B9" w:rsidP="00DE1DE5">
      <w:pPr>
        <w:spacing w:before="240"/>
        <w:ind w:firstLine="720"/>
        <w:jc w:val="both"/>
        <w:rPr>
          <w:sz w:val="24"/>
          <w:szCs w:val="24"/>
          <w:lang w:val="mk-MK"/>
        </w:rPr>
      </w:pPr>
      <w:r w:rsidRPr="000647B9">
        <w:rPr>
          <w:sz w:val="24"/>
          <w:szCs w:val="24"/>
          <w:lang w:val="mk-MK"/>
        </w:rPr>
        <w:t>Во контекст на корпоративното управување, член 14 создава механизам за спречување на структурна дискриминација во претпријатијата. Ова се однесува на различни сфери. Прво, тој ја забранува дискриминацијата во уживањето на правата поврзани со член 11, односно правото на слобода на здружување и синдикална активност.</w:t>
      </w:r>
      <w:r w:rsidR="00F20685">
        <w:rPr>
          <w:rStyle w:val="FootnoteReference"/>
          <w:sz w:val="24"/>
          <w:szCs w:val="24"/>
          <w:lang w:val="mk-MK"/>
        </w:rPr>
        <w:footnoteReference w:id="445"/>
      </w:r>
      <w:r w:rsidRPr="000647B9">
        <w:rPr>
          <w:sz w:val="24"/>
          <w:szCs w:val="24"/>
          <w:lang w:val="mk-MK"/>
        </w:rPr>
        <w:t xml:space="preserve"> Европскиот суд доследно утврдува дека повредите на синдикалното организирање, платите, работното место или пристапот до одлуки што влијаат врз </w:t>
      </w:r>
      <w:r w:rsidRPr="000647B9">
        <w:rPr>
          <w:sz w:val="24"/>
          <w:szCs w:val="24"/>
          <w:lang w:val="mk-MK"/>
        </w:rPr>
        <w:lastRenderedPageBreak/>
        <w:t>работните услови не смеат да се темелат врз синдикална припадност, идеолошка ориентација или друга забранета основа. Во корпоративниот контекст, ова има двојна функција. Од една страна, ги штити синдикатите и работниците од одмазднички мерки од страна на менаџментот. Од друга страна, создава норма за фер третман во рамки на претпријатието, со што ја намалува асиметријата на моќ помеѓу управувачите и вработените.</w:t>
      </w:r>
      <w:r w:rsidR="00013A54">
        <w:rPr>
          <w:rStyle w:val="FootnoteReference"/>
          <w:sz w:val="24"/>
          <w:szCs w:val="24"/>
          <w:lang w:val="mk-MK"/>
        </w:rPr>
        <w:footnoteReference w:id="446"/>
      </w:r>
    </w:p>
    <w:p w14:paraId="28AAB80F" w14:textId="22F066B3" w:rsidR="00C0785E" w:rsidRDefault="00C0785E" w:rsidP="00DE1DE5">
      <w:pPr>
        <w:spacing w:before="240"/>
        <w:ind w:firstLine="720"/>
        <w:jc w:val="both"/>
        <w:rPr>
          <w:sz w:val="24"/>
          <w:szCs w:val="24"/>
          <w:lang w:val="mk-MK"/>
        </w:rPr>
      </w:pPr>
      <w:r w:rsidRPr="00C0785E">
        <w:rPr>
          <w:sz w:val="24"/>
          <w:szCs w:val="24"/>
          <w:lang w:val="mk-MK"/>
        </w:rPr>
        <w:t>Второ, член 14 е релевантен за недискриминација во уживањето на правата гарантирани од член 6, односно правото на правично судење. Во корпоративните и трудовите спорови, посебно во земји со слаб институционален капацитет, можно е одделни групи на работници, синдикати или малцински акционери да се соочат со системски неповолни третмани. Тоа може да биде резултат на политички влијанија, на корпоративни притисоци или на структурни бариери. Член 14 тука значи дека секоја разлика во третманот во пристапот до правдата, времетраењето на постапката или тежината на санкциите мора да има објективно и разумно оправдување. Ова создава дополнителна процесна заштита, со што индиректно ја ограничува моќта на корпоративните актери кои настојуваат да ги обликуваат институциите во своја корист.</w:t>
      </w:r>
    </w:p>
    <w:p w14:paraId="17AE788C" w14:textId="3DD90C4C" w:rsidR="00CB50F4" w:rsidRDefault="00CB50F4" w:rsidP="00DE1DE5">
      <w:pPr>
        <w:spacing w:before="240"/>
        <w:ind w:firstLine="720"/>
        <w:jc w:val="both"/>
        <w:rPr>
          <w:sz w:val="24"/>
          <w:szCs w:val="24"/>
          <w:lang w:val="mk-MK"/>
        </w:rPr>
      </w:pPr>
      <w:r w:rsidRPr="00CB50F4">
        <w:rPr>
          <w:sz w:val="24"/>
          <w:szCs w:val="24"/>
          <w:lang w:val="mk-MK"/>
        </w:rPr>
        <w:t xml:space="preserve">Трето, член 14 влијае врз поширокиот концепт на економска демократија преку тоа што ја санкционира структурната дискриминација која произлегува од корпоративни политики. </w:t>
      </w:r>
      <w:r w:rsidR="00541FC2">
        <w:rPr>
          <w:sz w:val="24"/>
          <w:szCs w:val="24"/>
          <w:lang w:val="mk-MK"/>
        </w:rPr>
        <w:t>Такви п</w:t>
      </w:r>
      <w:r w:rsidRPr="00CB50F4">
        <w:rPr>
          <w:sz w:val="24"/>
          <w:szCs w:val="24"/>
          <w:lang w:val="mk-MK"/>
        </w:rPr>
        <w:t>римери се разликите во плати помеѓу мажи и жени, дискриминација</w:t>
      </w:r>
      <w:r w:rsidR="00B50F16">
        <w:rPr>
          <w:sz w:val="24"/>
          <w:szCs w:val="24"/>
          <w:lang w:val="mk-MK"/>
        </w:rPr>
        <w:t>та</w:t>
      </w:r>
      <w:r w:rsidRPr="00CB50F4">
        <w:rPr>
          <w:sz w:val="24"/>
          <w:szCs w:val="24"/>
          <w:lang w:val="mk-MK"/>
        </w:rPr>
        <w:t xml:space="preserve"> врз основа на возраст, маргинализација</w:t>
      </w:r>
      <w:r w:rsidR="00B50F16">
        <w:rPr>
          <w:sz w:val="24"/>
          <w:szCs w:val="24"/>
          <w:lang w:val="mk-MK"/>
        </w:rPr>
        <w:t>та</w:t>
      </w:r>
      <w:r w:rsidRPr="00CB50F4">
        <w:rPr>
          <w:sz w:val="24"/>
          <w:szCs w:val="24"/>
          <w:lang w:val="mk-MK"/>
        </w:rPr>
        <w:t xml:space="preserve"> на одделни групи при корпоративни реструктурирања или селективна примена на интерни правила. Иако Конвенцијата не создава материјални трудови стандарди, член 14 функционира како корективен принцип што спречува корпоративното управување да функционира во режим на произвол</w:t>
      </w:r>
      <w:r w:rsidR="00F8391C">
        <w:rPr>
          <w:sz w:val="24"/>
          <w:szCs w:val="24"/>
          <w:lang w:val="mk-MK"/>
        </w:rPr>
        <w:t>ност</w:t>
      </w:r>
      <w:r w:rsidRPr="00CB50F4">
        <w:rPr>
          <w:sz w:val="24"/>
          <w:szCs w:val="24"/>
          <w:lang w:val="mk-MK"/>
        </w:rPr>
        <w:t>.</w:t>
      </w:r>
      <w:r w:rsidR="00F8391C">
        <w:rPr>
          <w:rStyle w:val="FootnoteReference"/>
          <w:sz w:val="24"/>
          <w:szCs w:val="24"/>
          <w:lang w:val="mk-MK"/>
        </w:rPr>
        <w:footnoteReference w:id="447"/>
      </w:r>
      <w:r w:rsidRPr="00CB50F4">
        <w:rPr>
          <w:sz w:val="24"/>
          <w:szCs w:val="24"/>
          <w:lang w:val="mk-MK"/>
        </w:rPr>
        <w:t xml:space="preserve"> Преку забраната на дискриминација во примената на економските права, </w:t>
      </w:r>
      <w:r w:rsidR="008373A8">
        <w:rPr>
          <w:sz w:val="24"/>
          <w:szCs w:val="24"/>
          <w:lang w:val="mk-MK"/>
        </w:rPr>
        <w:t>член 14</w:t>
      </w:r>
      <w:r w:rsidRPr="00CB50F4">
        <w:rPr>
          <w:sz w:val="24"/>
          <w:szCs w:val="24"/>
          <w:lang w:val="mk-MK"/>
        </w:rPr>
        <w:t xml:space="preserve"> отвора простор за модели на управување кои се поинклузивни и поблиски до идејата за учество на работниците. Судот во повеќе случаи </w:t>
      </w:r>
      <w:r w:rsidR="008373A8">
        <w:rPr>
          <w:sz w:val="24"/>
          <w:szCs w:val="24"/>
          <w:lang w:val="mk-MK"/>
        </w:rPr>
        <w:t>има потенцирано</w:t>
      </w:r>
      <w:r w:rsidRPr="00CB50F4">
        <w:rPr>
          <w:sz w:val="24"/>
          <w:szCs w:val="24"/>
          <w:lang w:val="mk-MK"/>
        </w:rPr>
        <w:t xml:space="preserve"> дека дискриминацијата во остварување на економските права има пошироки последици врз општествената кохезија, врз довербата во институциите и врз можноста работниците да ја остварат својата улога како колективни актери.</w:t>
      </w:r>
      <w:r w:rsidR="00ED04E8">
        <w:rPr>
          <w:rStyle w:val="FootnoteReference"/>
          <w:sz w:val="24"/>
          <w:szCs w:val="24"/>
          <w:lang w:val="mk-MK"/>
        </w:rPr>
        <w:footnoteReference w:id="448"/>
      </w:r>
    </w:p>
    <w:p w14:paraId="2BCF01D6" w14:textId="2D1A91AA" w:rsidR="0054335D" w:rsidRPr="00320C4C" w:rsidRDefault="001F5692" w:rsidP="00320C4C">
      <w:pPr>
        <w:spacing w:before="240"/>
        <w:ind w:firstLine="720"/>
        <w:jc w:val="both"/>
        <w:rPr>
          <w:sz w:val="24"/>
          <w:szCs w:val="24"/>
          <w:lang w:val="en-US"/>
        </w:rPr>
      </w:pPr>
      <w:r w:rsidRPr="001F5692">
        <w:rPr>
          <w:sz w:val="24"/>
          <w:szCs w:val="24"/>
          <w:lang w:val="mk-MK"/>
        </w:rPr>
        <w:t>Во оваа смисла, член 14 ја комплетира нормативната архитектура што ја создаваат член 11, член 6 и член 1 од Протокол број 1, создавајќи рамка во која економските, социјалните и процесните права се заштитени од произволна и дискриминаторна практика. Особено во земји со политички влијателни деловни елити, слаба инспекциска служба и недоволно консолидирана судска независност, член 14 служи како последна брана против селективно и неправично корпоративно управување. Тој воведува нормативен критериум според кој корпоративната власт мора да биде практикувана на начин што ја почитува еднаквоста, транспарентноста и правото на фер третман на сите актери, без оглед на нивната економска или политичка позиција.</w:t>
      </w:r>
    </w:p>
    <w:p w14:paraId="5A96BC92" w14:textId="192EC5AA" w:rsidR="0054335D" w:rsidRDefault="0054335D" w:rsidP="0054335D">
      <w:pPr>
        <w:pStyle w:val="Heading3"/>
        <w:rPr>
          <w:rFonts w:ascii="Times New Roman" w:hAnsi="Times New Roman" w:cs="Times New Roman"/>
          <w:i/>
          <w:iCs/>
          <w:color w:val="000000" w:themeColor="text1"/>
          <w:sz w:val="22"/>
          <w:szCs w:val="22"/>
          <w:u w:val="single"/>
          <w:lang w:val="en-US"/>
        </w:rPr>
      </w:pPr>
      <w:bookmarkStart w:id="44" w:name="_Toc230523897"/>
      <w:r w:rsidRPr="007869CA">
        <w:rPr>
          <w:rFonts w:ascii="Times New Roman" w:hAnsi="Times New Roman" w:cs="Times New Roman"/>
          <w:color w:val="000000" w:themeColor="text1"/>
          <w:sz w:val="22"/>
          <w:szCs w:val="22"/>
          <w:lang w:val="mk-MK"/>
        </w:rPr>
        <w:lastRenderedPageBreak/>
        <w:t>4.1.</w:t>
      </w:r>
      <w:r>
        <w:rPr>
          <w:rFonts w:ascii="Times New Roman" w:hAnsi="Times New Roman" w:cs="Times New Roman"/>
          <w:color w:val="000000" w:themeColor="text1"/>
          <w:sz w:val="22"/>
          <w:szCs w:val="22"/>
          <w:lang w:val="mk-MK"/>
        </w:rPr>
        <w:t>4</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Член 1 од Протокол број 1 од Европската конвенција за човекови права</w:t>
      </w:r>
      <w:bookmarkEnd w:id="44"/>
    </w:p>
    <w:p w14:paraId="249A8575" w14:textId="77777777" w:rsidR="0054335D" w:rsidRDefault="0054335D" w:rsidP="00F723E7">
      <w:pPr>
        <w:rPr>
          <w:lang w:val="mk-MK"/>
        </w:rPr>
      </w:pPr>
    </w:p>
    <w:p w14:paraId="1751C821" w14:textId="1A5DA2DA" w:rsidR="0054335D" w:rsidRDefault="003A2F2C" w:rsidP="003A2F2C">
      <w:pPr>
        <w:ind w:firstLine="720"/>
        <w:jc w:val="both"/>
        <w:rPr>
          <w:sz w:val="24"/>
          <w:szCs w:val="24"/>
          <w:lang w:val="en-US"/>
        </w:rPr>
      </w:pPr>
      <w:r w:rsidRPr="003A2F2C">
        <w:rPr>
          <w:sz w:val="24"/>
          <w:szCs w:val="24"/>
          <w:lang w:val="mk-MK"/>
        </w:rPr>
        <w:t>Член 1 од Протокол број 1 гарантира право на мирно уживање на сопственоста. Тој штити имотни интереси во најширока смисла, што опфаќа физички имот, финансиски средства, побарувања, придобивки од договори, очекувани права и други економски интереси што имаат имотен карактер.</w:t>
      </w:r>
      <w:r w:rsidR="009A54B7">
        <w:rPr>
          <w:rStyle w:val="FootnoteReference"/>
          <w:sz w:val="24"/>
          <w:szCs w:val="24"/>
          <w:lang w:val="mk-MK"/>
        </w:rPr>
        <w:footnoteReference w:id="449"/>
      </w:r>
      <w:r w:rsidRPr="003A2F2C">
        <w:rPr>
          <w:sz w:val="24"/>
          <w:szCs w:val="24"/>
          <w:lang w:val="mk-MK"/>
        </w:rPr>
        <w:t xml:space="preserve"> Одредбата содржи три елементи: општо право на мирно уживање на сопственоста, услови под кои државата може да лиши некого од сопственост и рамка во која државата може да регулира користење на сопственоста во јавен интерес.</w:t>
      </w:r>
      <w:r w:rsidR="009A54B7">
        <w:rPr>
          <w:sz w:val="24"/>
          <w:szCs w:val="24"/>
          <w:lang w:val="mk-MK"/>
        </w:rPr>
        <w:t xml:space="preserve"> </w:t>
      </w:r>
    </w:p>
    <w:p w14:paraId="0C01146F" w14:textId="4DF2F8BE" w:rsidR="004B7DD8" w:rsidRDefault="003372D9" w:rsidP="004B7DD8">
      <w:pPr>
        <w:spacing w:before="240"/>
        <w:ind w:firstLine="720"/>
        <w:jc w:val="both"/>
        <w:rPr>
          <w:sz w:val="24"/>
          <w:szCs w:val="24"/>
          <w:lang w:val="mk-MK"/>
        </w:rPr>
      </w:pPr>
      <w:r>
        <w:rPr>
          <w:sz w:val="24"/>
          <w:szCs w:val="24"/>
          <w:lang w:val="mk-MK"/>
        </w:rPr>
        <w:t>Правото на сопственост не е апсолутно и во случаи на мешање од страна на државата, с</w:t>
      </w:r>
      <w:r w:rsidR="004B7DD8" w:rsidRPr="004B7DD8">
        <w:rPr>
          <w:sz w:val="24"/>
          <w:szCs w:val="24"/>
          <w:lang w:val="mk-MK"/>
        </w:rPr>
        <w:t xml:space="preserve">удот применува тест на пропорционалност. Интервенцијата мора да биде законска, да следи легитимна цел од јавен интерес и да постои разумен баланс помеѓу јавниот интерес и заштитата на индивидуалните имотни права. Прекумерниот товар на поединецот се смета за нарушување на членот. За корпоративното управување и </w:t>
      </w:r>
      <w:r w:rsidR="009E7116">
        <w:rPr>
          <w:sz w:val="24"/>
          <w:szCs w:val="24"/>
          <w:lang w:val="mk-MK"/>
        </w:rPr>
        <w:t>за</w:t>
      </w:r>
      <w:r w:rsidR="004B7DD8" w:rsidRPr="004B7DD8">
        <w:rPr>
          <w:sz w:val="24"/>
          <w:szCs w:val="24"/>
          <w:lang w:val="mk-MK"/>
        </w:rPr>
        <w:t xml:space="preserve"> учество</w:t>
      </w:r>
      <w:r w:rsidR="009E7116">
        <w:rPr>
          <w:sz w:val="24"/>
          <w:szCs w:val="24"/>
          <w:lang w:val="mk-MK"/>
        </w:rPr>
        <w:t>то на вработените</w:t>
      </w:r>
      <w:r w:rsidR="004B7DD8" w:rsidRPr="004B7DD8">
        <w:rPr>
          <w:sz w:val="24"/>
          <w:szCs w:val="24"/>
          <w:lang w:val="mk-MK"/>
        </w:rPr>
        <w:t xml:space="preserve"> оваа норма е релевантна затоа што одлуките за сопственичка структура, акции, дивиденди и економски придобивки спаѓаат во доменот на имотните права. Судот често ја проширува заштитата на легитимни очекувања поврзани со работни односи, придонеси, пензиски права и правни режими кои имаат економски ефект.</w:t>
      </w:r>
    </w:p>
    <w:p w14:paraId="1860AB98" w14:textId="3223E514" w:rsidR="00F455E7" w:rsidRDefault="00F455E7" w:rsidP="004B7DD8">
      <w:pPr>
        <w:spacing w:before="240"/>
        <w:ind w:firstLine="720"/>
        <w:jc w:val="both"/>
        <w:rPr>
          <w:sz w:val="24"/>
          <w:szCs w:val="24"/>
          <w:lang w:val="mk-MK"/>
        </w:rPr>
      </w:pPr>
      <w:r>
        <w:rPr>
          <w:sz w:val="24"/>
          <w:szCs w:val="24"/>
          <w:lang w:val="mk-MK"/>
        </w:rPr>
        <w:t>Како што ќе видиме подолу, с</w:t>
      </w:r>
      <w:r w:rsidRPr="00F455E7">
        <w:rPr>
          <w:sz w:val="24"/>
          <w:szCs w:val="24"/>
          <w:lang w:val="mk-MK"/>
        </w:rPr>
        <w:t xml:space="preserve">удот </w:t>
      </w:r>
      <w:r>
        <w:rPr>
          <w:sz w:val="24"/>
          <w:szCs w:val="24"/>
          <w:lang w:val="mk-MK"/>
        </w:rPr>
        <w:t>во неколку наврати има повторено</w:t>
      </w:r>
      <w:r w:rsidRPr="00F455E7">
        <w:rPr>
          <w:sz w:val="24"/>
          <w:szCs w:val="24"/>
          <w:lang w:val="mk-MK"/>
        </w:rPr>
        <w:t xml:space="preserve"> дека компаниите исто така уживаат заштита под П1-1, и тоа и како приватноправни субјекти и како корпорации подложни на јавен надзор. Во пресуди како </w:t>
      </w:r>
      <w:r w:rsidRPr="004870C9">
        <w:rPr>
          <w:i/>
          <w:iCs/>
          <w:sz w:val="24"/>
          <w:szCs w:val="24"/>
          <w:lang w:val="mk-MK"/>
        </w:rPr>
        <w:t>Tre Traktörer AB v. Sweden</w:t>
      </w:r>
      <w:r w:rsidRPr="00F455E7">
        <w:rPr>
          <w:sz w:val="24"/>
          <w:szCs w:val="24"/>
          <w:lang w:val="mk-MK"/>
        </w:rPr>
        <w:t xml:space="preserve"> и </w:t>
      </w:r>
      <w:r w:rsidRPr="004870C9">
        <w:rPr>
          <w:i/>
          <w:iCs/>
          <w:sz w:val="24"/>
          <w:szCs w:val="24"/>
          <w:lang w:val="mk-MK"/>
        </w:rPr>
        <w:t>Sovtransavto Holding v. Ukraine</w:t>
      </w:r>
      <w:r w:rsidRPr="00F455E7">
        <w:rPr>
          <w:sz w:val="24"/>
          <w:szCs w:val="24"/>
          <w:lang w:val="mk-MK"/>
        </w:rPr>
        <w:t>, Судот потвр</w:t>
      </w:r>
      <w:r w:rsidR="00F46C3F">
        <w:rPr>
          <w:sz w:val="24"/>
          <w:szCs w:val="24"/>
          <w:lang w:val="mk-MK"/>
        </w:rPr>
        <w:t>дил</w:t>
      </w:r>
      <w:r w:rsidRPr="00F455E7">
        <w:rPr>
          <w:sz w:val="24"/>
          <w:szCs w:val="24"/>
          <w:lang w:val="mk-MK"/>
        </w:rPr>
        <w:t xml:space="preserve"> дека деловните лиценци, дозволи и регулаторни аспекти што ја определуваат корпоративната активност можат да бидат „сопственост“,</w:t>
      </w:r>
      <w:r w:rsidR="007761ED">
        <w:rPr>
          <w:sz w:val="24"/>
          <w:szCs w:val="24"/>
          <w:lang w:val="mk-MK"/>
        </w:rPr>
        <w:t xml:space="preserve"> па следствено</w:t>
      </w:r>
      <w:r w:rsidRPr="00F455E7">
        <w:rPr>
          <w:sz w:val="24"/>
          <w:szCs w:val="24"/>
          <w:lang w:val="mk-MK"/>
        </w:rPr>
        <w:t xml:space="preserve"> државната интервенција во корпоративното управување, кога е произволна или несразмерна, претставува повреда на П1-1</w:t>
      </w:r>
      <w:r w:rsidR="00F16B36">
        <w:rPr>
          <w:sz w:val="24"/>
          <w:szCs w:val="24"/>
          <w:lang w:val="mk-MK"/>
        </w:rPr>
        <w:t xml:space="preserve"> затоа што</w:t>
      </w:r>
      <w:r w:rsidRPr="00F455E7">
        <w:rPr>
          <w:sz w:val="24"/>
          <w:szCs w:val="24"/>
          <w:lang w:val="mk-MK"/>
        </w:rPr>
        <w:t xml:space="preserve"> државата мора да гарантира фер процесни механизми и судска заштита кога нејзини одлуки ја допираат корпоративната имотна сфера.</w:t>
      </w:r>
    </w:p>
    <w:p w14:paraId="006B8076" w14:textId="069C0A58" w:rsidR="00F16B36" w:rsidRDefault="00F16B36" w:rsidP="004B7DD8">
      <w:pPr>
        <w:spacing w:before="240"/>
        <w:ind w:firstLine="720"/>
        <w:jc w:val="both"/>
        <w:rPr>
          <w:sz w:val="24"/>
          <w:szCs w:val="24"/>
          <w:lang w:val="mk-MK"/>
        </w:rPr>
      </w:pPr>
      <w:r>
        <w:rPr>
          <w:sz w:val="24"/>
          <w:szCs w:val="24"/>
          <w:lang w:val="mk-MK"/>
        </w:rPr>
        <w:t xml:space="preserve">Ова значи дека мора да се обезбеди деликатен баланс помеѓу двете страни за да се задоволат стандардите на ЕКЧП. </w:t>
      </w:r>
      <w:r w:rsidR="00C84937" w:rsidRPr="00C84937">
        <w:rPr>
          <w:sz w:val="24"/>
          <w:szCs w:val="24"/>
          <w:lang w:val="mk-MK"/>
        </w:rPr>
        <w:t>П1-1 обезбедува правна рамка против произволни или политички мотивирани интервенции во деловниот сектор, што го засилува аргументот дека корпоративното управување мора да биде транспарентно и институционално заштитено.</w:t>
      </w:r>
      <w:r w:rsidR="00F95A57">
        <w:rPr>
          <w:sz w:val="24"/>
          <w:szCs w:val="24"/>
          <w:lang w:val="mk-MK"/>
        </w:rPr>
        <w:t xml:space="preserve"> </w:t>
      </w:r>
      <w:r w:rsidR="00C84044" w:rsidRPr="00C84044">
        <w:rPr>
          <w:sz w:val="24"/>
          <w:szCs w:val="24"/>
          <w:lang w:val="mk-MK"/>
        </w:rPr>
        <w:t xml:space="preserve">Иако П1-1 најчесто се поврзува со правата на компаниите и инвеститорите, Судот последната деценија значајно ја прошири примената на нормата во сферата на трудовите и социјалните односи. Во предмети како </w:t>
      </w:r>
      <w:r w:rsidR="00C84044" w:rsidRPr="00C84044">
        <w:rPr>
          <w:i/>
          <w:iCs/>
          <w:sz w:val="24"/>
          <w:szCs w:val="24"/>
          <w:lang w:val="mk-MK"/>
        </w:rPr>
        <w:t>Kopecký v. Slovakia</w:t>
      </w:r>
      <w:r w:rsidR="00C84044" w:rsidRPr="00C84044">
        <w:rPr>
          <w:sz w:val="24"/>
          <w:szCs w:val="24"/>
          <w:lang w:val="mk-MK"/>
        </w:rPr>
        <w:t xml:space="preserve">, </w:t>
      </w:r>
      <w:r w:rsidR="00C84044" w:rsidRPr="00C84044">
        <w:rPr>
          <w:i/>
          <w:iCs/>
          <w:sz w:val="24"/>
          <w:szCs w:val="24"/>
          <w:lang w:val="mk-MK"/>
        </w:rPr>
        <w:t>Béláné Nagy v. Hungary</w:t>
      </w:r>
      <w:r w:rsidR="00C84044" w:rsidRPr="00C84044">
        <w:rPr>
          <w:sz w:val="24"/>
          <w:szCs w:val="24"/>
          <w:lang w:val="mk-MK"/>
        </w:rPr>
        <w:t xml:space="preserve"> и </w:t>
      </w:r>
      <w:r w:rsidR="00C84044" w:rsidRPr="00C84044">
        <w:rPr>
          <w:i/>
          <w:iCs/>
          <w:sz w:val="24"/>
          <w:szCs w:val="24"/>
          <w:lang w:val="mk-MK"/>
        </w:rPr>
        <w:t>Stec and Others v. United Kingdom</w:t>
      </w:r>
      <w:r w:rsidR="00C84044" w:rsidRPr="00C84044">
        <w:rPr>
          <w:sz w:val="24"/>
          <w:szCs w:val="24"/>
          <w:lang w:val="mk-MK"/>
        </w:rPr>
        <w:t xml:space="preserve">, Судот </w:t>
      </w:r>
      <w:r w:rsidR="00C84044">
        <w:rPr>
          <w:sz w:val="24"/>
          <w:szCs w:val="24"/>
          <w:lang w:val="mk-MK"/>
        </w:rPr>
        <w:t>потенцира</w:t>
      </w:r>
      <w:r w:rsidR="00C84044" w:rsidRPr="00C84044">
        <w:rPr>
          <w:sz w:val="24"/>
          <w:szCs w:val="24"/>
          <w:lang w:val="mk-MK"/>
        </w:rPr>
        <w:t xml:space="preserve"> дека одредени економски интереси на работниците можат да претставуваат „сопственост“, </w:t>
      </w:r>
      <w:r w:rsidR="00DC62C4">
        <w:rPr>
          <w:sz w:val="24"/>
          <w:szCs w:val="24"/>
          <w:lang w:val="mk-MK"/>
        </w:rPr>
        <w:t>вклучувајќи</w:t>
      </w:r>
      <w:r w:rsidR="00C84044" w:rsidRPr="00C84044">
        <w:rPr>
          <w:sz w:val="24"/>
          <w:szCs w:val="24"/>
          <w:lang w:val="mk-MK"/>
        </w:rPr>
        <w:t xml:space="preserve"> легитимните очекувања за стекнати права</w:t>
      </w:r>
      <w:r w:rsidR="00DC62C4">
        <w:rPr>
          <w:sz w:val="24"/>
          <w:szCs w:val="24"/>
          <w:lang w:val="mk-MK"/>
        </w:rPr>
        <w:t>,</w:t>
      </w:r>
      <w:r w:rsidR="00DC62C4">
        <w:rPr>
          <w:rStyle w:val="FootnoteReference"/>
          <w:sz w:val="24"/>
          <w:szCs w:val="24"/>
          <w:lang w:val="mk-MK"/>
        </w:rPr>
        <w:footnoteReference w:id="450"/>
      </w:r>
      <w:r w:rsidR="00C84044" w:rsidRPr="00C84044">
        <w:rPr>
          <w:sz w:val="24"/>
          <w:szCs w:val="24"/>
          <w:lang w:val="mk-MK"/>
        </w:rPr>
        <w:t xml:space="preserve"> </w:t>
      </w:r>
      <w:r w:rsidR="00DF2989">
        <w:rPr>
          <w:sz w:val="24"/>
          <w:szCs w:val="24"/>
          <w:lang w:val="mk-MK"/>
        </w:rPr>
        <w:t xml:space="preserve">и дека </w:t>
      </w:r>
      <w:r w:rsidR="00C84044" w:rsidRPr="00C84044">
        <w:rPr>
          <w:sz w:val="24"/>
          <w:szCs w:val="24"/>
          <w:lang w:val="mk-MK"/>
        </w:rPr>
        <w:t>државите не смеат произволно да укинуваат или суспендираат системи на социјални и економски бенефиции, особено ако тоа ги погодува ранливите групи.</w:t>
      </w:r>
    </w:p>
    <w:p w14:paraId="2525D7B3" w14:textId="5A8B5104" w:rsidR="00DF2989" w:rsidRDefault="00DF2989" w:rsidP="004B7DD8">
      <w:pPr>
        <w:spacing w:before="240"/>
        <w:ind w:firstLine="720"/>
        <w:jc w:val="both"/>
        <w:rPr>
          <w:sz w:val="24"/>
          <w:szCs w:val="24"/>
          <w:lang w:val="mk-MK"/>
        </w:rPr>
      </w:pPr>
      <w:r w:rsidRPr="00DF2989">
        <w:rPr>
          <w:sz w:val="24"/>
          <w:szCs w:val="24"/>
          <w:lang w:val="mk-MK"/>
        </w:rPr>
        <w:t>За корпоративното управување, ова е важно на два начина. Прво, работничките побарувања кон фирмата</w:t>
      </w:r>
      <w:r>
        <w:rPr>
          <w:sz w:val="24"/>
          <w:szCs w:val="24"/>
          <w:lang w:val="mk-MK"/>
        </w:rPr>
        <w:t xml:space="preserve">, како </w:t>
      </w:r>
      <w:r w:rsidRPr="00DF2989">
        <w:rPr>
          <w:sz w:val="24"/>
          <w:szCs w:val="24"/>
          <w:lang w:val="mk-MK"/>
        </w:rPr>
        <w:t>исплата</w:t>
      </w:r>
      <w:r>
        <w:rPr>
          <w:sz w:val="24"/>
          <w:szCs w:val="24"/>
          <w:lang w:val="mk-MK"/>
        </w:rPr>
        <w:t>та</w:t>
      </w:r>
      <w:r w:rsidRPr="00DF2989">
        <w:rPr>
          <w:sz w:val="24"/>
          <w:szCs w:val="24"/>
          <w:lang w:val="mk-MK"/>
        </w:rPr>
        <w:t xml:space="preserve"> на плата, отпремнини, придонеси се третираат како „имот“. Второ, државата мора да обезбеди ефективни механизми за наплата и </w:t>
      </w:r>
      <w:r w:rsidRPr="00DF2989">
        <w:rPr>
          <w:sz w:val="24"/>
          <w:szCs w:val="24"/>
          <w:lang w:val="mk-MK"/>
        </w:rPr>
        <w:lastRenderedPageBreak/>
        <w:t>заштита од злоупотреби, што значи дека корпоративниот сектор мора да функционира под јасни регулаторни правила.</w:t>
      </w:r>
    </w:p>
    <w:p w14:paraId="3F7A01F6" w14:textId="40122362" w:rsidR="009D3C60" w:rsidRPr="00B22DEE" w:rsidRDefault="00E13239" w:rsidP="00B22DEE">
      <w:pPr>
        <w:spacing w:before="240"/>
        <w:ind w:firstLine="720"/>
        <w:jc w:val="both"/>
        <w:rPr>
          <w:sz w:val="24"/>
          <w:szCs w:val="24"/>
          <w:lang w:val="mk-MK"/>
        </w:rPr>
      </w:pPr>
      <w:r>
        <w:rPr>
          <w:sz w:val="24"/>
          <w:szCs w:val="24"/>
          <w:lang w:val="mk-MK"/>
        </w:rPr>
        <w:t xml:space="preserve">Оттука, иако </w:t>
      </w:r>
      <w:r w:rsidRPr="00E13239">
        <w:rPr>
          <w:sz w:val="24"/>
          <w:szCs w:val="24"/>
          <w:lang w:val="mk-MK"/>
        </w:rPr>
        <w:t xml:space="preserve">П1-1 </w:t>
      </w:r>
      <w:r>
        <w:rPr>
          <w:sz w:val="24"/>
          <w:szCs w:val="24"/>
          <w:lang w:val="mk-MK"/>
        </w:rPr>
        <w:t xml:space="preserve">експлицитно </w:t>
      </w:r>
      <w:r w:rsidRPr="00E13239">
        <w:rPr>
          <w:sz w:val="24"/>
          <w:szCs w:val="24"/>
          <w:lang w:val="mk-MK"/>
        </w:rPr>
        <w:t xml:space="preserve">не предвидува никакво право на учество на работниците во корпоративното управување, </w:t>
      </w:r>
      <w:r w:rsidR="008A174F">
        <w:rPr>
          <w:sz w:val="24"/>
          <w:szCs w:val="24"/>
          <w:lang w:val="mk-MK"/>
        </w:rPr>
        <w:t>неговата форма и толкување</w:t>
      </w:r>
      <w:r w:rsidRPr="00E13239">
        <w:rPr>
          <w:sz w:val="24"/>
          <w:szCs w:val="24"/>
          <w:lang w:val="mk-MK"/>
        </w:rPr>
        <w:t xml:space="preserve"> поставува </w:t>
      </w:r>
      <w:r w:rsidR="008A174F">
        <w:rPr>
          <w:sz w:val="24"/>
          <w:szCs w:val="24"/>
          <w:lang w:val="mk-MK"/>
        </w:rPr>
        <w:t>три</w:t>
      </w:r>
      <w:r w:rsidRPr="00E13239">
        <w:rPr>
          <w:sz w:val="24"/>
          <w:szCs w:val="24"/>
          <w:lang w:val="mk-MK"/>
        </w:rPr>
        <w:t xml:space="preserve"> важни темели што индиректно ја поддржуваат тезата за економска демократија</w:t>
      </w:r>
      <w:r w:rsidR="008A174F">
        <w:rPr>
          <w:sz w:val="24"/>
          <w:szCs w:val="24"/>
          <w:lang w:val="mk-MK"/>
        </w:rPr>
        <w:t>.</w:t>
      </w:r>
      <w:r w:rsidRPr="00E13239">
        <w:rPr>
          <w:sz w:val="24"/>
          <w:szCs w:val="24"/>
          <w:lang w:val="mk-MK"/>
        </w:rPr>
        <w:t xml:space="preserve"> П</w:t>
      </w:r>
      <w:r w:rsidR="008A174F">
        <w:rPr>
          <w:sz w:val="24"/>
          <w:szCs w:val="24"/>
          <w:lang w:val="mk-MK"/>
        </w:rPr>
        <w:t xml:space="preserve">рво, </w:t>
      </w:r>
      <w:r w:rsidRPr="00E13239">
        <w:rPr>
          <w:sz w:val="24"/>
          <w:szCs w:val="24"/>
          <w:lang w:val="mk-MK"/>
        </w:rPr>
        <w:t>демократско</w:t>
      </w:r>
      <w:r w:rsidR="008A174F">
        <w:rPr>
          <w:sz w:val="24"/>
          <w:szCs w:val="24"/>
          <w:lang w:val="mk-MK"/>
        </w:rPr>
        <w:t>то</w:t>
      </w:r>
      <w:r w:rsidRPr="00E13239">
        <w:rPr>
          <w:sz w:val="24"/>
          <w:szCs w:val="24"/>
          <w:lang w:val="mk-MK"/>
        </w:rPr>
        <w:t xml:space="preserve"> корпоративно управување е невозможно без правна стабилност и заштита од произвол</w:t>
      </w:r>
      <w:r w:rsidR="008A174F">
        <w:rPr>
          <w:sz w:val="24"/>
          <w:szCs w:val="24"/>
          <w:lang w:val="mk-MK"/>
        </w:rPr>
        <w:t>ност</w:t>
      </w:r>
      <w:r w:rsidRPr="00E13239">
        <w:rPr>
          <w:sz w:val="24"/>
          <w:szCs w:val="24"/>
          <w:lang w:val="mk-MK"/>
        </w:rPr>
        <w:t xml:space="preserve">, што Судот го обезбедува преку доктрината на фер рамнотежа. </w:t>
      </w:r>
      <w:r w:rsidR="00140203">
        <w:rPr>
          <w:sz w:val="24"/>
          <w:szCs w:val="24"/>
          <w:lang w:val="mk-MK"/>
        </w:rPr>
        <w:t>Второ,</w:t>
      </w:r>
      <w:r w:rsidRPr="00E13239">
        <w:rPr>
          <w:sz w:val="24"/>
          <w:szCs w:val="24"/>
          <w:lang w:val="mk-MK"/>
        </w:rPr>
        <w:t xml:space="preserve"> легитимните очекувања и имотните побарувања на работниците добиваат статус на човеково право, што го јакне нивниот правен и политички капитал во фирмата. </w:t>
      </w:r>
      <w:r w:rsidR="00BD67BA">
        <w:rPr>
          <w:sz w:val="24"/>
          <w:szCs w:val="24"/>
          <w:lang w:val="mk-MK"/>
        </w:rPr>
        <w:t>Трето,</w:t>
      </w:r>
      <w:r w:rsidRPr="00E13239">
        <w:rPr>
          <w:sz w:val="24"/>
          <w:szCs w:val="24"/>
          <w:lang w:val="mk-MK"/>
        </w:rPr>
        <w:t xml:space="preserve"> Судот го лимитира просторот на државата да врши неправедни интервенции</w:t>
      </w:r>
      <w:r w:rsidR="00B22DEE">
        <w:rPr>
          <w:sz w:val="24"/>
          <w:szCs w:val="24"/>
          <w:lang w:val="mk-MK"/>
        </w:rPr>
        <w:t xml:space="preserve"> и</w:t>
      </w:r>
      <w:r w:rsidRPr="00E13239">
        <w:rPr>
          <w:sz w:val="24"/>
          <w:szCs w:val="24"/>
          <w:lang w:val="mk-MK"/>
        </w:rPr>
        <w:t xml:space="preserve"> истовремено ја обврзува да создаде фер пазарна средина. Ова рамнотежно структурирање го поддржува аргументот дека корпоративното управување е јавноправна, а не чисто приватноправна сфера.</w:t>
      </w:r>
    </w:p>
    <w:p w14:paraId="6091A84C" w14:textId="0CCFD50D" w:rsidR="00193BBB" w:rsidRPr="00193BBB" w:rsidRDefault="00193BBB" w:rsidP="00193BBB">
      <w:pPr>
        <w:pStyle w:val="Heading2"/>
        <w:numPr>
          <w:ilvl w:val="0"/>
          <w:numId w:val="0"/>
        </w:numPr>
        <w:rPr>
          <w:rFonts w:ascii="Times New Roman" w:hAnsi="Times New Roman" w:cs="Times New Roman"/>
          <w:b w:val="0"/>
          <w:bCs w:val="0"/>
          <w:color w:val="000000" w:themeColor="text1"/>
          <w:sz w:val="24"/>
          <w:szCs w:val="24"/>
          <w:lang w:val="mk-MK"/>
        </w:rPr>
      </w:pPr>
      <w:bookmarkStart w:id="45" w:name="_Toc230523898"/>
      <w:r w:rsidRPr="004A51D9">
        <w:rPr>
          <w:rFonts w:ascii="Times New Roman" w:hAnsi="Times New Roman" w:cs="Times New Roman"/>
          <w:b w:val="0"/>
          <w:bCs w:val="0"/>
          <w:color w:val="000000" w:themeColor="text1"/>
          <w:sz w:val="24"/>
          <w:szCs w:val="24"/>
          <w:lang w:val="mk-MK"/>
        </w:rPr>
        <w:t>4.</w:t>
      </w:r>
      <w:r>
        <w:rPr>
          <w:rFonts w:ascii="Times New Roman" w:hAnsi="Times New Roman" w:cs="Times New Roman"/>
          <w:b w:val="0"/>
          <w:bCs w:val="0"/>
          <w:color w:val="000000" w:themeColor="text1"/>
          <w:sz w:val="24"/>
          <w:szCs w:val="24"/>
          <w:lang w:val="mk-MK"/>
        </w:rPr>
        <w:t>2</w:t>
      </w:r>
      <w:r w:rsidRPr="004A51D9">
        <w:rPr>
          <w:rFonts w:ascii="Times New Roman" w:hAnsi="Times New Roman" w:cs="Times New Roman"/>
          <w:b w:val="0"/>
          <w:bCs w:val="0"/>
          <w:color w:val="000000" w:themeColor="text1"/>
          <w:sz w:val="24"/>
          <w:szCs w:val="24"/>
          <w:lang w:val="mk-MK"/>
        </w:rPr>
        <w:t>. Јуриспруденцијата на Европскиот суд за човекови права</w:t>
      </w:r>
      <w:bookmarkEnd w:id="45"/>
    </w:p>
    <w:p w14:paraId="22619F03" w14:textId="235F2EA5" w:rsidR="00225AF2" w:rsidRDefault="00225AF2" w:rsidP="00614D49">
      <w:pPr>
        <w:pStyle w:val="BodyText"/>
        <w:spacing w:before="240"/>
        <w:ind w:firstLine="720"/>
        <w:jc w:val="both"/>
        <w:rPr>
          <w:lang w:val="mk-MK"/>
        </w:rPr>
      </w:pPr>
      <w:r w:rsidRPr="00225AF2">
        <w:rPr>
          <w:lang w:val="mk-MK"/>
        </w:rPr>
        <w:t>Јуриспруденцијата на Европскиот суд за човекови права претставува систематизирана судска практика преку која Судот постепено ги обликува значењата, функциите и границите на правата загарантирани со Европската конвенција.</w:t>
      </w:r>
      <w:r w:rsidR="000A2AE8">
        <w:rPr>
          <w:rStyle w:val="FootnoteReference"/>
          <w:lang w:val="mk-MK"/>
        </w:rPr>
        <w:footnoteReference w:id="451"/>
      </w:r>
      <w:r w:rsidRPr="00225AF2">
        <w:rPr>
          <w:lang w:val="mk-MK"/>
        </w:rPr>
        <w:t xml:space="preserve"> </w:t>
      </w:r>
      <w:r w:rsidR="000A2AE8">
        <w:rPr>
          <w:lang w:val="mk-MK"/>
        </w:rPr>
        <w:t>Како таква, судската пракса</w:t>
      </w:r>
      <w:r w:rsidRPr="00225AF2">
        <w:rPr>
          <w:lang w:val="mk-MK"/>
        </w:rPr>
        <w:t xml:space="preserve"> не е механичко толкување на постојните норми, туку динамичен процес во кој правото се развива паралелно со промените во општествените односи, економските модели и меѓународните стандарди. Во ова поле, Судот одамна </w:t>
      </w:r>
      <w:r w:rsidR="006F5A5F">
        <w:rPr>
          <w:lang w:val="mk-MK"/>
        </w:rPr>
        <w:t xml:space="preserve">ја надмина </w:t>
      </w:r>
      <w:r w:rsidRPr="00225AF2">
        <w:rPr>
          <w:lang w:val="mk-MK"/>
        </w:rPr>
        <w:t>претпоставката дека трудовите односи или корпоративното управување се сфери строго одвоени од логиката на човековите права. Напротив, неговата практика покажува дека и односите во компаниите се дел од „живиот поредок“ на демократијата, каде што ефективната заштита на правата на работниците, синдикатите и акционерите се сфаќа како дел од поширок систем на економска демократија.</w:t>
      </w:r>
      <w:r w:rsidR="00307ED2">
        <w:rPr>
          <w:rStyle w:val="FootnoteReference"/>
          <w:lang w:val="mk-MK"/>
        </w:rPr>
        <w:footnoteReference w:id="452"/>
      </w:r>
      <w:r w:rsidRPr="00225AF2">
        <w:rPr>
          <w:lang w:val="mk-MK"/>
        </w:rPr>
        <w:t xml:space="preserve"> Основата на оваа ориентација лежи во два принципи: еволутивното толкување, преку кое Конвенцијата се чита во светлина на современите социјални и економски реалности, и доктрината на позитивните обврски, која бара од држав</w:t>
      </w:r>
      <w:r w:rsidR="001315F7">
        <w:rPr>
          <w:lang w:val="mk-MK"/>
        </w:rPr>
        <w:t>ите</w:t>
      </w:r>
      <w:r w:rsidRPr="00225AF2">
        <w:rPr>
          <w:lang w:val="mk-MK"/>
        </w:rPr>
        <w:t xml:space="preserve"> активно да создава</w:t>
      </w:r>
      <w:r w:rsidR="001315F7">
        <w:rPr>
          <w:lang w:val="mk-MK"/>
        </w:rPr>
        <w:t>ат</w:t>
      </w:r>
      <w:r w:rsidRPr="00225AF2">
        <w:rPr>
          <w:lang w:val="mk-MK"/>
        </w:rPr>
        <w:t xml:space="preserve"> услови за реално, а не само формално уживање на правата.</w:t>
      </w:r>
    </w:p>
    <w:p w14:paraId="62D3CEB2" w14:textId="7B88ECCC" w:rsidR="001315F7" w:rsidRDefault="001315F7" w:rsidP="00614D49">
      <w:pPr>
        <w:pStyle w:val="BodyText"/>
        <w:spacing w:before="240"/>
        <w:ind w:firstLine="720"/>
        <w:jc w:val="both"/>
        <w:rPr>
          <w:lang w:val="mk-MK"/>
        </w:rPr>
      </w:pPr>
      <w:r w:rsidRPr="001315F7">
        <w:rPr>
          <w:lang w:val="mk-MK"/>
        </w:rPr>
        <w:t xml:space="preserve">Во рамките на овој пристап, клучните пресуди на Судот ја демонстрираат неговата постепена, но конзистентна ориентација кон зајакнување на колективната позиција на работниците и ограничување на практиките кои ја поткопуваат синдикалната репрезентација. Пресудата </w:t>
      </w:r>
      <w:r w:rsidRPr="00CA79D3">
        <w:rPr>
          <w:i/>
          <w:iCs/>
          <w:lang w:val="mk-MK"/>
        </w:rPr>
        <w:t>Demir and Baykara</w:t>
      </w:r>
      <w:r w:rsidRPr="001315F7">
        <w:rPr>
          <w:lang w:val="mk-MK"/>
        </w:rPr>
        <w:t xml:space="preserve"> </w:t>
      </w:r>
      <w:r w:rsidRPr="00C33701">
        <w:rPr>
          <w:i/>
          <w:iCs/>
          <w:lang w:val="mk-MK"/>
        </w:rPr>
        <w:t>против Турција</w:t>
      </w:r>
      <w:r w:rsidRPr="001315F7">
        <w:rPr>
          <w:lang w:val="mk-MK"/>
        </w:rPr>
        <w:t xml:space="preserve"> е најистакнат пример за ова поместување. Судот во неа јасно став</w:t>
      </w:r>
      <w:r w:rsidR="00C33701">
        <w:rPr>
          <w:lang w:val="mk-MK"/>
        </w:rPr>
        <w:t>а</w:t>
      </w:r>
      <w:r w:rsidRPr="001315F7">
        <w:rPr>
          <w:lang w:val="mk-MK"/>
        </w:rPr>
        <w:t xml:space="preserve"> до знаење дека член 11 не </w:t>
      </w:r>
      <w:r w:rsidR="00C33701">
        <w:rPr>
          <w:lang w:val="mk-MK"/>
        </w:rPr>
        <w:t xml:space="preserve">го </w:t>
      </w:r>
      <w:r w:rsidRPr="001315F7">
        <w:rPr>
          <w:lang w:val="mk-MK"/>
        </w:rPr>
        <w:t>штити само голо</w:t>
      </w:r>
      <w:r w:rsidR="00C33701">
        <w:rPr>
          <w:lang w:val="mk-MK"/>
        </w:rPr>
        <w:t>то</w:t>
      </w:r>
      <w:r w:rsidRPr="001315F7">
        <w:rPr>
          <w:lang w:val="mk-MK"/>
        </w:rPr>
        <w:t xml:space="preserve"> право на формирање здруженија, туку и суштински</w:t>
      </w:r>
      <w:r w:rsidR="007F07BA">
        <w:rPr>
          <w:lang w:val="mk-MK"/>
        </w:rPr>
        <w:t>те</w:t>
      </w:r>
      <w:r w:rsidRPr="001315F7">
        <w:rPr>
          <w:lang w:val="mk-MK"/>
        </w:rPr>
        <w:t xml:space="preserve"> елементи на </w:t>
      </w:r>
      <w:r w:rsidR="002C54EA">
        <w:rPr>
          <w:lang w:val="mk-MK"/>
        </w:rPr>
        <w:t>заедничкото</w:t>
      </w:r>
      <w:r w:rsidRPr="001315F7">
        <w:rPr>
          <w:lang w:val="mk-MK"/>
        </w:rPr>
        <w:t xml:space="preserve"> дејствување, како што се колективното договарање и институционалните механизми за заштита на работничките интереси. Овој пристап ја вметнува логиката на МОТ-конвенциите во европската човековоправна архитектура и им наметнува на државите обврска да ја поддржат функционалната, а не само декларативната синдикална слобода. Истата насока се гледа и во случаите како </w:t>
      </w:r>
      <w:r w:rsidRPr="005C2B92">
        <w:rPr>
          <w:i/>
          <w:iCs/>
          <w:lang w:val="mk-MK"/>
        </w:rPr>
        <w:t>Wilson против Обединетото Кралство</w:t>
      </w:r>
      <w:r w:rsidRPr="001315F7">
        <w:rPr>
          <w:lang w:val="mk-MK"/>
        </w:rPr>
        <w:t>, каде Судот истакн</w:t>
      </w:r>
      <w:r w:rsidR="005C2B92">
        <w:rPr>
          <w:lang w:val="mk-MK"/>
        </w:rPr>
        <w:t>ува</w:t>
      </w:r>
      <w:r w:rsidRPr="001315F7">
        <w:rPr>
          <w:lang w:val="mk-MK"/>
        </w:rPr>
        <w:t xml:space="preserve"> дека државата не смее да дозволи работодав</w:t>
      </w:r>
      <w:r w:rsidR="005C2B92">
        <w:rPr>
          <w:lang w:val="mk-MK"/>
        </w:rPr>
        <w:t>ачите</w:t>
      </w:r>
      <w:r w:rsidRPr="001315F7">
        <w:rPr>
          <w:lang w:val="mk-MK"/>
        </w:rPr>
        <w:t xml:space="preserve"> да ја поткопуваат синдикалната репрезентација преку индивидуални договори или други </w:t>
      </w:r>
      <w:r w:rsidRPr="001315F7">
        <w:rPr>
          <w:lang w:val="mk-MK"/>
        </w:rPr>
        <w:lastRenderedPageBreak/>
        <w:t xml:space="preserve">механизми кои создаваат </w:t>
      </w:r>
      <w:r w:rsidRPr="005C2B92">
        <w:rPr>
          <w:i/>
          <w:iCs/>
          <w:lang w:val="mk-MK"/>
        </w:rPr>
        <w:t>de facto</w:t>
      </w:r>
      <w:r w:rsidRPr="001315F7">
        <w:rPr>
          <w:lang w:val="mk-MK"/>
        </w:rPr>
        <w:t xml:space="preserve"> бариери за организирање. На сличен начин, во </w:t>
      </w:r>
      <w:r w:rsidRPr="005C2B92">
        <w:rPr>
          <w:i/>
          <w:iCs/>
          <w:lang w:val="mk-MK"/>
        </w:rPr>
        <w:t>Enerji Yapı-Yol Sen против Турција</w:t>
      </w:r>
      <w:r w:rsidR="005C2B92">
        <w:rPr>
          <w:lang w:val="mk-MK"/>
        </w:rPr>
        <w:t>,</w:t>
      </w:r>
      <w:r w:rsidRPr="001315F7">
        <w:rPr>
          <w:lang w:val="mk-MK"/>
        </w:rPr>
        <w:t xml:space="preserve"> Судот </w:t>
      </w:r>
      <w:r w:rsidR="005C2B92">
        <w:rPr>
          <w:lang w:val="mk-MK"/>
        </w:rPr>
        <w:t>нагласува</w:t>
      </w:r>
      <w:r w:rsidRPr="001315F7">
        <w:rPr>
          <w:lang w:val="mk-MK"/>
        </w:rPr>
        <w:t xml:space="preserve"> дека правото на синдикално организирање подразбира и право на колективна акција, вклучително и штрајк, и дека секое ограничување мора да помине строг тест на неопходност и пропорционалност.</w:t>
      </w:r>
    </w:p>
    <w:p w14:paraId="3458A214" w14:textId="64DEF918" w:rsidR="009870CF" w:rsidRDefault="005C2B92" w:rsidP="00614D49">
      <w:pPr>
        <w:pStyle w:val="BodyText"/>
        <w:spacing w:before="240"/>
        <w:ind w:firstLine="720"/>
        <w:jc w:val="both"/>
        <w:rPr>
          <w:lang w:val="en-US"/>
        </w:rPr>
      </w:pPr>
      <w:r>
        <w:rPr>
          <w:lang w:val="mk-MK"/>
        </w:rPr>
        <w:t>Конкретно</w:t>
      </w:r>
      <w:r w:rsidR="00EF3B0B">
        <w:rPr>
          <w:lang w:val="mk-MK"/>
        </w:rPr>
        <w:t>, в</w:t>
      </w:r>
      <w:r w:rsidR="00EF3B0B" w:rsidRPr="00836A92">
        <w:rPr>
          <w:lang w:val="mk-MK"/>
        </w:rPr>
        <w:t xml:space="preserve">о пресудата </w:t>
      </w:r>
      <w:r w:rsidR="00EF3B0B" w:rsidRPr="00237FFA">
        <w:rPr>
          <w:i/>
          <w:iCs/>
          <w:lang w:val="mk-MK"/>
        </w:rPr>
        <w:t xml:space="preserve">Demir and Baykara v. Turkey </w:t>
      </w:r>
      <w:r w:rsidR="00EF3B0B">
        <w:rPr>
          <w:lang w:val="mk-MK"/>
        </w:rPr>
        <w:t xml:space="preserve">од </w:t>
      </w:r>
      <w:r w:rsidR="00EF3B0B" w:rsidRPr="00836A92">
        <w:rPr>
          <w:lang w:val="mk-MK"/>
        </w:rPr>
        <w:t>2008</w:t>
      </w:r>
      <w:r w:rsidR="00EF3B0B">
        <w:rPr>
          <w:lang w:val="mk-MK"/>
        </w:rPr>
        <w:t xml:space="preserve"> година</w:t>
      </w:r>
      <w:r w:rsidR="00EF3B0B" w:rsidRPr="00836A92">
        <w:rPr>
          <w:lang w:val="mk-MK"/>
        </w:rPr>
        <w:t>, Судот утврди дека член 11 не се ограничува само на правото на синдикално организирање, туку вклучува и право на колективно договарање и институционално учество во определувањето на условите на труд.</w:t>
      </w:r>
      <w:r w:rsidR="00EF3B0B">
        <w:rPr>
          <w:rStyle w:val="FootnoteReference"/>
          <w:lang w:val="mk-MK"/>
        </w:rPr>
        <w:footnoteReference w:id="453"/>
      </w:r>
      <w:r w:rsidR="00EF3B0B" w:rsidRPr="00836A92">
        <w:rPr>
          <w:lang w:val="mk-MK"/>
        </w:rPr>
        <w:t xml:space="preserve"> </w:t>
      </w:r>
      <w:r w:rsidR="00EF3B0B" w:rsidRPr="001E2C79">
        <w:rPr>
          <w:lang w:val="mk-MK"/>
        </w:rPr>
        <w:t>Случајо</w:t>
      </w:r>
      <w:r w:rsidR="00EF3B0B">
        <w:rPr>
          <w:lang w:val="mk-MK"/>
        </w:rPr>
        <w:t>т</w:t>
      </w:r>
      <w:r w:rsidR="00EF3B0B" w:rsidRPr="001E2C79">
        <w:rPr>
          <w:lang w:val="mk-MK"/>
        </w:rPr>
        <w:t xml:space="preserve"> </w:t>
      </w:r>
      <w:r w:rsidR="00EF3B0B">
        <w:rPr>
          <w:lang w:val="mk-MK"/>
        </w:rPr>
        <w:t>всушност</w:t>
      </w:r>
      <w:r w:rsidR="00EF3B0B" w:rsidRPr="001E2C79">
        <w:rPr>
          <w:lang w:val="mk-MK"/>
        </w:rPr>
        <w:t xml:space="preserve"> се однесува на двајца јавни службеници, </w:t>
      </w:r>
      <w:r w:rsidR="00EF3B0B">
        <w:rPr>
          <w:lang w:val="mk-MK"/>
        </w:rPr>
        <w:t>Демир и Бајкара</w:t>
      </w:r>
      <w:r w:rsidR="00EF3B0B" w:rsidRPr="001E2C79">
        <w:rPr>
          <w:lang w:val="mk-MK"/>
        </w:rPr>
        <w:t>, кои биле претставници на синдикатот на јавни службеници (Tüm Bel Sen). Во 1993 година, синдикатот склучил колективен договор со општината Газиемир, со кој биле утврдени подобри услови на работа и надоместоци за вработените.</w:t>
      </w:r>
      <w:r w:rsidR="00614D49">
        <w:rPr>
          <w:lang w:val="en-US"/>
        </w:rPr>
        <w:t xml:space="preserve"> </w:t>
      </w:r>
      <w:r w:rsidR="00EF3B0B" w:rsidRPr="001E2C79">
        <w:rPr>
          <w:lang w:val="mk-MK"/>
        </w:rPr>
        <w:t>Подоцна, турските судови го поништиле договорот, наведувајќи дека јавните служб</w:t>
      </w:r>
      <w:r w:rsidR="00614D49">
        <w:rPr>
          <w:lang w:val="en-US"/>
        </w:rPr>
        <w:t>e</w:t>
      </w:r>
      <w:r w:rsidR="00EF3B0B" w:rsidRPr="001E2C79">
        <w:rPr>
          <w:lang w:val="mk-MK"/>
        </w:rPr>
        <w:t>ници немаат право на колективно договарање според турското законодавство, по што апликантите се пожалиле до Европскиот суд за човекови права, повикувајќи се на повреда на член 11 од Европската конвенција за човекови права</w:t>
      </w:r>
      <w:r w:rsidR="00EF3B0B">
        <w:rPr>
          <w:lang w:val="mk-MK"/>
        </w:rPr>
        <w:t>, односно</w:t>
      </w:r>
      <w:r w:rsidR="00EF3B0B" w:rsidRPr="001E2C79">
        <w:rPr>
          <w:lang w:val="mk-MK"/>
        </w:rPr>
        <w:t xml:space="preserve"> правото на слобода на здружување. </w:t>
      </w:r>
    </w:p>
    <w:p w14:paraId="1DB57A43" w14:textId="115432A4" w:rsidR="00EF3B0B" w:rsidRDefault="007E7279" w:rsidP="00614D49">
      <w:pPr>
        <w:pStyle w:val="BodyText"/>
        <w:spacing w:before="240"/>
        <w:ind w:firstLine="720"/>
        <w:jc w:val="both"/>
        <w:rPr>
          <w:lang w:val="mk-MK"/>
        </w:rPr>
      </w:pPr>
      <w:r>
        <w:rPr>
          <w:lang w:val="mk-MK"/>
        </w:rPr>
        <w:t>Големиот</w:t>
      </w:r>
      <w:r w:rsidR="00EF3B0B" w:rsidRPr="001E2C79">
        <w:rPr>
          <w:lang w:val="mk-MK"/>
        </w:rPr>
        <w:t xml:space="preserve"> судск</w:t>
      </w:r>
      <w:r w:rsidR="00EF3B0B">
        <w:rPr>
          <w:lang w:val="mk-MK"/>
        </w:rPr>
        <w:t>и</w:t>
      </w:r>
      <w:r w:rsidR="00EF3B0B" w:rsidRPr="001E2C79">
        <w:rPr>
          <w:lang w:val="mk-MK"/>
        </w:rPr>
        <w:t xml:space="preserve"> </w:t>
      </w:r>
      <w:r w:rsidR="00EF3B0B">
        <w:rPr>
          <w:lang w:val="mk-MK"/>
        </w:rPr>
        <w:t>совет</w:t>
      </w:r>
      <w:r w:rsidR="00EF3B0B" w:rsidRPr="001E2C79">
        <w:rPr>
          <w:lang w:val="mk-MK"/>
        </w:rPr>
        <w:t xml:space="preserve"> на Европскиот суд во 2008 година едногласно утврди</w:t>
      </w:r>
      <w:r w:rsidR="00614D49">
        <w:rPr>
          <w:lang w:val="mk-MK"/>
        </w:rPr>
        <w:t>л</w:t>
      </w:r>
      <w:r w:rsidR="00EF3B0B" w:rsidRPr="001E2C79">
        <w:rPr>
          <w:lang w:val="mk-MK"/>
        </w:rPr>
        <w:t xml:space="preserve"> дека Турција го повредила </w:t>
      </w:r>
      <w:r w:rsidR="00C34610">
        <w:rPr>
          <w:lang w:val="mk-MK"/>
        </w:rPr>
        <w:t xml:space="preserve">правото од </w:t>
      </w:r>
      <w:r w:rsidR="00EF3B0B" w:rsidRPr="001E2C79">
        <w:rPr>
          <w:lang w:val="mk-MK"/>
        </w:rPr>
        <w:t xml:space="preserve">член 11, со образложение дека правото на синдикално здружување вклучува не само </w:t>
      </w:r>
      <w:r w:rsidR="00C34610">
        <w:rPr>
          <w:lang w:val="mk-MK"/>
        </w:rPr>
        <w:t>регистрирање на</w:t>
      </w:r>
      <w:r w:rsidR="00EF3B0B" w:rsidRPr="001E2C79">
        <w:rPr>
          <w:lang w:val="mk-MK"/>
        </w:rPr>
        <w:t xml:space="preserve"> синдикат, туку и водење колективни преговори и склучување колективни договори. Судот </w:t>
      </w:r>
      <w:r w:rsidR="00C34610">
        <w:rPr>
          <w:lang w:val="mk-MK"/>
        </w:rPr>
        <w:t>во пресудата го нагласува</w:t>
      </w:r>
      <w:r w:rsidR="00EF3B0B" w:rsidRPr="001E2C79">
        <w:rPr>
          <w:lang w:val="mk-MK"/>
        </w:rPr>
        <w:t xml:space="preserve"> еволутивниот карактер на Конвенцијата и се повик</w:t>
      </w:r>
      <w:r w:rsidR="008D1AB7">
        <w:rPr>
          <w:lang w:val="mk-MK"/>
        </w:rPr>
        <w:t>ува</w:t>
      </w:r>
      <w:r w:rsidR="00EF3B0B" w:rsidRPr="001E2C79">
        <w:rPr>
          <w:lang w:val="mk-MK"/>
        </w:rPr>
        <w:t xml:space="preserve"> на современите меѓународни стандарди, особено на Конвенцијата бр. 98 на Меѓународната организација на трудот и Европската социјална повелба. Со оваа пресуда Судот постави пресвртница во својата пракса, утврдувајќи дека државите имаат позитивна обврска да обезбедат ефективна заштита на колективните права на работниците, што претставува значаен чекор кон зајакнување на социјалната димензија на човековите права во Европа.</w:t>
      </w:r>
      <w:r w:rsidR="00EF3B0B">
        <w:rPr>
          <w:rStyle w:val="FootnoteReference"/>
          <w:lang w:val="mk-MK"/>
        </w:rPr>
        <w:footnoteReference w:id="454"/>
      </w:r>
      <w:r w:rsidR="00EF3B0B">
        <w:rPr>
          <w:lang w:val="mk-MK"/>
        </w:rPr>
        <w:t xml:space="preserve"> </w:t>
      </w:r>
      <w:r w:rsidR="00EF3B0B" w:rsidRPr="00836A92">
        <w:rPr>
          <w:lang w:val="mk-MK"/>
        </w:rPr>
        <w:t xml:space="preserve">Оваа пресуда, често цитирана заедно со </w:t>
      </w:r>
      <w:r w:rsidR="00EF3B0B" w:rsidRPr="006467BF">
        <w:rPr>
          <w:i/>
          <w:iCs/>
          <w:lang w:val="mk-MK"/>
        </w:rPr>
        <w:t>Wilson, National Union of Journalists and Others v. UK (2002)</w:t>
      </w:r>
      <w:r w:rsidR="00EF3B0B" w:rsidRPr="00836A92">
        <w:rPr>
          <w:lang w:val="mk-MK"/>
        </w:rPr>
        <w:t>,</w:t>
      </w:r>
      <w:r w:rsidR="00EF3B0B">
        <w:rPr>
          <w:rStyle w:val="FootnoteReference"/>
          <w:lang w:val="mk-MK"/>
        </w:rPr>
        <w:footnoteReference w:id="455"/>
      </w:r>
      <w:r w:rsidR="00EF3B0B" w:rsidRPr="00836A92">
        <w:rPr>
          <w:lang w:val="mk-MK"/>
        </w:rPr>
        <w:t xml:space="preserve"> созда</w:t>
      </w:r>
      <w:r w:rsidR="00213A98">
        <w:rPr>
          <w:lang w:val="mk-MK"/>
        </w:rPr>
        <w:t>ва</w:t>
      </w:r>
      <w:r w:rsidR="00EF3B0B" w:rsidRPr="00836A92">
        <w:rPr>
          <w:lang w:val="mk-MK"/>
        </w:rPr>
        <w:t xml:space="preserve"> трајна судска доктрина дека државите имаат позитивна обврска да овозможат ефективни механизми на работничко влијание, </w:t>
      </w:r>
      <w:r w:rsidR="00EF3B0B">
        <w:rPr>
          <w:lang w:val="mk-MK"/>
        </w:rPr>
        <w:t xml:space="preserve">а </w:t>
      </w:r>
      <w:r w:rsidR="00EF3B0B" w:rsidRPr="00836A92">
        <w:rPr>
          <w:lang w:val="mk-MK"/>
        </w:rPr>
        <w:t>не само формални</w:t>
      </w:r>
      <w:r w:rsidR="00EF3B0B">
        <w:rPr>
          <w:lang w:val="mk-MK"/>
        </w:rPr>
        <w:t xml:space="preserve"> законски решенија</w:t>
      </w:r>
      <w:r w:rsidR="00EF3B0B" w:rsidRPr="00836A92">
        <w:rPr>
          <w:lang w:val="mk-MK"/>
        </w:rPr>
        <w:t xml:space="preserve">. </w:t>
      </w:r>
    </w:p>
    <w:p w14:paraId="5620276B" w14:textId="07991CD3" w:rsidR="00EF3B0B" w:rsidRDefault="00EF3B0B" w:rsidP="00EF3B0B">
      <w:pPr>
        <w:pStyle w:val="BodyText"/>
        <w:spacing w:before="240"/>
        <w:ind w:firstLine="720"/>
        <w:jc w:val="both"/>
        <w:rPr>
          <w:lang w:val="mk-MK"/>
        </w:rPr>
      </w:pPr>
      <w:r w:rsidRPr="00836A92">
        <w:rPr>
          <w:lang w:val="mk-MK"/>
        </w:rPr>
        <w:t xml:space="preserve">Понатамошни случаи, како </w:t>
      </w:r>
      <w:r w:rsidRPr="00712449">
        <w:rPr>
          <w:i/>
          <w:iCs/>
          <w:lang w:val="mk-MK"/>
        </w:rPr>
        <w:t>Sindicatul “Păstorul cel Bun” v. Romania</w:t>
      </w:r>
      <w:r w:rsidRPr="00836A92">
        <w:rPr>
          <w:lang w:val="mk-MK"/>
        </w:rPr>
        <w:t xml:space="preserve"> (2013) и </w:t>
      </w:r>
      <w:r w:rsidRPr="001609E6">
        <w:rPr>
          <w:i/>
          <w:iCs/>
          <w:lang w:val="mk-MK"/>
        </w:rPr>
        <w:t>Enerji Yapı-Yol Sen v. Turkey</w:t>
      </w:r>
      <w:r w:rsidRPr="00836A92">
        <w:rPr>
          <w:lang w:val="mk-MK"/>
        </w:rPr>
        <w:t xml:space="preserve"> (2009), ја консолидираат оваа линија</w:t>
      </w:r>
      <w:r>
        <w:rPr>
          <w:lang w:val="mk-MK"/>
        </w:rPr>
        <w:t>,</w:t>
      </w:r>
      <w:r w:rsidRPr="00836A92">
        <w:rPr>
          <w:lang w:val="mk-MK"/>
        </w:rPr>
        <w:t xml:space="preserve"> прифа</w:t>
      </w:r>
      <w:r>
        <w:rPr>
          <w:lang w:val="mk-MK"/>
        </w:rPr>
        <w:t>ќ</w:t>
      </w:r>
      <w:r w:rsidRPr="00836A92">
        <w:rPr>
          <w:lang w:val="mk-MK"/>
        </w:rPr>
        <w:t>ај</w:t>
      </w:r>
      <w:r>
        <w:rPr>
          <w:lang w:val="mk-MK"/>
        </w:rPr>
        <w:t>ќ</w:t>
      </w:r>
      <w:r w:rsidRPr="00836A92">
        <w:rPr>
          <w:lang w:val="mk-MK"/>
        </w:rPr>
        <w:t xml:space="preserve">и дека учеството </w:t>
      </w:r>
      <w:r w:rsidRPr="00836A92">
        <w:rPr>
          <w:lang w:val="mk-MK"/>
        </w:rPr>
        <w:lastRenderedPageBreak/>
        <w:t>на работниците, иако не е експлицитно наведено во Конвенцијата, произлегува од нејзината демократска телос. Судот постепено создава јуриспруденција на социјална демократија, во која корпоративното управување се гледа како проширена сфера на човековите права, особено кога се работи за јавни или мешано-сопственички претпријатија. Во некои понови предмети, ЕСЧП направи уште посуптилна поврзаност</w:t>
      </w:r>
      <w:r>
        <w:rPr>
          <w:lang w:val="mk-MK"/>
        </w:rPr>
        <w:t>,</w:t>
      </w:r>
      <w:r w:rsidRPr="00836A92">
        <w:rPr>
          <w:lang w:val="mk-MK"/>
        </w:rPr>
        <w:t xml:space="preserve"> препознавајќи дека недостатокот на транспарентност или консултација во корпоративни одлуки</w:t>
      </w:r>
      <w:r>
        <w:rPr>
          <w:lang w:val="mk-MK"/>
        </w:rPr>
        <w:t>,</w:t>
      </w:r>
      <w:r>
        <w:rPr>
          <w:rStyle w:val="FootnoteReference"/>
          <w:lang w:val="mk-MK"/>
        </w:rPr>
        <w:footnoteReference w:id="456"/>
      </w:r>
      <w:r w:rsidRPr="00836A92">
        <w:rPr>
          <w:lang w:val="mk-MK"/>
        </w:rPr>
        <w:t xml:space="preserve"> може да претставува нарушување на процесните гаранции на член 6 или 8</w:t>
      </w:r>
      <w:r>
        <w:rPr>
          <w:lang w:val="mk-MK"/>
        </w:rPr>
        <w:t xml:space="preserve">. </w:t>
      </w:r>
      <w:r w:rsidRPr="00836A92">
        <w:rPr>
          <w:lang w:val="mk-MK"/>
        </w:rPr>
        <w:t>Така, корпоративното управување станува и прашање на прав</w:t>
      </w:r>
      <w:r>
        <w:rPr>
          <w:lang w:val="mk-MK"/>
        </w:rPr>
        <w:t xml:space="preserve">ен пристап </w:t>
      </w:r>
      <w:r w:rsidRPr="00836A92">
        <w:rPr>
          <w:lang w:val="mk-MK"/>
        </w:rPr>
        <w:t>и достап</w:t>
      </w:r>
      <w:r>
        <w:rPr>
          <w:lang w:val="mk-MK"/>
        </w:rPr>
        <w:t>ност</w:t>
      </w:r>
      <w:r w:rsidRPr="00836A92">
        <w:rPr>
          <w:lang w:val="mk-MK"/>
        </w:rPr>
        <w:t xml:space="preserve"> </w:t>
      </w:r>
      <w:r>
        <w:rPr>
          <w:lang w:val="mk-MK"/>
        </w:rPr>
        <w:t>на</w:t>
      </w:r>
      <w:r w:rsidRPr="00836A92">
        <w:rPr>
          <w:lang w:val="mk-MK"/>
        </w:rPr>
        <w:t xml:space="preserve"> правда, а не само на економска рационалност.</w:t>
      </w:r>
    </w:p>
    <w:p w14:paraId="1D729234" w14:textId="3D9B75FA" w:rsidR="003F2520" w:rsidRDefault="00314C77" w:rsidP="00927469">
      <w:pPr>
        <w:pStyle w:val="BodyText"/>
        <w:spacing w:before="240"/>
        <w:ind w:firstLine="720"/>
        <w:jc w:val="both"/>
        <w:rPr>
          <w:lang w:val="mk-MK"/>
        </w:rPr>
      </w:pPr>
      <w:r w:rsidRPr="00314C77">
        <w:rPr>
          <w:lang w:val="mk-MK"/>
        </w:rPr>
        <w:t xml:space="preserve">Случајот </w:t>
      </w:r>
      <w:r w:rsidRPr="00314C77">
        <w:rPr>
          <w:i/>
          <w:iCs/>
          <w:lang w:val="mk-MK"/>
        </w:rPr>
        <w:t>Sindicatul “Păstorul cel Bun”</w:t>
      </w:r>
      <w:r w:rsidRPr="00314C77">
        <w:rPr>
          <w:lang w:val="mk-MK"/>
        </w:rPr>
        <w:t xml:space="preserve"> </w:t>
      </w:r>
      <w:r w:rsidRPr="00C2773A">
        <w:rPr>
          <w:i/>
          <w:iCs/>
          <w:lang w:val="mk-MK"/>
        </w:rPr>
        <w:t>против Романија</w:t>
      </w:r>
      <w:r w:rsidRPr="00314C77">
        <w:rPr>
          <w:lang w:val="mk-MK"/>
        </w:rPr>
        <w:t xml:space="preserve"> (2013) се однесува на одбивање од страна на романските власти да регистрираат синдикат основан од православни свештеници.</w:t>
      </w:r>
      <w:r w:rsidR="00545661">
        <w:rPr>
          <w:rStyle w:val="FootnoteReference"/>
          <w:lang w:val="mk-MK"/>
        </w:rPr>
        <w:footnoteReference w:id="457"/>
      </w:r>
      <w:r w:rsidRPr="00314C77">
        <w:rPr>
          <w:lang w:val="mk-MK"/>
        </w:rPr>
        <w:t xml:space="preserve"> Националните судови оцени</w:t>
      </w:r>
      <w:r w:rsidR="00BF5915">
        <w:rPr>
          <w:lang w:val="mk-MK"/>
        </w:rPr>
        <w:t>ле</w:t>
      </w:r>
      <w:r w:rsidRPr="00314C77">
        <w:rPr>
          <w:lang w:val="mk-MK"/>
        </w:rPr>
        <w:t xml:space="preserve"> дека свештенството, како дел од хиерархиски организирана верска заедница, не може да формира синдикат без согласност на </w:t>
      </w:r>
      <w:r w:rsidR="004845E4">
        <w:rPr>
          <w:lang w:val="mk-MK"/>
        </w:rPr>
        <w:t>ц</w:t>
      </w:r>
      <w:r w:rsidRPr="00314C77">
        <w:rPr>
          <w:lang w:val="mk-MK"/>
        </w:rPr>
        <w:t xml:space="preserve">рквата бидејќи тоа би ја нарушило нејзината автономија и внатрешна дисциплина. Одбивањето </w:t>
      </w:r>
      <w:r w:rsidR="00B32AF9">
        <w:rPr>
          <w:lang w:val="mk-MK"/>
        </w:rPr>
        <w:t>било аргументирано со фактот</w:t>
      </w:r>
      <w:r w:rsidRPr="00314C77">
        <w:rPr>
          <w:lang w:val="mk-MK"/>
        </w:rPr>
        <w:t xml:space="preserve"> дека верските институции имаат посебен статус и дека државата не смее да се меша во нивната организациска структура. Европскиот суд за човекови права, во голем</w:t>
      </w:r>
      <w:r w:rsidR="00B32AF9">
        <w:rPr>
          <w:lang w:val="mk-MK"/>
        </w:rPr>
        <w:t xml:space="preserve"> состав</w:t>
      </w:r>
      <w:r w:rsidRPr="00314C77">
        <w:rPr>
          <w:lang w:val="mk-MK"/>
        </w:rPr>
        <w:t xml:space="preserve">, пресуди дека нема повреда на членот 11 од Конвенцијата. Судот </w:t>
      </w:r>
      <w:r w:rsidR="00DF171E">
        <w:rPr>
          <w:lang w:val="mk-MK"/>
        </w:rPr>
        <w:t>потенцирал</w:t>
      </w:r>
      <w:r w:rsidRPr="00314C77">
        <w:rPr>
          <w:lang w:val="mk-MK"/>
        </w:rPr>
        <w:t xml:space="preserve"> дека слободата на здружување важи и за свештенството, но истакна</w:t>
      </w:r>
      <w:r w:rsidR="00DF171E">
        <w:rPr>
          <w:lang w:val="mk-MK"/>
        </w:rPr>
        <w:t>л</w:t>
      </w:r>
      <w:r w:rsidRPr="00314C77">
        <w:rPr>
          <w:lang w:val="mk-MK"/>
        </w:rPr>
        <w:t xml:space="preserve"> дека во конкретниот контекст правото на верските заедници на автономија е суштински елемент на слободата на религија. Затоа, државата може да одбие регистрација на синдикат кога неговото постоење би ја нарушило канонската структура или би создало внатрешен конфликт што ја поткопува самоуправата на верската заедница.</w:t>
      </w:r>
      <w:r w:rsidR="00D24FAF">
        <w:rPr>
          <w:rStyle w:val="FootnoteReference"/>
          <w:lang w:val="mk-MK"/>
        </w:rPr>
        <w:footnoteReference w:id="458"/>
      </w:r>
      <w:r w:rsidRPr="00314C77">
        <w:rPr>
          <w:lang w:val="mk-MK"/>
        </w:rPr>
        <w:t xml:space="preserve"> Пресудата е значајна затоа што ја балансира слободата на здружување со институционалната автономија на религиозните организации, нудејќи важен пример за тоа како членот 11 се толкува во контексти на сложена организациска хиерархија.</w:t>
      </w:r>
    </w:p>
    <w:p w14:paraId="2C71E040" w14:textId="794107BA" w:rsidR="00927469" w:rsidRPr="00215BB7" w:rsidRDefault="00C2773A" w:rsidP="00927469">
      <w:pPr>
        <w:pStyle w:val="BodyText"/>
        <w:spacing w:before="240"/>
        <w:ind w:firstLine="720"/>
        <w:jc w:val="both"/>
        <w:rPr>
          <w:lang w:val="mk-MK"/>
        </w:rPr>
      </w:pPr>
      <w:r>
        <w:rPr>
          <w:lang w:val="mk-MK"/>
        </w:rPr>
        <w:t>С</w:t>
      </w:r>
      <w:r w:rsidRPr="00C2773A">
        <w:rPr>
          <w:lang w:val="mk-MK"/>
        </w:rPr>
        <w:t xml:space="preserve">лучајот </w:t>
      </w:r>
      <w:r w:rsidRPr="00C2773A">
        <w:rPr>
          <w:i/>
          <w:iCs/>
          <w:lang w:val="mk-MK"/>
        </w:rPr>
        <w:t>Enerji Yapı Yol Sen против Турција</w:t>
      </w:r>
      <w:r w:rsidRPr="00C2773A">
        <w:rPr>
          <w:lang w:val="mk-MK"/>
        </w:rPr>
        <w:t xml:space="preserve"> (2009) се однесува на забрана на штрајк за јавните службеници</w:t>
      </w:r>
      <w:r w:rsidR="00F77397">
        <w:rPr>
          <w:lang w:val="en-US"/>
        </w:rPr>
        <w:t xml:space="preserve"> </w:t>
      </w:r>
      <w:r w:rsidR="00F77397">
        <w:rPr>
          <w:lang w:val="mk-MK"/>
        </w:rPr>
        <w:t>кои биле</w:t>
      </w:r>
      <w:r w:rsidRPr="00C2773A">
        <w:rPr>
          <w:lang w:val="mk-MK"/>
        </w:rPr>
        <w:t xml:space="preserve"> членови на синдикатот Enerji Yapı Yol Sen.</w:t>
      </w:r>
      <w:r w:rsidR="00F77397">
        <w:rPr>
          <w:rStyle w:val="FootnoteReference"/>
          <w:lang w:val="mk-MK"/>
        </w:rPr>
        <w:footnoteReference w:id="459"/>
      </w:r>
      <w:r w:rsidRPr="00C2773A">
        <w:rPr>
          <w:lang w:val="mk-MK"/>
        </w:rPr>
        <w:t xml:space="preserve"> Во 1998 година</w:t>
      </w:r>
      <w:r w:rsidR="00F77397">
        <w:rPr>
          <w:lang w:val="mk-MK"/>
        </w:rPr>
        <w:t>,</w:t>
      </w:r>
      <w:r w:rsidRPr="00C2773A">
        <w:rPr>
          <w:lang w:val="mk-MK"/>
        </w:rPr>
        <w:t xml:space="preserve"> </w:t>
      </w:r>
      <w:r w:rsidR="00113B02">
        <w:rPr>
          <w:lang w:val="mk-MK"/>
        </w:rPr>
        <w:t>конкретниот синдикат организирал</w:t>
      </w:r>
      <w:r w:rsidRPr="00C2773A">
        <w:rPr>
          <w:lang w:val="mk-MK"/>
        </w:rPr>
        <w:t xml:space="preserve"> еднодневен предупредувачки штрајк како форма на протест за подобри работни услови. Турските власти го прогласи</w:t>
      </w:r>
      <w:r w:rsidR="00E8030C">
        <w:rPr>
          <w:lang w:val="mk-MK"/>
        </w:rPr>
        <w:t>ле</w:t>
      </w:r>
      <w:r w:rsidRPr="00C2773A">
        <w:rPr>
          <w:lang w:val="mk-MK"/>
        </w:rPr>
        <w:t xml:space="preserve"> штрајкот за незаконски, а учесниците б</w:t>
      </w:r>
      <w:r w:rsidR="00E8030C">
        <w:rPr>
          <w:lang w:val="mk-MK"/>
        </w:rPr>
        <w:t>иле</w:t>
      </w:r>
      <w:r w:rsidRPr="00C2773A">
        <w:rPr>
          <w:lang w:val="mk-MK"/>
        </w:rPr>
        <w:t xml:space="preserve"> дисциплински санкционирани. Националните судови смета</w:t>
      </w:r>
      <w:r w:rsidR="00E8030C">
        <w:rPr>
          <w:lang w:val="mk-MK"/>
        </w:rPr>
        <w:t>ле</w:t>
      </w:r>
      <w:r w:rsidRPr="00C2773A">
        <w:rPr>
          <w:lang w:val="mk-MK"/>
        </w:rPr>
        <w:t xml:space="preserve"> дека јавните службеници немаат право на штрајк и дека таквиот протест претставува неприфатливо нарушување на јавниот интерес. Европскиот суд за човекови права утврди</w:t>
      </w:r>
      <w:r w:rsidR="00E8030C">
        <w:rPr>
          <w:lang w:val="mk-MK"/>
        </w:rPr>
        <w:t>л</w:t>
      </w:r>
      <w:r w:rsidRPr="00C2773A">
        <w:rPr>
          <w:lang w:val="mk-MK"/>
        </w:rPr>
        <w:t xml:space="preserve"> повреда на членот 11 од Конвенцијата. Судот јасно нагласи</w:t>
      </w:r>
      <w:r w:rsidR="00E8030C">
        <w:rPr>
          <w:lang w:val="mk-MK"/>
        </w:rPr>
        <w:t>л</w:t>
      </w:r>
      <w:r w:rsidRPr="00C2773A">
        <w:rPr>
          <w:lang w:val="mk-MK"/>
        </w:rPr>
        <w:t xml:space="preserve"> дека правото на синдикално здружување не е апстрактно и мора да ги вклучува основните елементи на синдикалната акција, меѓу кои и правото на протест и колективен израз на интересите.</w:t>
      </w:r>
      <w:r w:rsidR="00DA2D76">
        <w:rPr>
          <w:rStyle w:val="FootnoteReference"/>
          <w:lang w:val="mk-MK"/>
        </w:rPr>
        <w:footnoteReference w:id="460"/>
      </w:r>
      <w:r w:rsidRPr="00C2773A">
        <w:rPr>
          <w:lang w:val="mk-MK"/>
        </w:rPr>
        <w:t xml:space="preserve"> Иако државата може да наметне ограничувања за одредени категории јавни службеници, тие мора да бидат пропорционални и строго неопходни. Во овој случај, апсолутната забрана и санкциите б</w:t>
      </w:r>
      <w:r w:rsidR="00D428E5">
        <w:rPr>
          <w:lang w:val="mk-MK"/>
        </w:rPr>
        <w:t>иле</w:t>
      </w:r>
      <w:r w:rsidRPr="00C2773A">
        <w:rPr>
          <w:lang w:val="mk-MK"/>
        </w:rPr>
        <w:t xml:space="preserve"> непропорционални. Пресудата е значајна затоа што го утврд</w:t>
      </w:r>
      <w:r w:rsidR="005434FA">
        <w:rPr>
          <w:lang w:val="mk-MK"/>
        </w:rPr>
        <w:t>ува</w:t>
      </w:r>
      <w:r w:rsidRPr="00C2773A">
        <w:rPr>
          <w:lang w:val="mk-MK"/>
        </w:rPr>
        <w:t xml:space="preserve"> правото на јавните службеници на колективна акција како суштински дел од слободата на здружување, проширувајќи ја европската доктрина за синдикалните права и нивната функционална содржина.</w:t>
      </w:r>
    </w:p>
    <w:p w14:paraId="64E04264" w14:textId="49335278" w:rsidR="00EF3B0B" w:rsidRDefault="00EF3B0B" w:rsidP="00EF3B0B">
      <w:pPr>
        <w:pStyle w:val="BodyText"/>
        <w:spacing w:before="240"/>
        <w:ind w:firstLine="720"/>
        <w:jc w:val="both"/>
        <w:rPr>
          <w:lang w:val="mk-MK"/>
        </w:rPr>
      </w:pPr>
      <w:r w:rsidRPr="00932233">
        <w:rPr>
          <w:lang w:val="mk-MK"/>
        </w:rPr>
        <w:lastRenderedPageBreak/>
        <w:t xml:space="preserve">Во контекст на Македонија, инструментите на Советот на Европа имаат особено значење поради двојната правна и политичка обврзаност: државата е </w:t>
      </w:r>
      <w:r>
        <w:rPr>
          <w:lang w:val="mk-MK"/>
        </w:rPr>
        <w:t>потписничка</w:t>
      </w:r>
      <w:r w:rsidRPr="00932233">
        <w:rPr>
          <w:lang w:val="mk-MK"/>
        </w:rPr>
        <w:t xml:space="preserve"> и на Европската конвенција и на Ревидирана</w:t>
      </w:r>
      <w:r w:rsidR="005434FA">
        <w:rPr>
          <w:lang w:val="mk-MK"/>
        </w:rPr>
        <w:t>та</w:t>
      </w:r>
      <w:r w:rsidRPr="00932233">
        <w:rPr>
          <w:lang w:val="mk-MK"/>
        </w:rPr>
        <w:t xml:space="preserve"> социјална повелба, а при тоа се стреми кон усогласување со ЕУ</w:t>
      </w:r>
      <w:r w:rsidR="000477D5">
        <w:rPr>
          <w:lang w:val="mk-MK"/>
        </w:rPr>
        <w:t xml:space="preserve"> </w:t>
      </w:r>
      <w:r w:rsidRPr="00932233">
        <w:rPr>
          <w:lang w:val="mk-MK"/>
        </w:rPr>
        <w:t xml:space="preserve">стандардите. </w:t>
      </w:r>
      <w:r>
        <w:rPr>
          <w:lang w:val="mk-MK"/>
        </w:rPr>
        <w:t>Сепак</w:t>
      </w:r>
      <w:r w:rsidRPr="00932233">
        <w:rPr>
          <w:lang w:val="mk-MK"/>
        </w:rPr>
        <w:t>, иако формалните механизми за информирање и консултација се вградени во Законот за работни</w:t>
      </w:r>
      <w:r>
        <w:rPr>
          <w:lang w:val="mk-MK"/>
        </w:rPr>
        <w:t>те</w:t>
      </w:r>
      <w:r w:rsidRPr="00932233">
        <w:rPr>
          <w:lang w:val="mk-MK"/>
        </w:rPr>
        <w:t xml:space="preserve"> односи и Кодексот за корпоративно управување, нивната функционална примена останува ограничена. Недостигот на развиена практика на социјален дијалог и слабата култура на корпоративна транспарентност </w:t>
      </w:r>
      <w:r>
        <w:rPr>
          <w:lang w:val="mk-MK"/>
        </w:rPr>
        <w:t xml:space="preserve">повторно </w:t>
      </w:r>
      <w:r w:rsidRPr="00932233">
        <w:rPr>
          <w:lang w:val="mk-MK"/>
        </w:rPr>
        <w:t xml:space="preserve">создаваат структурен јаз </w:t>
      </w:r>
      <w:r>
        <w:rPr>
          <w:lang w:val="mk-MK"/>
        </w:rPr>
        <w:t>по</w:t>
      </w:r>
      <w:r w:rsidRPr="00932233">
        <w:rPr>
          <w:lang w:val="mk-MK"/>
        </w:rPr>
        <w:t>меѓу норм</w:t>
      </w:r>
      <w:r>
        <w:rPr>
          <w:lang w:val="mk-MK"/>
        </w:rPr>
        <w:t>ираноста</w:t>
      </w:r>
      <w:r w:rsidRPr="00932233">
        <w:rPr>
          <w:lang w:val="mk-MK"/>
        </w:rPr>
        <w:t xml:space="preserve"> и реалноста</w:t>
      </w:r>
      <w:r>
        <w:rPr>
          <w:lang w:val="mk-MK"/>
        </w:rPr>
        <w:t>,</w:t>
      </w:r>
      <w:r w:rsidRPr="00932233">
        <w:rPr>
          <w:lang w:val="mk-MK"/>
        </w:rPr>
        <w:t xml:space="preserve"> токму таму каде што Европската социјална повелба и праксата на ЕСЧП можат да понудат концептуална рамка за реформа. Во тој поглед, Советот на Европа претставува не само меѓународен гарант на човековите права, туку и нормативен посредник за трансфер на вредности на демократија во националниот корпоративен систем</w:t>
      </w:r>
    </w:p>
    <w:p w14:paraId="0A0AB3B1" w14:textId="52F50EF8" w:rsidR="00D4788E" w:rsidRDefault="00D107AB" w:rsidP="00EF3B0B">
      <w:pPr>
        <w:pStyle w:val="BodyText"/>
        <w:spacing w:before="240"/>
        <w:ind w:firstLine="720"/>
        <w:jc w:val="both"/>
        <w:rPr>
          <w:lang w:val="en-US"/>
        </w:rPr>
      </w:pPr>
      <w:r>
        <w:rPr>
          <w:lang w:val="mk-MK"/>
        </w:rPr>
        <w:t>В</w:t>
      </w:r>
      <w:r w:rsidR="00D4788E" w:rsidRPr="00D4788E">
        <w:rPr>
          <w:lang w:val="mk-MK"/>
        </w:rPr>
        <w:t xml:space="preserve">о други пресуди, Судот ја истакнува потребата да се балансира синдикалната слобода со други легитимни интереси или институционални автономии. Во такви ситуации Судот не промовира механичка примена на </w:t>
      </w:r>
      <w:r>
        <w:rPr>
          <w:lang w:val="mk-MK"/>
        </w:rPr>
        <w:t>било кој член</w:t>
      </w:r>
      <w:r w:rsidR="00D4788E" w:rsidRPr="00D4788E">
        <w:rPr>
          <w:lang w:val="mk-MK"/>
        </w:rPr>
        <w:t xml:space="preserve">, туку врши внимателна процена на контекстот, целите и размерите на ограничувањето. Сличен принцип се забележува и во предметите што не се директно поврзани со трудовото право, како </w:t>
      </w:r>
      <w:r w:rsidR="00D4788E" w:rsidRPr="002772F0">
        <w:rPr>
          <w:i/>
          <w:iCs/>
          <w:lang w:val="mk-MK"/>
        </w:rPr>
        <w:t>Association of Citizens Radko and Paunkovski против Македонија</w:t>
      </w:r>
      <w:r w:rsidR="00D4788E" w:rsidRPr="00D4788E">
        <w:rPr>
          <w:lang w:val="mk-MK"/>
        </w:rPr>
        <w:t>, каде Судот нагласува дека државата има обврска да создаде позитивна средина за здружување преку укинување на административни и структурни пречки.</w:t>
      </w:r>
      <w:r w:rsidR="00C81550">
        <w:rPr>
          <w:rStyle w:val="FootnoteReference"/>
          <w:lang w:val="mk-MK"/>
        </w:rPr>
        <w:footnoteReference w:id="461"/>
      </w:r>
      <w:r w:rsidR="00D4788E" w:rsidRPr="00D4788E">
        <w:rPr>
          <w:lang w:val="mk-MK"/>
        </w:rPr>
        <w:t xml:space="preserve"> Иако случајот не се однесува на корпоративни односи, логиката на позитивната обврска директно се применува во контекст на синдикалното организирање во компаниите.</w:t>
      </w:r>
    </w:p>
    <w:p w14:paraId="2897F8AC" w14:textId="01948870" w:rsidR="007E652D" w:rsidRPr="007E652D" w:rsidRDefault="007E652D" w:rsidP="00EF3B0B">
      <w:pPr>
        <w:pStyle w:val="BodyText"/>
        <w:spacing w:before="240"/>
        <w:ind w:firstLine="720"/>
        <w:jc w:val="both"/>
        <w:rPr>
          <w:lang w:val="mk-MK"/>
        </w:rPr>
      </w:pPr>
      <w:r w:rsidRPr="007E652D">
        <w:rPr>
          <w:lang w:val="mk-MK"/>
        </w:rPr>
        <w:t xml:space="preserve">Јуриспруденцијата на Судот не е ограничена само на член 11, туку вклучува и интердисциплинарни поврзувања со член 6, член 10 и член 1 од Протокол 1. Пресудите во кои се анализираат процесните гаранции за време на корпоративни реструктурирања, приватизации или ликвидации покажуваат дека Судот ги признава материјалните ефекти што корпоративните одлуки можат да ги имаат врз правата на работниците и акционерите. Неефикасен пристап до суд, недостиг на транспарентност или зависност на националните органи од корпоративните интереси може да доведе до повреда на правото на </w:t>
      </w:r>
      <w:r w:rsidR="002A7BD6">
        <w:rPr>
          <w:lang w:val="mk-MK"/>
        </w:rPr>
        <w:t>правично судење</w:t>
      </w:r>
      <w:r w:rsidRPr="007E652D">
        <w:rPr>
          <w:lang w:val="mk-MK"/>
        </w:rPr>
        <w:t xml:space="preserve"> или на правото на мирно уживање на сопственоста. Така, Судот индиректно поставува стандарди за корпоративно управување, иако формално не се занимава со дизајнот на корпоративните структури.</w:t>
      </w:r>
    </w:p>
    <w:p w14:paraId="6FC107B1" w14:textId="77777777" w:rsidR="00CC5F97" w:rsidRDefault="00801B25" w:rsidP="0036527B">
      <w:pPr>
        <w:pStyle w:val="BodyText"/>
        <w:spacing w:before="240"/>
        <w:ind w:firstLine="720"/>
        <w:jc w:val="both"/>
        <w:rPr>
          <w:lang w:val="mk-MK"/>
        </w:rPr>
      </w:pPr>
      <w:r>
        <w:rPr>
          <w:lang w:val="mk-MK"/>
        </w:rPr>
        <w:t>Понатаму, п</w:t>
      </w:r>
      <w:r w:rsidR="00060D79" w:rsidRPr="00060D79">
        <w:rPr>
          <w:lang w:val="mk-MK"/>
        </w:rPr>
        <w:t xml:space="preserve">ресудите во случаите </w:t>
      </w:r>
      <w:r w:rsidR="00060D79" w:rsidRPr="000477D5">
        <w:rPr>
          <w:i/>
          <w:iCs/>
          <w:lang w:val="mk-MK"/>
        </w:rPr>
        <w:t>Demir and Baykara</w:t>
      </w:r>
      <w:r w:rsidR="00060D79" w:rsidRPr="00060D79">
        <w:rPr>
          <w:lang w:val="mk-MK"/>
        </w:rPr>
        <w:t xml:space="preserve">, </w:t>
      </w:r>
      <w:r w:rsidR="00060D79" w:rsidRPr="000477D5">
        <w:rPr>
          <w:i/>
          <w:iCs/>
          <w:lang w:val="mk-MK"/>
        </w:rPr>
        <w:t>Wilson and Others</w:t>
      </w:r>
      <w:r w:rsidR="00060D79" w:rsidRPr="00060D79">
        <w:rPr>
          <w:lang w:val="mk-MK"/>
        </w:rPr>
        <w:t xml:space="preserve">, </w:t>
      </w:r>
      <w:r w:rsidR="00060D79" w:rsidRPr="000477D5">
        <w:rPr>
          <w:i/>
          <w:iCs/>
          <w:lang w:val="mk-MK"/>
        </w:rPr>
        <w:t>Enerji Yapı Yol Sen</w:t>
      </w:r>
      <w:r w:rsidR="00060D79" w:rsidRPr="00060D79">
        <w:rPr>
          <w:lang w:val="mk-MK"/>
        </w:rPr>
        <w:t xml:space="preserve"> и </w:t>
      </w:r>
      <w:r w:rsidR="00060D79" w:rsidRPr="000477D5">
        <w:rPr>
          <w:i/>
          <w:iCs/>
          <w:lang w:val="mk-MK"/>
        </w:rPr>
        <w:t>Sindicatul Păstorul Cel Bun</w:t>
      </w:r>
      <w:r w:rsidR="00060D79" w:rsidRPr="00060D79">
        <w:rPr>
          <w:lang w:val="mk-MK"/>
        </w:rPr>
        <w:t xml:space="preserve"> покажуваат дека корпоративните односи не се исклучени од европската уставност. Напротив, тие се подложни на истите демократски и правни принципи што ја обликуваат јавната власт, создавајќи правна инфраструктура во која корпоративното управување станува дел од пошироката архитектура на човековите права и социјалната правда.</w:t>
      </w:r>
      <w:r w:rsidR="00CC5F97">
        <w:rPr>
          <w:lang w:val="mk-MK"/>
        </w:rPr>
        <w:t xml:space="preserve"> </w:t>
      </w:r>
      <w:r w:rsidR="00CC5F97" w:rsidRPr="00CC5F97">
        <w:rPr>
          <w:lang w:val="mk-MK"/>
        </w:rPr>
        <w:t xml:space="preserve">Во оваа обемна практика може да се препознаат неколку појавни трендови. </w:t>
      </w:r>
    </w:p>
    <w:p w14:paraId="20D48DF2" w14:textId="001D71E0" w:rsidR="001454BD" w:rsidRDefault="00CC5F97" w:rsidP="0036527B">
      <w:pPr>
        <w:pStyle w:val="BodyText"/>
        <w:spacing w:before="240"/>
        <w:ind w:firstLine="720"/>
        <w:jc w:val="both"/>
        <w:rPr>
          <w:lang w:val="mk-MK"/>
        </w:rPr>
      </w:pPr>
      <w:r w:rsidRPr="00CC5F97">
        <w:rPr>
          <w:lang w:val="mk-MK"/>
        </w:rPr>
        <w:t>Прво, Судот континуирано ја проширува содржината на позитивните обврски на државата, што значи дека државата мора да обезбеди правна, институционална и судска инфраструктура што навистина овозможува колективно дејствување. Второ, се развива принципот на материјална</w:t>
      </w:r>
      <w:r>
        <w:rPr>
          <w:lang w:val="mk-MK"/>
        </w:rPr>
        <w:t xml:space="preserve"> и</w:t>
      </w:r>
      <w:r w:rsidRPr="00CC5F97">
        <w:rPr>
          <w:lang w:val="mk-MK"/>
        </w:rPr>
        <w:t xml:space="preserve"> формална заштита</w:t>
      </w:r>
      <w:r>
        <w:rPr>
          <w:lang w:val="mk-MK"/>
        </w:rPr>
        <w:t xml:space="preserve"> што значи дека</w:t>
      </w:r>
      <w:r w:rsidRPr="00CC5F97">
        <w:rPr>
          <w:lang w:val="mk-MK"/>
        </w:rPr>
        <w:t xml:space="preserve"> ако синдикатите постојат </w:t>
      </w:r>
      <w:r w:rsidRPr="00CC5F97">
        <w:rPr>
          <w:lang w:val="mk-MK"/>
        </w:rPr>
        <w:lastRenderedPageBreak/>
        <w:t xml:space="preserve">само „на </w:t>
      </w:r>
      <w:r>
        <w:rPr>
          <w:lang w:val="mk-MK"/>
        </w:rPr>
        <w:t>хартија</w:t>
      </w:r>
      <w:r w:rsidRPr="00CC5F97">
        <w:rPr>
          <w:lang w:val="mk-MK"/>
        </w:rPr>
        <w:t xml:space="preserve">“, </w:t>
      </w:r>
      <w:r>
        <w:rPr>
          <w:lang w:val="mk-MK"/>
        </w:rPr>
        <w:t>а притоа</w:t>
      </w:r>
      <w:r w:rsidRPr="00CC5F97">
        <w:rPr>
          <w:lang w:val="mk-MK"/>
        </w:rPr>
        <w:t xml:space="preserve"> се лишени од реална можност да делуваат, правото се смета за прекршено. Трето, Судот ја афирмира релевантноста на меѓународните стандарди, особено оние на МОТ, како непроценлив ориентир за содржината на член 11.</w:t>
      </w:r>
      <w:r w:rsidR="00090F90">
        <w:rPr>
          <w:rStyle w:val="FootnoteReference"/>
          <w:lang w:val="mk-MK"/>
        </w:rPr>
        <w:footnoteReference w:id="462"/>
      </w:r>
      <w:r w:rsidRPr="00CC5F97">
        <w:rPr>
          <w:lang w:val="mk-MK"/>
        </w:rPr>
        <w:t xml:space="preserve"> Четврто, Судот </w:t>
      </w:r>
      <w:r w:rsidR="002B2809">
        <w:rPr>
          <w:lang w:val="mk-MK"/>
        </w:rPr>
        <w:t>ги наодополнува другите стандарди во однос на тоа</w:t>
      </w:r>
      <w:r w:rsidRPr="00CC5F97">
        <w:rPr>
          <w:lang w:val="mk-MK"/>
        </w:rPr>
        <w:t xml:space="preserve"> дека синдикалната слобода мора да се балансира со други демократски вредности и институционални автономии, но</w:t>
      </w:r>
      <w:r w:rsidR="002B2809">
        <w:rPr>
          <w:lang w:val="mk-MK"/>
        </w:rPr>
        <w:t xml:space="preserve"> исто така потенцира дека</w:t>
      </w:r>
      <w:r w:rsidRPr="00CC5F97">
        <w:rPr>
          <w:lang w:val="mk-MK"/>
        </w:rPr>
        <w:t xml:space="preserve"> такви</w:t>
      </w:r>
      <w:r w:rsidR="002B2809">
        <w:rPr>
          <w:lang w:val="mk-MK"/>
        </w:rPr>
        <w:t>те</w:t>
      </w:r>
      <w:r w:rsidRPr="00CC5F97">
        <w:rPr>
          <w:lang w:val="mk-MK"/>
        </w:rPr>
        <w:t xml:space="preserve"> ограничувања не смеат да ја поништат суштината на правото.</w:t>
      </w:r>
    </w:p>
    <w:p w14:paraId="7C3FE29F" w14:textId="3D4EFE5A" w:rsidR="002B2809" w:rsidRDefault="005E3246" w:rsidP="0036527B">
      <w:pPr>
        <w:pStyle w:val="BodyText"/>
        <w:spacing w:before="240"/>
        <w:ind w:firstLine="720"/>
        <w:jc w:val="both"/>
        <w:rPr>
          <w:lang w:val="mk-MK"/>
        </w:rPr>
      </w:pPr>
      <w:r w:rsidRPr="005E3246">
        <w:rPr>
          <w:lang w:val="mk-MK"/>
        </w:rPr>
        <w:t xml:space="preserve">Сепак, и покрај напредниот карактер на оваа јуриспруденција, Судот </w:t>
      </w:r>
      <w:r w:rsidR="00CA1C87">
        <w:rPr>
          <w:lang w:val="mk-MK"/>
        </w:rPr>
        <w:t xml:space="preserve">се соочува со </w:t>
      </w:r>
      <w:r w:rsidRPr="005E3246">
        <w:rPr>
          <w:lang w:val="mk-MK"/>
        </w:rPr>
        <w:t xml:space="preserve">значајни ограничувања. </w:t>
      </w:r>
      <w:r w:rsidR="00F0134A">
        <w:rPr>
          <w:lang w:val="mk-MK"/>
        </w:rPr>
        <w:t>ЕСЧП</w:t>
      </w:r>
      <w:r w:rsidRPr="005E3246">
        <w:rPr>
          <w:lang w:val="mk-MK"/>
        </w:rPr>
        <w:t xml:space="preserve"> ретко пропишува конкретни институционални модели и не налага директни механизми за работничко учество, како што е кодетерминацијата. Наместо тоа, маргината на </w:t>
      </w:r>
      <w:r w:rsidR="00F0134A">
        <w:rPr>
          <w:lang w:val="mk-MK"/>
        </w:rPr>
        <w:t>проценка</w:t>
      </w:r>
      <w:r w:rsidRPr="005E3246">
        <w:rPr>
          <w:lang w:val="mk-MK"/>
        </w:rPr>
        <w:t xml:space="preserve"> на државите</w:t>
      </w:r>
      <w:r w:rsidR="00F0134A">
        <w:rPr>
          <w:lang w:val="mk-MK"/>
        </w:rPr>
        <w:t xml:space="preserve"> ја држи прилично широко</w:t>
      </w:r>
      <w:r w:rsidRPr="005E3246">
        <w:rPr>
          <w:lang w:val="mk-MK"/>
        </w:rPr>
        <w:t xml:space="preserve"> се додека суштината на синдикалните и процесните права е заштитена. Судот исто така избегнува да навлегува во микроекономски прашања, освен кога тие имаат непосредно влијание врз уживањето на човековите права. На тој начин, јуриспруденцијата на ЕСЧП делува како регулаторен компас, но не и како технички прирачник за корпоративен дизајн.</w:t>
      </w:r>
    </w:p>
    <w:p w14:paraId="489F4DB3" w14:textId="3DB2B262" w:rsidR="00A436D9" w:rsidRDefault="00862644" w:rsidP="0036527B">
      <w:pPr>
        <w:pStyle w:val="BodyText"/>
        <w:spacing w:before="240"/>
        <w:ind w:firstLine="720"/>
        <w:jc w:val="both"/>
        <w:rPr>
          <w:lang w:val="mk-MK"/>
        </w:rPr>
      </w:pPr>
      <w:r>
        <w:rPr>
          <w:lang w:val="mk-MK"/>
        </w:rPr>
        <w:t>Ова носи</w:t>
      </w:r>
      <w:r w:rsidR="00A436D9">
        <w:rPr>
          <w:lang w:val="mk-MK"/>
        </w:rPr>
        <w:t xml:space="preserve"> </w:t>
      </w:r>
      <w:r w:rsidRPr="00A436D9">
        <w:rPr>
          <w:lang w:val="mk-MK"/>
        </w:rPr>
        <w:t>многубројни и длабоки</w:t>
      </w:r>
      <w:r>
        <w:rPr>
          <w:lang w:val="mk-MK"/>
        </w:rPr>
        <w:t xml:space="preserve"> </w:t>
      </w:r>
      <w:r w:rsidR="00A436D9">
        <w:rPr>
          <w:lang w:val="mk-MK"/>
        </w:rPr>
        <w:t>п</w:t>
      </w:r>
      <w:r w:rsidR="00A436D9" w:rsidRPr="00A436D9">
        <w:rPr>
          <w:lang w:val="mk-MK"/>
        </w:rPr>
        <w:t xml:space="preserve">рактични импликации за корпоративното управување. Судот очекува државите да спречат </w:t>
      </w:r>
      <w:r w:rsidR="00C32A4E">
        <w:rPr>
          <w:lang w:val="mk-MK"/>
        </w:rPr>
        <w:t>анти-синдикални</w:t>
      </w:r>
      <w:r w:rsidR="00A436D9" w:rsidRPr="00A436D9">
        <w:rPr>
          <w:lang w:val="mk-MK"/>
        </w:rPr>
        <w:t xml:space="preserve"> практики и да воведат санкции за работодав</w:t>
      </w:r>
      <w:r w:rsidR="00C32A4E">
        <w:rPr>
          <w:lang w:val="mk-MK"/>
        </w:rPr>
        <w:t>ачи</w:t>
      </w:r>
      <w:r w:rsidR="00A436D9" w:rsidRPr="00A436D9">
        <w:rPr>
          <w:lang w:val="mk-MK"/>
        </w:rPr>
        <w:t xml:space="preserve"> кои ги злоупотребуваат своите преговарачки позиции. Тој бара навремени и суштински механизми за информирање и консултација</w:t>
      </w:r>
      <w:r w:rsidR="009D18F6">
        <w:rPr>
          <w:lang w:val="mk-MK"/>
        </w:rPr>
        <w:t xml:space="preserve"> наместо </w:t>
      </w:r>
      <w:r w:rsidR="00A436D9" w:rsidRPr="00A436D9">
        <w:rPr>
          <w:lang w:val="mk-MK"/>
        </w:rPr>
        <w:t xml:space="preserve">празни процедури кои служат само за формално исполнување на законските обврски. </w:t>
      </w:r>
      <w:r w:rsidR="009D18F6">
        <w:rPr>
          <w:lang w:val="mk-MK"/>
        </w:rPr>
        <w:t>Така, п</w:t>
      </w:r>
      <w:r w:rsidR="00A436D9" w:rsidRPr="00A436D9">
        <w:rPr>
          <w:lang w:val="mk-MK"/>
        </w:rPr>
        <w:t>роцесните гаранции во контекст на корпоративни реструктурирања стануваат суштински, особено во економии каде приватизациите и ликвидациите се вршат под политички или бизнис-притисоци. За да функционираат овие стандарди, надзорот мора да биде институционално силен: инспекциските тела, судовите и независните агенции мора да имаат капацитет и автономија за да се спротивстават на системски прекршувања. Во меѓународна перспектива, Судот очекува државите да ги усогласат своите политики со МОТ-конвенциите, што создава јасен параметар за реформи, особено во земјите кандидати за ЕУ</w:t>
      </w:r>
      <w:r w:rsidR="00C66C6E">
        <w:rPr>
          <w:lang w:val="mk-MK"/>
        </w:rPr>
        <w:t>, каква што е Македонија</w:t>
      </w:r>
      <w:r w:rsidR="00A436D9" w:rsidRPr="00A436D9">
        <w:rPr>
          <w:lang w:val="mk-MK"/>
        </w:rPr>
        <w:t>.</w:t>
      </w:r>
    </w:p>
    <w:p w14:paraId="137C3F4D" w14:textId="7C67745F" w:rsidR="00C66C6E" w:rsidRDefault="00C66C6E" w:rsidP="0036527B">
      <w:pPr>
        <w:pStyle w:val="BodyText"/>
        <w:spacing w:before="240"/>
        <w:ind w:firstLine="720"/>
        <w:jc w:val="both"/>
        <w:rPr>
          <w:lang w:val="mk-MK"/>
        </w:rPr>
      </w:pPr>
      <w:r w:rsidRPr="00C66C6E">
        <w:rPr>
          <w:lang w:val="mk-MK"/>
        </w:rPr>
        <w:t>Контекстот на земји со институционална слабо</w:t>
      </w:r>
      <w:r w:rsidR="008643B6">
        <w:rPr>
          <w:lang w:val="mk-MK"/>
        </w:rPr>
        <w:t>ст</w:t>
      </w:r>
      <w:r w:rsidRPr="00C66C6E">
        <w:rPr>
          <w:lang w:val="mk-MK"/>
        </w:rPr>
        <w:t xml:space="preserve"> го поставува прашањето за реалната трансформативна моќ на оваа јуриспруденција. Од една страна, пресудите на ЕСЧП можат да служат како корективен механизам во средини каде националните институции не нудат заштита. Од друга страна, нивната имплементација зависи од политичката волја, административниот капацитет и способноста да се надминат коруптивните и клиентелистичките структури. Судот може да понуди правна јасност, но не може да изгради инспекции, да обучи судии или да го промени корпоративниот менталитет. Така, јуриспруденцијата може да биде моќен катализатор, но не и доволен услов за институционална реформа.</w:t>
      </w:r>
    </w:p>
    <w:p w14:paraId="3E1E3D0E" w14:textId="7E1CFFBF" w:rsidR="00B629EA" w:rsidRPr="00A72076" w:rsidRDefault="00B629EA" w:rsidP="0036527B">
      <w:pPr>
        <w:pStyle w:val="BodyText"/>
        <w:spacing w:before="240"/>
        <w:ind w:firstLine="720"/>
        <w:jc w:val="both"/>
        <w:rPr>
          <w:lang w:val="mk-MK"/>
        </w:rPr>
      </w:pPr>
      <w:r w:rsidRPr="00B629EA">
        <w:rPr>
          <w:lang w:val="mk-MK"/>
        </w:rPr>
        <w:t xml:space="preserve">Во крајна линија, праксата на ЕСЧП покажува дека човековите права стануваат се поважен извор за легитимација и редизајн на корпоративното управување. Таа отвора пат за аргументи кои поврзуваат работничко учество, транспарентност и корпоративна отчетност со демократските стандарди на Европа. </w:t>
      </w:r>
      <w:r w:rsidR="00AD59D8">
        <w:rPr>
          <w:lang w:val="mk-MK"/>
        </w:rPr>
        <w:t>З</w:t>
      </w:r>
      <w:r w:rsidRPr="00B629EA">
        <w:rPr>
          <w:lang w:val="mk-MK"/>
        </w:rPr>
        <w:t>а да се претворат овие принципи во одржливи и ефективни механизми во компаниите</w:t>
      </w:r>
      <w:r w:rsidR="00BB391C">
        <w:rPr>
          <w:lang w:val="mk-MK"/>
        </w:rPr>
        <w:t>,</w:t>
      </w:r>
      <w:r w:rsidRPr="00B629EA">
        <w:rPr>
          <w:lang w:val="mk-MK"/>
        </w:rPr>
        <w:t xml:space="preserve"> потребно е истовремено политичка волја, институционална зрелост и култура на учество. </w:t>
      </w:r>
      <w:r w:rsidR="00B82045">
        <w:rPr>
          <w:lang w:val="mk-MK"/>
        </w:rPr>
        <w:t>Оттука, в</w:t>
      </w:r>
      <w:r w:rsidRPr="00B629EA">
        <w:rPr>
          <w:lang w:val="mk-MK"/>
        </w:rPr>
        <w:t>истинската промена мора да произлезе од националните процеси на реформа и од самите општествени актери.</w:t>
      </w:r>
    </w:p>
    <w:p w14:paraId="76178925" w14:textId="3E04CC80" w:rsidR="002777A4" w:rsidRDefault="000C11F6" w:rsidP="000C11F6">
      <w:pPr>
        <w:pStyle w:val="Heading2"/>
        <w:numPr>
          <w:ilvl w:val="0"/>
          <w:numId w:val="0"/>
        </w:numPr>
        <w:rPr>
          <w:rFonts w:ascii="Times New Roman" w:hAnsi="Times New Roman" w:cs="Times New Roman"/>
          <w:b w:val="0"/>
          <w:bCs w:val="0"/>
          <w:color w:val="000000" w:themeColor="text1"/>
          <w:sz w:val="24"/>
          <w:szCs w:val="24"/>
          <w:lang w:val="mk-MK"/>
        </w:rPr>
      </w:pPr>
      <w:bookmarkStart w:id="46" w:name="_Toc230523899"/>
      <w:r w:rsidRPr="004A51D9">
        <w:rPr>
          <w:rFonts w:ascii="Times New Roman" w:hAnsi="Times New Roman" w:cs="Times New Roman"/>
          <w:b w:val="0"/>
          <w:bCs w:val="0"/>
          <w:color w:val="000000" w:themeColor="text1"/>
          <w:sz w:val="24"/>
          <w:szCs w:val="24"/>
          <w:lang w:val="mk-MK"/>
        </w:rPr>
        <w:lastRenderedPageBreak/>
        <w:t>4.</w:t>
      </w:r>
      <w:r w:rsidR="00B82045">
        <w:rPr>
          <w:rFonts w:ascii="Times New Roman" w:hAnsi="Times New Roman" w:cs="Times New Roman"/>
          <w:b w:val="0"/>
          <w:bCs w:val="0"/>
          <w:color w:val="000000" w:themeColor="text1"/>
          <w:sz w:val="24"/>
          <w:szCs w:val="24"/>
          <w:lang w:val="mk-MK"/>
        </w:rPr>
        <w:t>3</w:t>
      </w:r>
      <w:r w:rsidRPr="004A51D9">
        <w:rPr>
          <w:rFonts w:ascii="Times New Roman" w:hAnsi="Times New Roman" w:cs="Times New Roman"/>
          <w:b w:val="0"/>
          <w:bCs w:val="0"/>
          <w:color w:val="000000" w:themeColor="text1"/>
          <w:sz w:val="24"/>
          <w:szCs w:val="24"/>
          <w:lang w:val="mk-MK"/>
        </w:rPr>
        <w:t xml:space="preserve">. </w:t>
      </w:r>
      <w:r w:rsidR="002777A4" w:rsidRPr="004A51D9">
        <w:rPr>
          <w:rFonts w:ascii="Times New Roman" w:hAnsi="Times New Roman" w:cs="Times New Roman"/>
          <w:b w:val="0"/>
          <w:bCs w:val="0"/>
          <w:color w:val="000000" w:themeColor="text1"/>
          <w:sz w:val="24"/>
          <w:szCs w:val="24"/>
          <w:lang w:val="mk-MK"/>
        </w:rPr>
        <w:t>Европска социјална повелба</w:t>
      </w:r>
      <w:bookmarkEnd w:id="46"/>
      <w:r w:rsidR="002777A4" w:rsidRPr="004A51D9">
        <w:rPr>
          <w:rFonts w:ascii="Times New Roman" w:hAnsi="Times New Roman" w:cs="Times New Roman"/>
          <w:b w:val="0"/>
          <w:bCs w:val="0"/>
          <w:color w:val="000000" w:themeColor="text1"/>
          <w:sz w:val="24"/>
          <w:szCs w:val="24"/>
          <w:lang w:val="mk-MK"/>
        </w:rPr>
        <w:t xml:space="preserve"> </w:t>
      </w:r>
    </w:p>
    <w:p w14:paraId="184850E9" w14:textId="77777777" w:rsidR="008A3C3B" w:rsidRDefault="008A3C3B" w:rsidP="008A3C3B">
      <w:pPr>
        <w:pStyle w:val="BodyText"/>
        <w:ind w:firstLine="720"/>
        <w:jc w:val="both"/>
        <w:rPr>
          <w:lang w:val="mk-MK"/>
        </w:rPr>
      </w:pPr>
      <w:r w:rsidRPr="00454677">
        <w:rPr>
          <w:lang w:val="mk-MK"/>
        </w:rPr>
        <w:t>Вториот и можеби најзначаен договорен инструмент на Советот на Европа е Европската социјална повелба (</w:t>
      </w:r>
      <w:r>
        <w:rPr>
          <w:lang w:val="mk-MK"/>
        </w:rPr>
        <w:t>ЕСП</w:t>
      </w:r>
      <w:r w:rsidRPr="00454677">
        <w:rPr>
          <w:lang w:val="mk-MK"/>
        </w:rPr>
        <w:t>), која експлицитно признава право на работничко учество.</w:t>
      </w:r>
      <w:r>
        <w:rPr>
          <w:rStyle w:val="FootnoteReference"/>
          <w:lang w:val="mk-MK"/>
        </w:rPr>
        <w:footnoteReference w:id="463"/>
      </w:r>
      <w:r w:rsidRPr="00454677">
        <w:rPr>
          <w:lang w:val="mk-MK"/>
        </w:rPr>
        <w:t xml:space="preserve"> Таа претставува нормативен антипод на Конвенцијата</w:t>
      </w:r>
      <w:r>
        <w:rPr>
          <w:lang w:val="mk-MK"/>
        </w:rPr>
        <w:t>,</w:t>
      </w:r>
      <w:r w:rsidRPr="00454677">
        <w:rPr>
          <w:lang w:val="mk-MK"/>
        </w:rPr>
        <w:t xml:space="preserve"> нејзина социјална сестра, која ја проширува демократската визија во економскиот простор.</w:t>
      </w:r>
      <w:r>
        <w:rPr>
          <w:lang w:val="mk-MK"/>
        </w:rPr>
        <w:t xml:space="preserve"> </w:t>
      </w:r>
      <w:r w:rsidRPr="00915C2D">
        <w:rPr>
          <w:lang w:val="mk-MK"/>
        </w:rPr>
        <w:t xml:space="preserve">Советот на Европа преку Европската социјална повелба </w:t>
      </w:r>
      <w:r>
        <w:rPr>
          <w:lang w:val="mk-MK"/>
        </w:rPr>
        <w:t>ја</w:t>
      </w:r>
      <w:r w:rsidRPr="00915C2D">
        <w:rPr>
          <w:lang w:val="mk-MK"/>
        </w:rPr>
        <w:t xml:space="preserve"> претставува првата сеопфатна европска рамка што ги поврзува социјалните и економските права со концептот на демократско управување во претпријатијата. </w:t>
      </w:r>
    </w:p>
    <w:p w14:paraId="50E6A0BC" w14:textId="135D26DC" w:rsidR="00094977" w:rsidRDefault="003165E0" w:rsidP="003165E0">
      <w:pPr>
        <w:pStyle w:val="BodyText"/>
        <w:spacing w:before="240"/>
        <w:ind w:firstLine="720"/>
        <w:jc w:val="both"/>
        <w:rPr>
          <w:lang w:val="mk-MK"/>
        </w:rPr>
      </w:pPr>
      <w:r w:rsidRPr="003165E0">
        <w:rPr>
          <w:lang w:val="mk-MK"/>
        </w:rPr>
        <w:t>Европската социјална повелба е главниот инструмент на Советот на Европа за заштита на социјалните и економските права. Усвоена во 1961 година и ревидирана во 1996 година, таа ги надополнува граѓанските и политичките права од Европската конвенција преку воспоставување стандарди за работни услови, здружување, колективно договарање, социјална заштита и учество во работниот живот. Повелбата е надгледувана од Европскиот комитет за социјални права, кој преку периодични извештаи и системот на колективни претставки утврдува дали државите навистина ги исполнуваат своите обврски.</w:t>
      </w:r>
      <w:r w:rsidR="00335EF8">
        <w:rPr>
          <w:rStyle w:val="FootnoteReference"/>
          <w:lang w:val="mk-MK"/>
        </w:rPr>
        <w:footnoteReference w:id="464"/>
      </w:r>
      <w:r w:rsidRPr="003165E0">
        <w:rPr>
          <w:lang w:val="mk-MK"/>
        </w:rPr>
        <w:t xml:space="preserve"> </w:t>
      </w:r>
    </w:p>
    <w:p w14:paraId="6520373E" w14:textId="3DFED8F9" w:rsidR="003165E0" w:rsidRDefault="003165E0" w:rsidP="003165E0">
      <w:pPr>
        <w:pStyle w:val="BodyText"/>
        <w:spacing w:before="240"/>
        <w:ind w:firstLine="720"/>
        <w:jc w:val="both"/>
        <w:rPr>
          <w:lang w:val="mk-MK"/>
        </w:rPr>
      </w:pPr>
      <w:r w:rsidRPr="003165E0">
        <w:rPr>
          <w:lang w:val="mk-MK"/>
        </w:rPr>
        <w:t>Во контекст на корпоративното управување, Повелбата е особено значајна бидејќи ги поставува темелите за работнички права како суштински елемент на демократското учество во економијата. Таа г</w:t>
      </w:r>
      <w:r w:rsidR="00067CBD">
        <w:rPr>
          <w:lang w:val="mk-MK"/>
        </w:rPr>
        <w:t>о</w:t>
      </w:r>
      <w:r w:rsidRPr="003165E0">
        <w:rPr>
          <w:lang w:val="mk-MK"/>
        </w:rPr>
        <w:t xml:space="preserve"> признава правото на работниците да формираат организации, да учествуваат во колективно преговарање, да бидат информирани и консултирани во одлуки што влијаат врз нивната работа, како и правото на безбедни услови, фер плата и заштита при реструктуирање. Овие стандарди се директно релевантни за современите дебати за учество на работниците во корпоративното управување, модели на соучество, и прашања како одговорноста, транспарентноста и социјалната одржливост на компаниите.</w:t>
      </w:r>
    </w:p>
    <w:p w14:paraId="35EBD04E" w14:textId="223550D4" w:rsidR="00C46BF0" w:rsidRDefault="00C46BF0" w:rsidP="003165E0">
      <w:pPr>
        <w:pStyle w:val="BodyText"/>
        <w:spacing w:before="240"/>
        <w:ind w:firstLine="720"/>
        <w:jc w:val="both"/>
        <w:rPr>
          <w:lang w:val="mk-MK"/>
        </w:rPr>
      </w:pPr>
      <w:r w:rsidRPr="00C46BF0">
        <w:rPr>
          <w:lang w:val="mk-MK"/>
        </w:rPr>
        <w:t>Европската социјална повелба претставува еден од клучните столбови на системот на заштита на човековите права во Европа, поставувајќи стандарди за економските и социјалните права кои треба да им бидат гарантирани на сите лица. Таа е замислена како жив инструмент кој се развива паралелно со општествените и економските трансформации на европските држави, а нејзината структура овозможува динамична интерпретација на обврските што ги преземаат државите. Повелбата обезбедува рамка во која работничките права, синдикалното организирање, условите за работа и социјалната сигурност не се третираат како секундарни или технички прашања, туку како централен дел од демократското општествено уредување. Во тој поглед, нејзината визија е блиска до идејата за економска демократија, во која односите во компаниите и пошироките пазарни структури се сфаќаат како дел од „живиот поредок“ на демократијата.</w:t>
      </w:r>
      <w:r w:rsidR="00550FD5">
        <w:rPr>
          <w:rStyle w:val="FootnoteReference"/>
          <w:lang w:val="mk-MK"/>
        </w:rPr>
        <w:footnoteReference w:id="465"/>
      </w:r>
    </w:p>
    <w:p w14:paraId="18447EF8" w14:textId="018988B5" w:rsidR="005E7216" w:rsidRDefault="005E7216" w:rsidP="003165E0">
      <w:pPr>
        <w:pStyle w:val="BodyText"/>
        <w:spacing w:before="240"/>
        <w:ind w:firstLine="720"/>
        <w:jc w:val="both"/>
        <w:rPr>
          <w:lang w:val="mk-MK"/>
        </w:rPr>
      </w:pPr>
      <w:r w:rsidRPr="005E7216">
        <w:rPr>
          <w:lang w:val="mk-MK"/>
        </w:rPr>
        <w:t xml:space="preserve">Институционалната архитектура на Повелбата, пред сè преку Европскиот комитет за социјални права, создава јасен механизам за мониторинг, толкување и развој </w:t>
      </w:r>
      <w:r w:rsidRPr="005E7216">
        <w:rPr>
          <w:lang w:val="mk-MK"/>
        </w:rPr>
        <w:lastRenderedPageBreak/>
        <w:t>на социјалните права. Комитетот не се ограничува само на формалната законска рамка на државите, туку во својата практика ги анализира и реалните услови на работа, ефективниот пристап до социјални услуги и степенот на заштита на работниците во секојдневниот економски живот.</w:t>
      </w:r>
      <w:r w:rsidR="0028497B">
        <w:rPr>
          <w:rStyle w:val="FootnoteReference"/>
          <w:lang w:val="mk-MK"/>
        </w:rPr>
        <w:footnoteReference w:id="466"/>
      </w:r>
      <w:r w:rsidRPr="005E7216">
        <w:rPr>
          <w:lang w:val="mk-MK"/>
        </w:rPr>
        <w:t xml:space="preserve"> На тој начин</w:t>
      </w:r>
      <w:r w:rsidR="00117307">
        <w:rPr>
          <w:lang w:val="mk-MK"/>
        </w:rPr>
        <w:t xml:space="preserve">, Комитетот </w:t>
      </w:r>
      <w:r w:rsidRPr="005E7216">
        <w:rPr>
          <w:lang w:val="mk-MK"/>
        </w:rPr>
        <w:t>ја потврдува позицијата дека демократскиот поредок не може да се одвои од материјалните услови што им овозможуваат на луѓето достоинствено учество во општеството. Одлуките и заклучоците на Комитетот создаваат акумулирана правна и политичка практика која државите ја следат како авторитативен стандард, а во тоа може да се препознае и силната амбиција на Советот на Европа да изгради европски простор на социјална правда.</w:t>
      </w:r>
    </w:p>
    <w:p w14:paraId="1CE920B2" w14:textId="341931AD" w:rsidR="007C2203" w:rsidRDefault="007C2203" w:rsidP="007C2203">
      <w:pPr>
        <w:pStyle w:val="BodyText"/>
        <w:spacing w:before="240" w:after="240"/>
        <w:ind w:firstLine="720"/>
        <w:jc w:val="both"/>
        <w:rPr>
          <w:lang w:val="mk-MK"/>
        </w:rPr>
      </w:pPr>
      <w:r w:rsidRPr="003C54D0">
        <w:rPr>
          <w:lang w:val="mk-MK"/>
        </w:rPr>
        <w:t xml:space="preserve">Социјалната повелба во својата ревидирана форма од 1996 година ја надминува класичната рамка на „социјална заштита“ и воведува нова нормативна логика </w:t>
      </w:r>
      <w:r>
        <w:rPr>
          <w:lang w:val="mk-MK"/>
        </w:rPr>
        <w:t>која цели кон</w:t>
      </w:r>
      <w:r w:rsidRPr="003C54D0">
        <w:rPr>
          <w:lang w:val="mk-MK"/>
        </w:rPr>
        <w:t xml:space="preserve"> демократизација на економските односи преку учество на засегнатите страни. Во правната теорија, ова често се опишува како премин од социјална компензација кон социјална ко-управа.</w:t>
      </w:r>
      <w:r>
        <w:rPr>
          <w:rStyle w:val="FootnoteReference"/>
          <w:lang w:val="mk-MK"/>
        </w:rPr>
        <w:footnoteReference w:id="467"/>
      </w:r>
      <w:r w:rsidRPr="003C54D0">
        <w:rPr>
          <w:lang w:val="mk-MK"/>
        </w:rPr>
        <w:t xml:space="preserve"> Со тоа, Советот на Европа станува клучен извор на нормативна легитимација за идејата дека корпоративното управување не е само економска, туку и правна категорија. Европскиот комитет за социјални права, кој ја надгледува примената на Повелбата, во своите толкувачки одлуки постојано </w:t>
      </w:r>
      <w:r w:rsidR="00C24553">
        <w:rPr>
          <w:lang w:val="mk-MK"/>
        </w:rPr>
        <w:t xml:space="preserve">повторно </w:t>
      </w:r>
      <w:r w:rsidRPr="003C54D0">
        <w:rPr>
          <w:lang w:val="mk-MK"/>
        </w:rPr>
        <w:t>потенцира дека правото на информирање и консултација не смее да биде „формалистичко“, туку мора да овозможи ефективно влијание на работниците врз одлуките на управата.</w:t>
      </w:r>
      <w:r>
        <w:rPr>
          <w:rStyle w:val="FootnoteReference"/>
          <w:lang w:val="mk-MK"/>
        </w:rPr>
        <w:footnoteReference w:id="468"/>
      </w:r>
      <w:r w:rsidRPr="003C54D0">
        <w:rPr>
          <w:lang w:val="mk-MK"/>
        </w:rPr>
        <w:t xml:space="preserve"> Ова толкување е особено важно за корпоративното управување, бидејќи ја премостува поделбата </w:t>
      </w:r>
      <w:r>
        <w:rPr>
          <w:lang w:val="mk-MK"/>
        </w:rPr>
        <w:t>по</w:t>
      </w:r>
      <w:r w:rsidRPr="003C54D0">
        <w:rPr>
          <w:lang w:val="mk-MK"/>
        </w:rPr>
        <w:t xml:space="preserve">меѓу трудовото </w:t>
      </w:r>
      <w:r>
        <w:rPr>
          <w:lang w:val="mk-MK"/>
        </w:rPr>
        <w:t xml:space="preserve">и деловното </w:t>
      </w:r>
      <w:r w:rsidRPr="003C54D0">
        <w:rPr>
          <w:lang w:val="mk-MK"/>
        </w:rPr>
        <w:t>право</w:t>
      </w:r>
      <w:r>
        <w:rPr>
          <w:lang w:val="mk-MK"/>
        </w:rPr>
        <w:t xml:space="preserve"> од една страна</w:t>
      </w:r>
      <w:r w:rsidRPr="003C54D0">
        <w:rPr>
          <w:lang w:val="mk-MK"/>
        </w:rPr>
        <w:t xml:space="preserve"> и правото на </w:t>
      </w:r>
      <w:r>
        <w:rPr>
          <w:lang w:val="mk-MK"/>
        </w:rPr>
        <w:t>трговски друштва од друга страна,</w:t>
      </w:r>
      <w:r w:rsidRPr="003C54D0">
        <w:rPr>
          <w:lang w:val="mk-MK"/>
        </w:rPr>
        <w:t xml:space="preserve"> создавајќи нова правна категорија на учество во управување од аспект на човековите права.</w:t>
      </w:r>
    </w:p>
    <w:p w14:paraId="7D66EEC6" w14:textId="7408CD49" w:rsidR="007C2203" w:rsidRPr="007C2203" w:rsidRDefault="007C2203" w:rsidP="003165E0">
      <w:pPr>
        <w:pStyle w:val="BodyText"/>
        <w:spacing w:before="240"/>
        <w:ind w:firstLine="720"/>
        <w:jc w:val="both"/>
        <w:rPr>
          <w:lang w:val="mk-MK"/>
        </w:rPr>
      </w:pPr>
      <w:r w:rsidRPr="007C2203">
        <w:rPr>
          <w:lang w:val="mk-MK"/>
        </w:rPr>
        <w:t xml:space="preserve">За држави како </w:t>
      </w:r>
      <w:r w:rsidR="00B71830">
        <w:rPr>
          <w:lang w:val="mk-MK"/>
        </w:rPr>
        <w:t>М</w:t>
      </w:r>
      <w:r w:rsidRPr="007C2203">
        <w:rPr>
          <w:lang w:val="mk-MK"/>
        </w:rPr>
        <w:t xml:space="preserve">акедонија, кои се наоѓаат во процес на усогласување со европските стандарди и се соочуваат со структурни слабости во корпоративното управување, Повелбата претставува значаен нормативен </w:t>
      </w:r>
      <w:r w:rsidR="006F604C">
        <w:rPr>
          <w:lang w:val="mk-MK"/>
        </w:rPr>
        <w:t>столб</w:t>
      </w:r>
      <w:r w:rsidRPr="007C2203">
        <w:rPr>
          <w:lang w:val="mk-MK"/>
        </w:rPr>
        <w:t>. Нејзината примена ги осветлува празнините во заштитата на работничките права, ограничениот опсег на учество на вработените во одлучувањето и недоволно развиените механизми за социјален дијалог.</w:t>
      </w:r>
      <w:r w:rsidR="009A3204">
        <w:rPr>
          <w:rStyle w:val="FootnoteReference"/>
          <w:lang w:val="mk-MK"/>
        </w:rPr>
        <w:footnoteReference w:id="469"/>
      </w:r>
      <w:r w:rsidRPr="007C2203">
        <w:rPr>
          <w:lang w:val="mk-MK"/>
        </w:rPr>
        <w:t xml:space="preserve"> Во исто време, таа нуди концепциска основа за реформи кои би го зајакнале учеството на работниците и би го приближиле корпоративниот сектор до европските модели на социјално ориентирано управување. Во овој контекст, Европската социјална повелба </w:t>
      </w:r>
      <w:r w:rsidR="002028BF">
        <w:rPr>
          <w:lang w:val="mk-MK"/>
        </w:rPr>
        <w:t>е</w:t>
      </w:r>
      <w:r w:rsidRPr="007C2203">
        <w:rPr>
          <w:lang w:val="mk-MK"/>
        </w:rPr>
        <w:t xml:space="preserve"> водилка за општествен развој која демонстрира како социјалните права можат да придонесат кон поинклузивни и поотпорни економски системи.</w:t>
      </w:r>
    </w:p>
    <w:p w14:paraId="3257F1C0" w14:textId="0B74E86B" w:rsidR="005B6BA9" w:rsidRPr="008547A9" w:rsidRDefault="008A3C3B" w:rsidP="008547A9">
      <w:pPr>
        <w:pStyle w:val="BodyText"/>
        <w:spacing w:before="240"/>
        <w:ind w:firstLine="720"/>
        <w:jc w:val="both"/>
        <w:rPr>
          <w:lang w:val="mk-MK"/>
        </w:rPr>
      </w:pPr>
      <w:r w:rsidRPr="00915C2D">
        <w:rPr>
          <w:lang w:val="mk-MK"/>
        </w:rPr>
        <w:t>За разлика од Европската конвенција за човекови права, која се фокусира на граѓанско-политичките права, Социјалната повелба ги нормира колективните и економско-социјалните односи</w:t>
      </w:r>
      <w:r>
        <w:rPr>
          <w:lang w:val="mk-MK"/>
        </w:rPr>
        <w:t>,</w:t>
      </w:r>
      <w:r w:rsidRPr="00915C2D">
        <w:rPr>
          <w:lang w:val="mk-MK"/>
        </w:rPr>
        <w:t xml:space="preserve"> вклучувајќи го и правото на работниците да учествуваат во одлучувањето во рамките на претпријатието.</w:t>
      </w:r>
      <w:r w:rsidRPr="00454677">
        <w:rPr>
          <w:lang w:val="mk-MK"/>
        </w:rPr>
        <w:t xml:space="preserve"> Најрелевантни членови</w:t>
      </w:r>
      <w:r>
        <w:rPr>
          <w:lang w:val="mk-MK"/>
        </w:rPr>
        <w:t xml:space="preserve"> во овој аспект се ч</w:t>
      </w:r>
      <w:r w:rsidRPr="00602AB0">
        <w:rPr>
          <w:lang w:val="mk-MK"/>
        </w:rPr>
        <w:t xml:space="preserve">лен 21 </w:t>
      </w:r>
      <w:r>
        <w:rPr>
          <w:lang w:val="mk-MK"/>
        </w:rPr>
        <w:t>(</w:t>
      </w:r>
      <w:r w:rsidRPr="00602AB0">
        <w:rPr>
          <w:lang w:val="mk-MK"/>
        </w:rPr>
        <w:t>право на информирање и консултација</w:t>
      </w:r>
      <w:r>
        <w:rPr>
          <w:lang w:val="mk-MK"/>
        </w:rPr>
        <w:t>), ч</w:t>
      </w:r>
      <w:r w:rsidRPr="00602AB0">
        <w:rPr>
          <w:lang w:val="mk-MK"/>
        </w:rPr>
        <w:t xml:space="preserve">лен 22 </w:t>
      </w:r>
      <w:r>
        <w:rPr>
          <w:lang w:val="mk-MK"/>
        </w:rPr>
        <w:t>(</w:t>
      </w:r>
      <w:r w:rsidRPr="00602AB0">
        <w:rPr>
          <w:lang w:val="mk-MK"/>
        </w:rPr>
        <w:t>право на учество во определувањето и подобрувањето на условите на труд</w:t>
      </w:r>
      <w:r>
        <w:rPr>
          <w:lang w:val="mk-MK"/>
        </w:rPr>
        <w:t>), ч</w:t>
      </w:r>
      <w:r w:rsidRPr="00602AB0">
        <w:rPr>
          <w:lang w:val="mk-MK"/>
        </w:rPr>
        <w:t xml:space="preserve">лен 28 </w:t>
      </w:r>
      <w:r>
        <w:rPr>
          <w:lang w:val="mk-MK"/>
        </w:rPr>
        <w:t>(</w:t>
      </w:r>
      <w:r w:rsidRPr="00602AB0">
        <w:rPr>
          <w:lang w:val="mk-MK"/>
        </w:rPr>
        <w:t>заштита на работнички претставници во рамките на претпријатието</w:t>
      </w:r>
      <w:r>
        <w:rPr>
          <w:lang w:val="mk-MK"/>
        </w:rPr>
        <w:t>),</w:t>
      </w:r>
      <w:r w:rsidRPr="00602AB0">
        <w:rPr>
          <w:lang w:val="mk-MK"/>
        </w:rPr>
        <w:t xml:space="preserve"> </w:t>
      </w:r>
      <w:r>
        <w:rPr>
          <w:lang w:val="mk-MK"/>
        </w:rPr>
        <w:t>ч</w:t>
      </w:r>
      <w:r w:rsidRPr="00602AB0">
        <w:rPr>
          <w:lang w:val="mk-MK"/>
        </w:rPr>
        <w:t xml:space="preserve">лен 29 </w:t>
      </w:r>
      <w:r>
        <w:rPr>
          <w:lang w:val="mk-MK"/>
        </w:rPr>
        <w:t>(</w:t>
      </w:r>
      <w:r w:rsidRPr="00602AB0">
        <w:rPr>
          <w:lang w:val="mk-MK"/>
        </w:rPr>
        <w:t>право на информирање и консултација во случаи на колективни отпуштања</w:t>
      </w:r>
      <w:r>
        <w:rPr>
          <w:lang w:val="mk-MK"/>
        </w:rPr>
        <w:t xml:space="preserve">). </w:t>
      </w:r>
    </w:p>
    <w:p w14:paraId="46C735CD" w14:textId="39DD5DCD" w:rsidR="005B6BA9" w:rsidRDefault="005B6BA9" w:rsidP="005B6BA9">
      <w:pPr>
        <w:pStyle w:val="Heading3"/>
        <w:rPr>
          <w:rFonts w:ascii="Times New Roman" w:hAnsi="Times New Roman" w:cs="Times New Roman"/>
          <w:i/>
          <w:iCs/>
          <w:color w:val="000000" w:themeColor="text1"/>
          <w:sz w:val="22"/>
          <w:szCs w:val="22"/>
          <w:u w:val="single"/>
          <w:lang w:val="mk-MK"/>
        </w:rPr>
      </w:pPr>
      <w:bookmarkStart w:id="47" w:name="_Toc230523900"/>
      <w:r w:rsidRPr="007869CA">
        <w:rPr>
          <w:rFonts w:ascii="Times New Roman" w:hAnsi="Times New Roman" w:cs="Times New Roman"/>
          <w:color w:val="000000" w:themeColor="text1"/>
          <w:sz w:val="22"/>
          <w:szCs w:val="22"/>
          <w:lang w:val="mk-MK"/>
        </w:rPr>
        <w:lastRenderedPageBreak/>
        <w:t>4.</w:t>
      </w:r>
      <w:r w:rsidR="0038384D">
        <w:rPr>
          <w:rFonts w:ascii="Times New Roman" w:hAnsi="Times New Roman" w:cs="Times New Roman"/>
          <w:color w:val="000000" w:themeColor="text1"/>
          <w:sz w:val="22"/>
          <w:szCs w:val="22"/>
          <w:lang w:val="mk-MK"/>
        </w:rPr>
        <w:t>3</w:t>
      </w:r>
      <w:r w:rsidRPr="007869CA">
        <w:rPr>
          <w:rFonts w:ascii="Times New Roman" w:hAnsi="Times New Roman" w:cs="Times New Roman"/>
          <w:color w:val="000000" w:themeColor="text1"/>
          <w:sz w:val="22"/>
          <w:szCs w:val="22"/>
          <w:lang w:val="mk-MK"/>
        </w:rPr>
        <w:t>.</w:t>
      </w:r>
      <w:r>
        <w:rPr>
          <w:rFonts w:ascii="Times New Roman" w:hAnsi="Times New Roman" w:cs="Times New Roman"/>
          <w:color w:val="000000" w:themeColor="text1"/>
          <w:sz w:val="22"/>
          <w:szCs w:val="22"/>
          <w:lang w:val="mk-MK"/>
        </w:rPr>
        <w:t>1</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Член 21 од Европската социјална повелба</w:t>
      </w:r>
      <w:bookmarkEnd w:id="47"/>
    </w:p>
    <w:p w14:paraId="6A169B29" w14:textId="1DE61C58" w:rsidR="005B6BA9" w:rsidRDefault="00441FC9" w:rsidP="00441FC9">
      <w:pPr>
        <w:spacing w:before="240"/>
        <w:ind w:firstLine="720"/>
        <w:jc w:val="both"/>
        <w:rPr>
          <w:sz w:val="24"/>
          <w:szCs w:val="24"/>
          <w:lang w:val="en-US"/>
        </w:rPr>
      </w:pPr>
      <w:r w:rsidRPr="00441FC9">
        <w:rPr>
          <w:sz w:val="24"/>
          <w:szCs w:val="24"/>
          <w:lang w:val="mk-MK"/>
        </w:rPr>
        <w:t>Член 21 од Европската социјална повелба, кој го гарантира правото на работниците да бидат информирани и консултирани во рамките на претпријатието, претставува еден од темелните механизми преку кои повелбата го промовира концептот на економска демократија. Овој член не се ограничува само на формално известување за важни одлуки, туку ја нагласува суштинската потреба работниците навремено и јасно да бидат запознаени со состојбата на претпријатието, со промените што се планираат, како и со нивните потенцијални последици врз условите за работа и стабилноста на вработувањето. Со тоа, Член 21 ги поставува темелите за взаемно доверлива и транспарентна организациска култура, каде што информацијата не се третира како привилегија на менаџерите, туку како предуслов за еднакво и одговорно учество во работниот живот.</w:t>
      </w:r>
      <w:r>
        <w:rPr>
          <w:sz w:val="24"/>
          <w:szCs w:val="24"/>
          <w:lang w:val="mk-MK"/>
        </w:rPr>
        <w:t xml:space="preserve"> </w:t>
      </w:r>
    </w:p>
    <w:p w14:paraId="01BD3FAE" w14:textId="1E5F67DB" w:rsidR="00DE3E06" w:rsidRDefault="00723125" w:rsidP="00441FC9">
      <w:pPr>
        <w:spacing w:before="240"/>
        <w:ind w:firstLine="720"/>
        <w:jc w:val="both"/>
        <w:rPr>
          <w:sz w:val="24"/>
          <w:szCs w:val="24"/>
          <w:lang w:val="mk-MK"/>
        </w:rPr>
      </w:pPr>
      <w:r w:rsidRPr="00723125">
        <w:rPr>
          <w:sz w:val="24"/>
          <w:szCs w:val="24"/>
          <w:lang w:val="mk-MK"/>
        </w:rPr>
        <w:t>Практиката на Европскиот комитет за социјални права покажува дека исполнувањето на ова право подразбира повеќе од минимално усогласување со законските барања.</w:t>
      </w:r>
      <w:r w:rsidR="00D1243A">
        <w:rPr>
          <w:rStyle w:val="FootnoteReference"/>
          <w:sz w:val="24"/>
          <w:szCs w:val="24"/>
          <w:lang w:val="mk-MK"/>
        </w:rPr>
        <w:footnoteReference w:id="470"/>
      </w:r>
      <w:r w:rsidRPr="00723125">
        <w:rPr>
          <w:sz w:val="24"/>
          <w:szCs w:val="24"/>
          <w:lang w:val="mk-MK"/>
        </w:rPr>
        <w:t xml:space="preserve"> Комитетот доследно истакнува дека информирањето мора да биде соодветно, разбирливо, навремено и суштинско, за да може навистина да им овозможи на работниците да ги сфатат ризиците и можностите поврзани со деловните одлуки. Консултацијата, пак, мора да биде организирана на начин кој им овозможува на работниците преку своите претставници да влијаат врз одлуките пред тие да станат конечни. Во таа смисла, Комитетот гледа на </w:t>
      </w:r>
      <w:r w:rsidR="00C32345">
        <w:rPr>
          <w:sz w:val="24"/>
          <w:szCs w:val="24"/>
          <w:lang w:val="mk-MK"/>
        </w:rPr>
        <w:t>ч</w:t>
      </w:r>
      <w:r w:rsidRPr="00723125">
        <w:rPr>
          <w:sz w:val="24"/>
          <w:szCs w:val="24"/>
          <w:lang w:val="mk-MK"/>
        </w:rPr>
        <w:t>лен 21 како на алатка која го подобрува квалитетот на корпоративното одлучувањ</w:t>
      </w:r>
      <w:r w:rsidR="00C32345">
        <w:rPr>
          <w:sz w:val="24"/>
          <w:szCs w:val="24"/>
          <w:lang w:val="mk-MK"/>
        </w:rPr>
        <w:t>е</w:t>
      </w:r>
      <w:r w:rsidRPr="00723125">
        <w:rPr>
          <w:sz w:val="24"/>
          <w:szCs w:val="24"/>
          <w:lang w:val="mk-MK"/>
        </w:rPr>
        <w:t xml:space="preserve"> и го зајакнува демократскиот карактер на внатрешните односи во претпријатијата.</w:t>
      </w:r>
    </w:p>
    <w:p w14:paraId="1292043E" w14:textId="094CCC02" w:rsidR="00D06924" w:rsidRPr="00D1243A" w:rsidRDefault="00D06924" w:rsidP="00441FC9">
      <w:pPr>
        <w:spacing w:before="240"/>
        <w:ind w:firstLine="720"/>
        <w:jc w:val="both"/>
        <w:rPr>
          <w:sz w:val="24"/>
          <w:szCs w:val="24"/>
          <w:lang w:val="en-US"/>
        </w:rPr>
      </w:pPr>
      <w:r w:rsidRPr="00D06924">
        <w:rPr>
          <w:sz w:val="24"/>
          <w:szCs w:val="24"/>
          <w:lang w:val="mk-MK"/>
        </w:rPr>
        <w:t>Во контекстот на Македонија,</w:t>
      </w:r>
      <w:r w:rsidR="00817C63">
        <w:rPr>
          <w:sz w:val="24"/>
          <w:szCs w:val="24"/>
          <w:lang w:val="mk-MK"/>
        </w:rPr>
        <w:t xml:space="preserve"> каде</w:t>
      </w:r>
      <w:r w:rsidRPr="00D06924">
        <w:rPr>
          <w:sz w:val="24"/>
          <w:szCs w:val="24"/>
          <w:lang w:val="mk-MK"/>
        </w:rPr>
        <w:t xml:space="preserve"> корпоративното управување често страда од ограничена транспарентност, недоволен социјален дијалог и формално, </w:t>
      </w:r>
      <w:r w:rsidR="00817C63">
        <w:rPr>
          <w:sz w:val="24"/>
          <w:szCs w:val="24"/>
          <w:lang w:val="mk-MK"/>
        </w:rPr>
        <w:t>а</w:t>
      </w:r>
      <w:r w:rsidRPr="00D06924">
        <w:rPr>
          <w:sz w:val="24"/>
          <w:szCs w:val="24"/>
          <w:lang w:val="mk-MK"/>
        </w:rPr>
        <w:t xml:space="preserve"> не и ефективно учество на работниците, </w:t>
      </w:r>
      <w:r w:rsidR="00817C63">
        <w:rPr>
          <w:sz w:val="24"/>
          <w:szCs w:val="24"/>
          <w:lang w:val="mk-MK"/>
        </w:rPr>
        <w:t>ч</w:t>
      </w:r>
      <w:r w:rsidRPr="00D06924">
        <w:rPr>
          <w:sz w:val="24"/>
          <w:szCs w:val="24"/>
          <w:lang w:val="mk-MK"/>
        </w:rPr>
        <w:t xml:space="preserve">лен 21 добива особено значење. Иако законодавството предвидува одредени форми на информирање и консултирање, нивната практична примена е неретко минимална или се сведува на исполнување на формални обврски без суштински дијалог. Во такви услови, стандардите од Европската социјална повелба можат да послужат како референтна рамка за унапредување на корпоративната култура, создавање поодржливи механизми на вклученост и подобрување на организациската доверба. Со тоа, </w:t>
      </w:r>
      <w:r w:rsidR="00506DE6">
        <w:rPr>
          <w:sz w:val="24"/>
          <w:szCs w:val="24"/>
          <w:lang w:val="mk-MK"/>
        </w:rPr>
        <w:t>ч</w:t>
      </w:r>
      <w:r w:rsidRPr="00D06924">
        <w:rPr>
          <w:sz w:val="24"/>
          <w:szCs w:val="24"/>
          <w:lang w:val="mk-MK"/>
        </w:rPr>
        <w:t xml:space="preserve">лен 21 претставува стратегиска насока за реформирање на внатрешните односни структури во македонските </w:t>
      </w:r>
      <w:r w:rsidR="00506DE6">
        <w:rPr>
          <w:sz w:val="24"/>
          <w:szCs w:val="24"/>
          <w:lang w:val="mk-MK"/>
        </w:rPr>
        <w:t>трговски друштва</w:t>
      </w:r>
      <w:r w:rsidRPr="00D06924">
        <w:rPr>
          <w:sz w:val="24"/>
          <w:szCs w:val="24"/>
          <w:lang w:val="mk-MK"/>
        </w:rPr>
        <w:t>, во согласност со европските вредности за социјална правда и работничко учество.</w:t>
      </w:r>
    </w:p>
    <w:p w14:paraId="746837DE" w14:textId="77777777" w:rsidR="00DA717F" w:rsidRPr="005B6BA9" w:rsidRDefault="00DA717F" w:rsidP="005B6BA9">
      <w:pPr>
        <w:rPr>
          <w:lang w:val="mk-MK"/>
        </w:rPr>
      </w:pPr>
    </w:p>
    <w:p w14:paraId="227E6088" w14:textId="31C215B8" w:rsidR="005B6BA9" w:rsidRDefault="005B6BA9" w:rsidP="005B6BA9">
      <w:pPr>
        <w:pStyle w:val="Heading3"/>
        <w:rPr>
          <w:rFonts w:ascii="Times New Roman" w:hAnsi="Times New Roman" w:cs="Times New Roman"/>
          <w:i/>
          <w:iCs/>
          <w:color w:val="000000" w:themeColor="text1"/>
          <w:sz w:val="22"/>
          <w:szCs w:val="22"/>
          <w:u w:val="single"/>
          <w:lang w:val="mk-MK"/>
        </w:rPr>
      </w:pPr>
      <w:bookmarkStart w:id="48" w:name="_Toc230523901"/>
      <w:r w:rsidRPr="007869CA">
        <w:rPr>
          <w:rFonts w:ascii="Times New Roman" w:hAnsi="Times New Roman" w:cs="Times New Roman"/>
          <w:color w:val="000000" w:themeColor="text1"/>
          <w:sz w:val="22"/>
          <w:szCs w:val="22"/>
          <w:lang w:val="mk-MK"/>
        </w:rPr>
        <w:t>4.</w:t>
      </w:r>
      <w:r w:rsidR="0038384D">
        <w:rPr>
          <w:rFonts w:ascii="Times New Roman" w:hAnsi="Times New Roman" w:cs="Times New Roman"/>
          <w:color w:val="000000" w:themeColor="text1"/>
          <w:sz w:val="22"/>
          <w:szCs w:val="22"/>
          <w:lang w:val="mk-MK"/>
        </w:rPr>
        <w:t>3</w:t>
      </w:r>
      <w:r w:rsidRPr="007869CA">
        <w:rPr>
          <w:rFonts w:ascii="Times New Roman" w:hAnsi="Times New Roman" w:cs="Times New Roman"/>
          <w:color w:val="000000" w:themeColor="text1"/>
          <w:sz w:val="22"/>
          <w:szCs w:val="22"/>
          <w:lang w:val="mk-MK"/>
        </w:rPr>
        <w:t>.</w:t>
      </w:r>
      <w:r>
        <w:rPr>
          <w:rFonts w:ascii="Times New Roman" w:hAnsi="Times New Roman" w:cs="Times New Roman"/>
          <w:color w:val="000000" w:themeColor="text1"/>
          <w:sz w:val="22"/>
          <w:szCs w:val="22"/>
          <w:lang w:val="mk-MK"/>
        </w:rPr>
        <w:t>2</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Член 22 од Европската социјална повелба</w:t>
      </w:r>
      <w:bookmarkEnd w:id="48"/>
    </w:p>
    <w:p w14:paraId="5D869212" w14:textId="77777777" w:rsidR="005B6BA9" w:rsidRDefault="005B6BA9" w:rsidP="005B6BA9">
      <w:pPr>
        <w:rPr>
          <w:lang w:val="mk-MK"/>
        </w:rPr>
      </w:pPr>
    </w:p>
    <w:p w14:paraId="35A7747E" w14:textId="0B8A062E" w:rsidR="00363B7D" w:rsidRDefault="00363B7D" w:rsidP="00363B7D">
      <w:pPr>
        <w:ind w:firstLine="720"/>
        <w:jc w:val="both"/>
        <w:rPr>
          <w:sz w:val="24"/>
          <w:szCs w:val="24"/>
          <w:lang w:val="mk-MK"/>
        </w:rPr>
      </w:pPr>
      <w:r w:rsidRPr="00363B7D">
        <w:rPr>
          <w:sz w:val="24"/>
          <w:szCs w:val="24"/>
          <w:lang w:val="mk-MK"/>
        </w:rPr>
        <w:t xml:space="preserve">Член 22 од Европската социјална повелба, кој се однесува на правото на работниците да учествуваат во определувањето и подобрувањето на условите за работа и на работната средина, ја проширува визијата за економска демократија што ја поставува Повелбата и ја внесува директно во секојдневните односи на работното место. Овој член не го третира учеството како додаток или доброволен гест на менаџментот, туку како суштинско право преку кое работниците добиваат можност да влијаат врз организирањето на трудот, здравјето и безбедноста, распоредот на работата и начинот на кој се спроведуваат корпоративните политики. Така, </w:t>
      </w:r>
      <w:r w:rsidR="00160DB1">
        <w:rPr>
          <w:sz w:val="24"/>
          <w:szCs w:val="24"/>
          <w:lang w:val="mk-MK"/>
        </w:rPr>
        <w:t>ч</w:t>
      </w:r>
      <w:r w:rsidRPr="00363B7D">
        <w:rPr>
          <w:sz w:val="24"/>
          <w:szCs w:val="24"/>
          <w:lang w:val="mk-MK"/>
        </w:rPr>
        <w:t>лен 22 ја претвора работната средина</w:t>
      </w:r>
      <w:r w:rsidR="00B31F59">
        <w:rPr>
          <w:sz w:val="24"/>
          <w:szCs w:val="24"/>
          <w:lang w:val="mk-MK"/>
        </w:rPr>
        <w:t xml:space="preserve"> од </w:t>
      </w:r>
      <w:r w:rsidR="00B31F59" w:rsidRPr="00363B7D">
        <w:rPr>
          <w:sz w:val="24"/>
          <w:szCs w:val="24"/>
          <w:lang w:val="mk-MK"/>
        </w:rPr>
        <w:t>место на економска размена</w:t>
      </w:r>
      <w:r w:rsidRPr="00363B7D">
        <w:rPr>
          <w:sz w:val="24"/>
          <w:szCs w:val="24"/>
          <w:lang w:val="mk-MK"/>
        </w:rPr>
        <w:t xml:space="preserve"> во</w:t>
      </w:r>
      <w:r w:rsidR="00B31F59">
        <w:rPr>
          <w:sz w:val="24"/>
          <w:szCs w:val="24"/>
          <w:lang w:val="mk-MK"/>
        </w:rPr>
        <w:t xml:space="preserve"> простор во</w:t>
      </w:r>
      <w:r w:rsidRPr="00363B7D">
        <w:rPr>
          <w:sz w:val="24"/>
          <w:szCs w:val="24"/>
          <w:lang w:val="mk-MK"/>
        </w:rPr>
        <w:t xml:space="preserve"> кој се практикува демократско </w:t>
      </w:r>
      <w:r w:rsidRPr="00363B7D">
        <w:rPr>
          <w:sz w:val="24"/>
          <w:szCs w:val="24"/>
          <w:lang w:val="mk-MK"/>
        </w:rPr>
        <w:lastRenderedPageBreak/>
        <w:t>учество</w:t>
      </w:r>
      <w:r w:rsidR="00B31F59">
        <w:rPr>
          <w:sz w:val="24"/>
          <w:szCs w:val="24"/>
          <w:lang w:val="mk-MK"/>
        </w:rPr>
        <w:t>.</w:t>
      </w:r>
    </w:p>
    <w:p w14:paraId="6B9078A0" w14:textId="70A78B23" w:rsidR="00622C74" w:rsidRDefault="00622C74" w:rsidP="00622C74">
      <w:pPr>
        <w:spacing w:before="240"/>
        <w:ind w:firstLine="720"/>
        <w:jc w:val="both"/>
        <w:rPr>
          <w:sz w:val="24"/>
          <w:szCs w:val="24"/>
          <w:lang w:val="mk-MK"/>
        </w:rPr>
      </w:pPr>
      <w:r w:rsidRPr="00622C74">
        <w:rPr>
          <w:sz w:val="24"/>
          <w:szCs w:val="24"/>
          <w:lang w:val="mk-MK"/>
        </w:rPr>
        <w:t>Европскиот комитет за социјални права во својата практика истакнува дека остварувањето на ова право бара реални и ефективни механизми преку кои работниците можат да споделуваат иницијативи, да даваат мислења и да предлагаат мерки за унапредување на условите во претпријатието, а нивниот придонес да биде земен предвид при конечните одлуки.</w:t>
      </w:r>
      <w:r w:rsidR="00A71AF2">
        <w:rPr>
          <w:rStyle w:val="FootnoteReference"/>
          <w:sz w:val="24"/>
          <w:szCs w:val="24"/>
          <w:lang w:val="mk-MK"/>
        </w:rPr>
        <w:footnoteReference w:id="471"/>
      </w:r>
      <w:r w:rsidRPr="00622C74">
        <w:rPr>
          <w:sz w:val="24"/>
          <w:szCs w:val="24"/>
          <w:lang w:val="mk-MK"/>
        </w:rPr>
        <w:t xml:space="preserve"> Комитетот нагласува дека учеството не смее да се сведе на симболични консултации или на еднократни состаноци, туку мора да биде структуриран, континуиран и партиципативен процес. На тој начин, правото од </w:t>
      </w:r>
      <w:r w:rsidR="0074597C">
        <w:rPr>
          <w:sz w:val="24"/>
          <w:szCs w:val="24"/>
          <w:lang w:val="mk-MK"/>
        </w:rPr>
        <w:t>ч</w:t>
      </w:r>
      <w:r w:rsidRPr="00622C74">
        <w:rPr>
          <w:sz w:val="24"/>
          <w:szCs w:val="24"/>
          <w:lang w:val="mk-MK"/>
        </w:rPr>
        <w:t xml:space="preserve">лен 22 ја дополнува логиката на </w:t>
      </w:r>
      <w:r w:rsidR="0074597C">
        <w:rPr>
          <w:sz w:val="24"/>
          <w:szCs w:val="24"/>
          <w:lang w:val="mk-MK"/>
        </w:rPr>
        <w:t>ч</w:t>
      </w:r>
      <w:r w:rsidRPr="00622C74">
        <w:rPr>
          <w:sz w:val="24"/>
          <w:szCs w:val="24"/>
          <w:lang w:val="mk-MK"/>
        </w:rPr>
        <w:t>лен 21</w:t>
      </w:r>
      <w:r w:rsidR="0074597C">
        <w:rPr>
          <w:sz w:val="24"/>
          <w:szCs w:val="24"/>
          <w:lang w:val="mk-MK"/>
        </w:rPr>
        <w:t xml:space="preserve"> и ја носи легислативата</w:t>
      </w:r>
      <w:r w:rsidRPr="00622C74">
        <w:rPr>
          <w:sz w:val="24"/>
          <w:szCs w:val="24"/>
          <w:lang w:val="mk-MK"/>
        </w:rPr>
        <w:t xml:space="preserve"> од информирање и консултирање кон активно влијание врз обликувањето на работната средина.</w:t>
      </w:r>
    </w:p>
    <w:p w14:paraId="7209131A" w14:textId="1F7A6A06" w:rsidR="007D26D6" w:rsidRPr="00363B7D" w:rsidRDefault="007D26D6" w:rsidP="00622C74">
      <w:pPr>
        <w:spacing w:before="240"/>
        <w:ind w:firstLine="720"/>
        <w:jc w:val="both"/>
        <w:rPr>
          <w:sz w:val="24"/>
          <w:szCs w:val="24"/>
          <w:lang w:val="mk-MK"/>
        </w:rPr>
      </w:pPr>
      <w:r w:rsidRPr="007D26D6">
        <w:rPr>
          <w:sz w:val="24"/>
          <w:szCs w:val="24"/>
          <w:lang w:val="mk-MK"/>
        </w:rPr>
        <w:t xml:space="preserve">Во држави како Македонија, каде што формите на работничко учество честопати постојат само на хартија и се ограничени на минимални законски обврски, </w:t>
      </w:r>
      <w:r w:rsidR="00D56189">
        <w:rPr>
          <w:sz w:val="24"/>
          <w:szCs w:val="24"/>
          <w:lang w:val="mk-MK"/>
        </w:rPr>
        <w:t>ч</w:t>
      </w:r>
      <w:r w:rsidRPr="007D26D6">
        <w:rPr>
          <w:sz w:val="24"/>
          <w:szCs w:val="24"/>
          <w:lang w:val="mk-MK"/>
        </w:rPr>
        <w:t xml:space="preserve">лен 22 отвора важен простор за реформи ориентирани кон поголема транспарентност, солидарност и вклучување. Праксата на многу </w:t>
      </w:r>
      <w:r w:rsidR="0006716B">
        <w:rPr>
          <w:sz w:val="24"/>
          <w:szCs w:val="24"/>
          <w:lang w:val="mk-MK"/>
        </w:rPr>
        <w:t>трговски друштва</w:t>
      </w:r>
      <w:r w:rsidRPr="007D26D6">
        <w:rPr>
          <w:sz w:val="24"/>
          <w:szCs w:val="24"/>
          <w:lang w:val="mk-MK"/>
        </w:rPr>
        <w:t xml:space="preserve"> покажува дека работниците ретко имаат можност да учествуваат во креирањето на мерките за безбедност, распоредот на работата или подобрувањата во производниот процес, што создава и структурни слабости во корпоративното управување. Европската социјална повелба, преку стандардите во </w:t>
      </w:r>
      <w:r w:rsidR="0006716B">
        <w:rPr>
          <w:sz w:val="24"/>
          <w:szCs w:val="24"/>
          <w:lang w:val="mk-MK"/>
        </w:rPr>
        <w:t>ч</w:t>
      </w:r>
      <w:r w:rsidRPr="007D26D6">
        <w:rPr>
          <w:sz w:val="24"/>
          <w:szCs w:val="24"/>
          <w:lang w:val="mk-MK"/>
        </w:rPr>
        <w:t>лен 22, нуди концептуален и нормативен импулс за надминување на овие слабости и за приближување кон европските модели во кои квалитетните работни услови, учеството и дијалогот се неразделен дел од одржливиот корпоративен развој.</w:t>
      </w:r>
    </w:p>
    <w:p w14:paraId="5B71F675" w14:textId="77777777" w:rsidR="00DA717F" w:rsidRPr="005B6BA9" w:rsidRDefault="00DA717F" w:rsidP="005B6BA9">
      <w:pPr>
        <w:rPr>
          <w:lang w:val="mk-MK"/>
        </w:rPr>
      </w:pPr>
    </w:p>
    <w:p w14:paraId="0D55C4BF" w14:textId="7AE4F0BB" w:rsidR="005B6BA9" w:rsidRDefault="005B6BA9" w:rsidP="005B6BA9">
      <w:pPr>
        <w:pStyle w:val="Heading3"/>
        <w:rPr>
          <w:rFonts w:ascii="Times New Roman" w:hAnsi="Times New Roman" w:cs="Times New Roman"/>
          <w:i/>
          <w:iCs/>
          <w:color w:val="000000" w:themeColor="text1"/>
          <w:sz w:val="22"/>
          <w:szCs w:val="22"/>
          <w:u w:val="single"/>
          <w:lang w:val="mk-MK"/>
        </w:rPr>
      </w:pPr>
      <w:bookmarkStart w:id="49" w:name="_Toc230523902"/>
      <w:r w:rsidRPr="007869CA">
        <w:rPr>
          <w:rFonts w:ascii="Times New Roman" w:hAnsi="Times New Roman" w:cs="Times New Roman"/>
          <w:color w:val="000000" w:themeColor="text1"/>
          <w:sz w:val="22"/>
          <w:szCs w:val="22"/>
          <w:lang w:val="mk-MK"/>
        </w:rPr>
        <w:t>4.</w:t>
      </w:r>
      <w:r w:rsidR="0038384D">
        <w:rPr>
          <w:rFonts w:ascii="Times New Roman" w:hAnsi="Times New Roman" w:cs="Times New Roman"/>
          <w:color w:val="000000" w:themeColor="text1"/>
          <w:sz w:val="22"/>
          <w:szCs w:val="22"/>
          <w:lang w:val="mk-MK"/>
        </w:rPr>
        <w:t>3</w:t>
      </w:r>
      <w:r w:rsidRPr="007869CA">
        <w:rPr>
          <w:rFonts w:ascii="Times New Roman" w:hAnsi="Times New Roman" w:cs="Times New Roman"/>
          <w:color w:val="000000" w:themeColor="text1"/>
          <w:sz w:val="22"/>
          <w:szCs w:val="22"/>
          <w:lang w:val="mk-MK"/>
        </w:rPr>
        <w:t>.</w:t>
      </w:r>
      <w:r>
        <w:rPr>
          <w:rFonts w:ascii="Times New Roman" w:hAnsi="Times New Roman" w:cs="Times New Roman"/>
          <w:color w:val="000000" w:themeColor="text1"/>
          <w:sz w:val="22"/>
          <w:szCs w:val="22"/>
          <w:lang w:val="mk-MK"/>
        </w:rPr>
        <w:t>3</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 xml:space="preserve">Член </w:t>
      </w:r>
      <w:r w:rsidR="00DA717F">
        <w:rPr>
          <w:rFonts w:ascii="Times New Roman" w:hAnsi="Times New Roman" w:cs="Times New Roman"/>
          <w:i/>
          <w:iCs/>
          <w:color w:val="000000" w:themeColor="text1"/>
          <w:sz w:val="22"/>
          <w:szCs w:val="22"/>
          <w:u w:val="single"/>
          <w:lang w:val="mk-MK"/>
        </w:rPr>
        <w:t>28</w:t>
      </w:r>
      <w:r>
        <w:rPr>
          <w:rFonts w:ascii="Times New Roman" w:hAnsi="Times New Roman" w:cs="Times New Roman"/>
          <w:i/>
          <w:iCs/>
          <w:color w:val="000000" w:themeColor="text1"/>
          <w:sz w:val="22"/>
          <w:szCs w:val="22"/>
          <w:u w:val="single"/>
          <w:lang w:val="mk-MK"/>
        </w:rPr>
        <w:t xml:space="preserve"> од </w:t>
      </w:r>
      <w:r w:rsidR="00D06924">
        <w:rPr>
          <w:rFonts w:ascii="Times New Roman" w:hAnsi="Times New Roman" w:cs="Times New Roman"/>
          <w:i/>
          <w:iCs/>
          <w:color w:val="000000" w:themeColor="text1"/>
          <w:sz w:val="22"/>
          <w:szCs w:val="22"/>
          <w:u w:val="single"/>
          <w:lang w:val="mk-MK"/>
        </w:rPr>
        <w:t>Европската социјална повелба</w:t>
      </w:r>
      <w:bookmarkEnd w:id="49"/>
    </w:p>
    <w:p w14:paraId="61D6ED2D" w14:textId="77777777" w:rsidR="005B6BA9" w:rsidRDefault="005B6BA9" w:rsidP="005B6BA9">
      <w:pPr>
        <w:rPr>
          <w:lang w:val="mk-MK"/>
        </w:rPr>
      </w:pPr>
    </w:p>
    <w:p w14:paraId="14588BAE" w14:textId="466C2FB8" w:rsidR="00B14D6F" w:rsidRDefault="00B14D6F" w:rsidP="00B14D6F">
      <w:pPr>
        <w:jc w:val="both"/>
        <w:rPr>
          <w:sz w:val="24"/>
          <w:szCs w:val="24"/>
          <w:lang w:val="mk-MK"/>
        </w:rPr>
      </w:pPr>
      <w:r>
        <w:rPr>
          <w:lang w:val="mk-MK"/>
        </w:rPr>
        <w:tab/>
      </w:r>
      <w:r w:rsidRPr="00B14D6F">
        <w:rPr>
          <w:sz w:val="24"/>
          <w:szCs w:val="24"/>
          <w:lang w:val="mk-MK"/>
        </w:rPr>
        <w:t>Член 28 од Европската социјална повелба</w:t>
      </w:r>
      <w:r w:rsidR="009877FF">
        <w:rPr>
          <w:sz w:val="24"/>
          <w:szCs w:val="24"/>
          <w:lang w:val="en-US"/>
        </w:rPr>
        <w:t xml:space="preserve">, </w:t>
      </w:r>
      <w:r w:rsidR="009877FF">
        <w:rPr>
          <w:sz w:val="24"/>
          <w:szCs w:val="24"/>
          <w:lang w:val="mk-MK"/>
        </w:rPr>
        <w:t>односно п</w:t>
      </w:r>
      <w:r w:rsidR="009877FF" w:rsidRPr="009877FF">
        <w:rPr>
          <w:sz w:val="24"/>
          <w:szCs w:val="24"/>
          <w:lang w:val="mk-MK"/>
        </w:rPr>
        <w:t>равото на претставниците на работниците на заштита во претпријатието и олеснувањата што треба да им се обезбедат</w:t>
      </w:r>
      <w:r w:rsidR="009877FF">
        <w:rPr>
          <w:sz w:val="24"/>
          <w:szCs w:val="24"/>
          <w:lang w:val="mk-MK"/>
        </w:rPr>
        <w:t>,</w:t>
      </w:r>
      <w:r w:rsidRPr="00B14D6F">
        <w:rPr>
          <w:sz w:val="24"/>
          <w:szCs w:val="24"/>
          <w:lang w:val="mk-MK"/>
        </w:rPr>
        <w:t xml:space="preserve"> ја зацврстува улогата на претставниците на работниците како клучни актери во внатрешната демократија на претпријатието, обезбедувајќи им заштита и услови за ефикасно извршување на нивните функции. Овој член по</w:t>
      </w:r>
      <w:r w:rsidR="00AD624C">
        <w:rPr>
          <w:sz w:val="24"/>
          <w:szCs w:val="24"/>
          <w:lang w:val="mk-MK"/>
        </w:rPr>
        <w:t>чива</w:t>
      </w:r>
      <w:r w:rsidRPr="00B14D6F">
        <w:rPr>
          <w:sz w:val="24"/>
          <w:szCs w:val="24"/>
          <w:lang w:val="mk-MK"/>
        </w:rPr>
        <w:t xml:space="preserve"> на идејата дека учеството и консултацијата немаат вистинска тежина доколку претставниците кои ги застапуваат работниците не се заштитени од притисоци, </w:t>
      </w:r>
      <w:r w:rsidR="00DB3F14">
        <w:rPr>
          <w:sz w:val="24"/>
          <w:szCs w:val="24"/>
          <w:lang w:val="mk-MK"/>
        </w:rPr>
        <w:t>репресија</w:t>
      </w:r>
      <w:r w:rsidRPr="00B14D6F">
        <w:rPr>
          <w:sz w:val="24"/>
          <w:szCs w:val="24"/>
          <w:lang w:val="mk-MK"/>
        </w:rPr>
        <w:t xml:space="preserve"> или откажување на договорот поради нивната активност. Затоа, </w:t>
      </w:r>
      <w:r w:rsidR="00DB3F14">
        <w:rPr>
          <w:sz w:val="24"/>
          <w:szCs w:val="24"/>
          <w:lang w:val="mk-MK"/>
        </w:rPr>
        <w:t>ч</w:t>
      </w:r>
      <w:r w:rsidRPr="00B14D6F">
        <w:rPr>
          <w:sz w:val="24"/>
          <w:szCs w:val="24"/>
          <w:lang w:val="mk-MK"/>
        </w:rPr>
        <w:t>лен 28 налага државите да обезбедат ефективни гаранции против сите форми на штетни дејств</w:t>
      </w:r>
      <w:r w:rsidR="00DB3F14">
        <w:rPr>
          <w:sz w:val="24"/>
          <w:szCs w:val="24"/>
          <w:lang w:val="mk-MK"/>
        </w:rPr>
        <w:t>ија</w:t>
      </w:r>
      <w:r w:rsidRPr="00B14D6F">
        <w:rPr>
          <w:sz w:val="24"/>
          <w:szCs w:val="24"/>
          <w:lang w:val="mk-MK"/>
        </w:rPr>
        <w:t xml:space="preserve"> кон работничките претставници, особено кога тие произлегуваат од нивната улога во застапувањето на колективните интереси. Со ова, Повелбата јасно го признава ризикот на кој се изложени претставниците и ја потврдува потребата нивната позиција да биде институционално обезбедена</w:t>
      </w:r>
      <w:r w:rsidR="00B7768F">
        <w:rPr>
          <w:sz w:val="24"/>
          <w:szCs w:val="24"/>
          <w:lang w:val="mk-MK"/>
        </w:rPr>
        <w:t xml:space="preserve"> и гарантирана</w:t>
      </w:r>
      <w:r w:rsidRPr="00B14D6F">
        <w:rPr>
          <w:sz w:val="24"/>
          <w:szCs w:val="24"/>
          <w:lang w:val="mk-MK"/>
        </w:rPr>
        <w:t>.</w:t>
      </w:r>
    </w:p>
    <w:p w14:paraId="215E120E" w14:textId="78E81F9E" w:rsidR="00B7768F" w:rsidRDefault="00B7768F" w:rsidP="00B7768F">
      <w:pPr>
        <w:spacing w:before="240"/>
        <w:jc w:val="both"/>
        <w:rPr>
          <w:sz w:val="24"/>
          <w:szCs w:val="24"/>
          <w:lang w:val="mk-MK"/>
        </w:rPr>
      </w:pPr>
      <w:r>
        <w:rPr>
          <w:sz w:val="24"/>
          <w:szCs w:val="24"/>
          <w:lang w:val="mk-MK"/>
        </w:rPr>
        <w:tab/>
      </w:r>
      <w:r w:rsidRPr="00B7768F">
        <w:rPr>
          <w:sz w:val="24"/>
          <w:szCs w:val="24"/>
          <w:lang w:val="mk-MK"/>
        </w:rPr>
        <w:t xml:space="preserve">Втората компонента на </w:t>
      </w:r>
      <w:r w:rsidR="009F6E17">
        <w:rPr>
          <w:sz w:val="24"/>
          <w:szCs w:val="24"/>
          <w:lang w:val="mk-MK"/>
        </w:rPr>
        <w:t>ч</w:t>
      </w:r>
      <w:r w:rsidRPr="00B7768F">
        <w:rPr>
          <w:sz w:val="24"/>
          <w:szCs w:val="24"/>
          <w:lang w:val="mk-MK"/>
        </w:rPr>
        <w:t xml:space="preserve">лен 28 се однесува на обезбедување соодветни услови и капацитети за работничките претставници да можат навремено и ефикасно да ги извршуваат своите обврски. Европскиот комитет за социјални права нагласува дека ова опфаќа пристап до информации, време за вршење на функцијата, простор за средби, можност за комуникација со работниците и други практични средства што им овозможуваат репрезентативно и одговорно дејствување. Овие услови мора да бидат прилагодени на реалноста на индустриските односи во секоја држава, како и на </w:t>
      </w:r>
      <w:r w:rsidRPr="00B7768F">
        <w:rPr>
          <w:sz w:val="24"/>
          <w:szCs w:val="24"/>
          <w:lang w:val="mk-MK"/>
        </w:rPr>
        <w:lastRenderedPageBreak/>
        <w:t xml:space="preserve">големината, потребите и капацитетите на конкретното претпријатие. </w:t>
      </w:r>
      <w:r w:rsidR="006506B6">
        <w:rPr>
          <w:sz w:val="24"/>
          <w:szCs w:val="24"/>
          <w:lang w:val="mk-MK"/>
        </w:rPr>
        <w:t xml:space="preserve">Главната поента е дека </w:t>
      </w:r>
      <w:r w:rsidRPr="00B7768F">
        <w:rPr>
          <w:sz w:val="24"/>
          <w:szCs w:val="24"/>
          <w:lang w:val="mk-MK"/>
        </w:rPr>
        <w:t xml:space="preserve">без материјални и организациски предуслови, претставништвото останува </w:t>
      </w:r>
      <w:r w:rsidR="006506B6">
        <w:rPr>
          <w:sz w:val="24"/>
          <w:szCs w:val="24"/>
          <w:lang w:val="mk-MK"/>
        </w:rPr>
        <w:t>само формално без реални придобивки</w:t>
      </w:r>
      <w:r w:rsidRPr="00B7768F">
        <w:rPr>
          <w:sz w:val="24"/>
          <w:szCs w:val="24"/>
          <w:lang w:val="mk-MK"/>
        </w:rPr>
        <w:t>.</w:t>
      </w:r>
      <w:r w:rsidR="00127452">
        <w:rPr>
          <w:rStyle w:val="FootnoteReference"/>
          <w:sz w:val="24"/>
          <w:szCs w:val="24"/>
          <w:lang w:val="mk-MK"/>
        </w:rPr>
        <w:footnoteReference w:id="472"/>
      </w:r>
    </w:p>
    <w:p w14:paraId="643C6445" w14:textId="30ADBE62" w:rsidR="00DB3F14" w:rsidRPr="00B14D6F" w:rsidRDefault="00127452" w:rsidP="00CE13F8">
      <w:pPr>
        <w:spacing w:before="240"/>
        <w:jc w:val="both"/>
        <w:rPr>
          <w:sz w:val="24"/>
          <w:szCs w:val="24"/>
          <w:lang w:val="mk-MK"/>
        </w:rPr>
      </w:pPr>
      <w:r>
        <w:rPr>
          <w:sz w:val="24"/>
          <w:szCs w:val="24"/>
          <w:lang w:val="mk-MK"/>
        </w:rPr>
        <w:tab/>
      </w:r>
      <w:r w:rsidRPr="00127452">
        <w:rPr>
          <w:sz w:val="24"/>
          <w:szCs w:val="24"/>
          <w:lang w:val="mk-MK"/>
        </w:rPr>
        <w:t xml:space="preserve">Во контекстот на Македонија, каде што </w:t>
      </w:r>
      <w:r w:rsidR="00955319">
        <w:rPr>
          <w:sz w:val="24"/>
          <w:szCs w:val="24"/>
          <w:lang w:val="mk-MK"/>
        </w:rPr>
        <w:t xml:space="preserve">повторно </w:t>
      </w:r>
      <w:r w:rsidRPr="00127452">
        <w:rPr>
          <w:sz w:val="24"/>
          <w:szCs w:val="24"/>
          <w:lang w:val="mk-MK"/>
        </w:rPr>
        <w:t>функцијата на работничките претставници често се реализира во услови на ограничени ресурси, недоволна поддршка и во некои случаи суптилни</w:t>
      </w:r>
      <w:r w:rsidR="00955319">
        <w:rPr>
          <w:sz w:val="24"/>
          <w:szCs w:val="24"/>
          <w:lang w:val="mk-MK"/>
        </w:rPr>
        <w:t xml:space="preserve"> или диркетни</w:t>
      </w:r>
      <w:r w:rsidRPr="00127452">
        <w:rPr>
          <w:sz w:val="24"/>
          <w:szCs w:val="24"/>
          <w:lang w:val="mk-MK"/>
        </w:rPr>
        <w:t xml:space="preserve"> притисоци од страна на менаџментот, стандардите од </w:t>
      </w:r>
      <w:r w:rsidR="00955319">
        <w:rPr>
          <w:sz w:val="24"/>
          <w:szCs w:val="24"/>
          <w:lang w:val="mk-MK"/>
        </w:rPr>
        <w:t>ч</w:t>
      </w:r>
      <w:r w:rsidRPr="00127452">
        <w:rPr>
          <w:sz w:val="24"/>
          <w:szCs w:val="24"/>
          <w:lang w:val="mk-MK"/>
        </w:rPr>
        <w:t>лен 28 имаат особено значење. Иако националното законодавство содржи одредени заштитни механизми, во практика</w:t>
      </w:r>
      <w:r w:rsidR="00955319">
        <w:rPr>
          <w:sz w:val="24"/>
          <w:szCs w:val="24"/>
          <w:lang w:val="mk-MK"/>
        </w:rPr>
        <w:t>та</w:t>
      </w:r>
      <w:r w:rsidRPr="00127452">
        <w:rPr>
          <w:sz w:val="24"/>
          <w:szCs w:val="24"/>
          <w:lang w:val="mk-MK"/>
        </w:rPr>
        <w:t xml:space="preserve"> тие често остануваат недоволно конкретизирани или недоволно применувани. Недостигот од инфраструктура, информации и реални можности за делување ја слабее улогата на работничките претставници и го попречува функционирањето на социјалниот дијалог. Европската социјална повелба, преку </w:t>
      </w:r>
      <w:r w:rsidR="002B0C89">
        <w:rPr>
          <w:sz w:val="24"/>
          <w:szCs w:val="24"/>
          <w:lang w:val="mk-MK"/>
        </w:rPr>
        <w:t>ч</w:t>
      </w:r>
      <w:r w:rsidRPr="00127452">
        <w:rPr>
          <w:sz w:val="24"/>
          <w:szCs w:val="24"/>
          <w:lang w:val="mk-MK"/>
        </w:rPr>
        <w:t xml:space="preserve">лен 28, ја поставува неопходната рамка за зајакнување на оваа улога, потсетувајќи дека ефективната заштита и соодветните услови </w:t>
      </w:r>
      <w:r w:rsidR="00CE13F8">
        <w:rPr>
          <w:sz w:val="24"/>
          <w:szCs w:val="24"/>
          <w:lang w:val="mk-MK"/>
        </w:rPr>
        <w:t>се</w:t>
      </w:r>
      <w:r w:rsidRPr="00127452">
        <w:rPr>
          <w:sz w:val="24"/>
          <w:szCs w:val="24"/>
          <w:lang w:val="mk-MK"/>
        </w:rPr>
        <w:t xml:space="preserve"> темелни предуслови за демократско управување во претпријатието.</w:t>
      </w:r>
    </w:p>
    <w:p w14:paraId="32A4F676" w14:textId="77777777" w:rsidR="005B6BA9" w:rsidRDefault="005B6BA9" w:rsidP="005B6BA9">
      <w:pPr>
        <w:rPr>
          <w:lang w:val="mk-MK"/>
        </w:rPr>
      </w:pPr>
    </w:p>
    <w:p w14:paraId="12B27507" w14:textId="227D3216" w:rsidR="005B6BA9" w:rsidRPr="005B6BA9" w:rsidRDefault="005B6BA9" w:rsidP="00D06924">
      <w:pPr>
        <w:pStyle w:val="Heading3"/>
        <w:rPr>
          <w:lang w:val="mk-MK"/>
        </w:rPr>
      </w:pPr>
      <w:bookmarkStart w:id="50" w:name="_Toc230523903"/>
      <w:r w:rsidRPr="007869CA">
        <w:rPr>
          <w:rFonts w:ascii="Times New Roman" w:hAnsi="Times New Roman" w:cs="Times New Roman"/>
          <w:color w:val="000000" w:themeColor="text1"/>
          <w:sz w:val="22"/>
          <w:szCs w:val="22"/>
          <w:lang w:val="mk-MK"/>
        </w:rPr>
        <w:t>4.</w:t>
      </w:r>
      <w:r w:rsidR="0038384D">
        <w:rPr>
          <w:rFonts w:ascii="Times New Roman" w:hAnsi="Times New Roman" w:cs="Times New Roman"/>
          <w:color w:val="000000" w:themeColor="text1"/>
          <w:sz w:val="22"/>
          <w:szCs w:val="22"/>
          <w:lang w:val="mk-MK"/>
        </w:rPr>
        <w:t>3</w:t>
      </w:r>
      <w:r w:rsidRPr="007869CA">
        <w:rPr>
          <w:rFonts w:ascii="Times New Roman" w:hAnsi="Times New Roman" w:cs="Times New Roman"/>
          <w:color w:val="000000" w:themeColor="text1"/>
          <w:sz w:val="22"/>
          <w:szCs w:val="22"/>
          <w:lang w:val="mk-MK"/>
        </w:rPr>
        <w:t>.</w:t>
      </w:r>
      <w:r w:rsidR="00DA717F">
        <w:rPr>
          <w:rFonts w:ascii="Times New Roman" w:hAnsi="Times New Roman" w:cs="Times New Roman"/>
          <w:color w:val="000000" w:themeColor="text1"/>
          <w:sz w:val="22"/>
          <w:szCs w:val="22"/>
          <w:lang w:val="mk-MK"/>
        </w:rPr>
        <w:t>4</w:t>
      </w:r>
      <w:r w:rsidRPr="007869CA">
        <w:rPr>
          <w:rFonts w:ascii="Times New Roman" w:hAnsi="Times New Roman" w:cs="Times New Roman"/>
          <w:b/>
          <w:bCs/>
          <w:color w:val="000000" w:themeColor="text1"/>
          <w:sz w:val="22"/>
          <w:szCs w:val="22"/>
          <w:lang w:val="en-US"/>
        </w:rPr>
        <w:t>.</w:t>
      </w:r>
      <w:r w:rsidRPr="007869CA">
        <w:rPr>
          <w:rFonts w:ascii="Times New Roman" w:hAnsi="Times New Roman" w:cs="Times New Roman"/>
          <w:i/>
          <w:iCs/>
          <w:color w:val="000000" w:themeColor="text1"/>
          <w:sz w:val="22"/>
          <w:szCs w:val="22"/>
          <w:lang w:val="mk-MK"/>
        </w:rPr>
        <w:t xml:space="preserve"> </w:t>
      </w:r>
      <w:r>
        <w:rPr>
          <w:rFonts w:ascii="Times New Roman" w:hAnsi="Times New Roman" w:cs="Times New Roman"/>
          <w:i/>
          <w:iCs/>
          <w:color w:val="000000" w:themeColor="text1"/>
          <w:sz w:val="22"/>
          <w:szCs w:val="22"/>
          <w:u w:val="single"/>
          <w:lang w:val="mk-MK"/>
        </w:rPr>
        <w:t xml:space="preserve">Член </w:t>
      </w:r>
      <w:r w:rsidR="00DA717F">
        <w:rPr>
          <w:rFonts w:ascii="Times New Roman" w:hAnsi="Times New Roman" w:cs="Times New Roman"/>
          <w:i/>
          <w:iCs/>
          <w:color w:val="000000" w:themeColor="text1"/>
          <w:sz w:val="22"/>
          <w:szCs w:val="22"/>
          <w:u w:val="single"/>
          <w:lang w:val="mk-MK"/>
        </w:rPr>
        <w:t>29</w:t>
      </w:r>
      <w:r>
        <w:rPr>
          <w:rFonts w:ascii="Times New Roman" w:hAnsi="Times New Roman" w:cs="Times New Roman"/>
          <w:i/>
          <w:iCs/>
          <w:color w:val="000000" w:themeColor="text1"/>
          <w:sz w:val="22"/>
          <w:szCs w:val="22"/>
          <w:u w:val="single"/>
          <w:lang w:val="mk-MK"/>
        </w:rPr>
        <w:t xml:space="preserve"> од </w:t>
      </w:r>
      <w:r w:rsidR="00D06924">
        <w:rPr>
          <w:rFonts w:ascii="Times New Roman" w:hAnsi="Times New Roman" w:cs="Times New Roman"/>
          <w:i/>
          <w:iCs/>
          <w:color w:val="000000" w:themeColor="text1"/>
          <w:sz w:val="22"/>
          <w:szCs w:val="22"/>
          <w:u w:val="single"/>
          <w:lang w:val="mk-MK"/>
        </w:rPr>
        <w:t>Европската социјална повелба</w:t>
      </w:r>
      <w:bookmarkEnd w:id="50"/>
    </w:p>
    <w:p w14:paraId="70389C0B" w14:textId="2DEDA101" w:rsidR="005B6BA9" w:rsidRDefault="007F75A7" w:rsidP="005B6BA9">
      <w:pPr>
        <w:pStyle w:val="BodyText"/>
        <w:spacing w:before="240"/>
        <w:jc w:val="both"/>
        <w:rPr>
          <w:lang w:val="mk-MK"/>
        </w:rPr>
      </w:pPr>
      <w:r>
        <w:rPr>
          <w:lang w:val="mk-MK"/>
        </w:rPr>
        <w:tab/>
      </w:r>
      <w:r w:rsidRPr="007F75A7">
        <w:rPr>
          <w:lang w:val="mk-MK"/>
        </w:rPr>
        <w:t xml:space="preserve">Член 29 од Европската социјална повелба, кој го гарантира правото на работниците да бидат информирани и консултирани во случаи на колективни отпуштања, претставува клучен стандард за заштита на работната сила во моменти кога претпријатието се соочува со сериозни економски, технолошки или организациски промени. Овој член </w:t>
      </w:r>
      <w:r w:rsidR="00F36B37">
        <w:rPr>
          <w:lang w:val="mk-MK"/>
        </w:rPr>
        <w:t>се базира</w:t>
      </w:r>
      <w:r w:rsidRPr="007F75A7">
        <w:rPr>
          <w:lang w:val="mk-MK"/>
        </w:rPr>
        <w:t xml:space="preserve"> на идејата дека сериозните последици од колективните отпуштања не смеат да бидат третирани еднострано, туку дека работниците мора да бидат навремено и суштински вклучени во процесот на донесување одлуки. Член 29 ја истакнува обврската на работодавачите да ги информираат претставниците на работниците за причините, обемот и времето на планираните отпуштања и да водат со нив конструктивни консултации со цел да се избегнат, намалат или ублажат последиците од таквите мерки.</w:t>
      </w:r>
    </w:p>
    <w:p w14:paraId="1C360E5E" w14:textId="4E6C994E" w:rsidR="007F75A7" w:rsidRDefault="007F75A7" w:rsidP="005B6BA9">
      <w:pPr>
        <w:pStyle w:val="BodyText"/>
        <w:spacing w:before="240"/>
        <w:jc w:val="both"/>
        <w:rPr>
          <w:lang w:val="mk-MK"/>
        </w:rPr>
      </w:pPr>
      <w:r>
        <w:rPr>
          <w:lang w:val="mk-MK"/>
        </w:rPr>
        <w:tab/>
      </w:r>
      <w:r w:rsidRPr="007F75A7">
        <w:rPr>
          <w:lang w:val="mk-MK"/>
        </w:rPr>
        <w:t>Практиката на Европскиот комитет за социјални права укажува дека информирањето мора да биде навремено, потполно и релевантно, за работничките претставници да можат реално да проценат дали планираните отпуштања се оправдани и дали постојат алтернативни решенија, како што се прераспределба на работата, преобука или привремени мерки за адаптација.</w:t>
      </w:r>
      <w:r w:rsidR="005B68C1">
        <w:rPr>
          <w:rStyle w:val="FootnoteReference"/>
          <w:lang w:val="mk-MK"/>
        </w:rPr>
        <w:footnoteReference w:id="473"/>
      </w:r>
      <w:r w:rsidRPr="007F75A7">
        <w:rPr>
          <w:lang w:val="mk-MK"/>
        </w:rPr>
        <w:t xml:space="preserve"> Консултацијата, пак, мора да има вистинска цел, односно да биде спроведена пред донесувањето на конечната одлука, така што гласот на работниците да може влијателно да се земе предвид. Комитетот нагласува дека суштината на </w:t>
      </w:r>
      <w:r w:rsidR="00D916A9">
        <w:rPr>
          <w:lang w:val="mk-MK"/>
        </w:rPr>
        <w:t>ч</w:t>
      </w:r>
      <w:r w:rsidRPr="007F75A7">
        <w:rPr>
          <w:lang w:val="mk-MK"/>
        </w:rPr>
        <w:t>лен 29 е да спречи едностранo извршување на мерки со големи социјални последици и да го промовира дијалогот како средство за минимизирање на социјалната цена на реструктурирањето.</w:t>
      </w:r>
    </w:p>
    <w:p w14:paraId="44D7724A" w14:textId="6D7ECDED" w:rsidR="008A3C3B" w:rsidRPr="008A3C3B" w:rsidRDefault="00E90763" w:rsidP="00F80721">
      <w:pPr>
        <w:pStyle w:val="BodyText"/>
        <w:spacing w:before="240"/>
        <w:jc w:val="both"/>
        <w:rPr>
          <w:lang w:val="mk-MK"/>
        </w:rPr>
      </w:pPr>
      <w:r>
        <w:rPr>
          <w:lang w:val="mk-MK"/>
        </w:rPr>
        <w:tab/>
      </w:r>
      <w:r w:rsidRPr="00E90763">
        <w:rPr>
          <w:lang w:val="mk-MK"/>
        </w:rPr>
        <w:t xml:space="preserve">Во Македонија, каде што колективните отпуштања често се одвиваат во услови на ограничена транспарентност, недоволна комуникација и недолно развиена култура на учество, стандардите од </w:t>
      </w:r>
      <w:r w:rsidR="00752F24">
        <w:rPr>
          <w:lang w:val="mk-MK"/>
        </w:rPr>
        <w:t>ч</w:t>
      </w:r>
      <w:r w:rsidRPr="00E90763">
        <w:rPr>
          <w:lang w:val="mk-MK"/>
        </w:rPr>
        <w:t xml:space="preserve">лен 29 поставуваат јасни ориентири за реформа. Иако законодавството предвидува одредени процедури за известување и консултации, практиката често покажува дека тие </w:t>
      </w:r>
      <w:r w:rsidR="00667598">
        <w:rPr>
          <w:lang w:val="mk-MK"/>
        </w:rPr>
        <w:t xml:space="preserve">не </w:t>
      </w:r>
      <w:r w:rsidRPr="00E90763">
        <w:rPr>
          <w:lang w:val="mk-MK"/>
        </w:rPr>
        <w:t xml:space="preserve">се исполнуваат </w:t>
      </w:r>
      <w:r w:rsidR="00667598">
        <w:rPr>
          <w:lang w:val="mk-MK"/>
        </w:rPr>
        <w:t xml:space="preserve">или се исполнуваат чисто </w:t>
      </w:r>
      <w:r w:rsidRPr="00E90763">
        <w:rPr>
          <w:lang w:val="mk-MK"/>
        </w:rPr>
        <w:t xml:space="preserve">формално, без суштинска дискусија или можност за влијание врз исходот. Ова ја </w:t>
      </w:r>
      <w:r w:rsidRPr="00E90763">
        <w:rPr>
          <w:lang w:val="mk-MK"/>
        </w:rPr>
        <w:lastRenderedPageBreak/>
        <w:t xml:space="preserve">ограничува способноста на работниците да се подготват за последиците и ја слабее стратегиската улога што социјалниот дијалог треба да ја има во процесите на реструктурирање. Европската социјална повелба, преку </w:t>
      </w:r>
      <w:r w:rsidR="00DC1333">
        <w:rPr>
          <w:lang w:val="mk-MK"/>
        </w:rPr>
        <w:t>овој член</w:t>
      </w:r>
      <w:r w:rsidRPr="00E90763">
        <w:rPr>
          <w:lang w:val="mk-MK"/>
        </w:rPr>
        <w:t>, нуди европски стандард кој инсистира на навремено известување, реални консултации и активно учество како минимални услови за фер и одговорно управување со економските кризи и организациските промени.</w:t>
      </w:r>
      <w:r w:rsidR="00F80721">
        <w:rPr>
          <w:lang w:val="mk-MK"/>
        </w:rPr>
        <w:t xml:space="preserve"> Во останатите поглавја, ќе биде разгледано како генералната реформа на системот на корпоративно управување може да го вклучи и овој дел. </w:t>
      </w:r>
    </w:p>
    <w:p w14:paraId="363AB2D4" w14:textId="083A253F" w:rsidR="002777A4" w:rsidRDefault="000C11F6" w:rsidP="000C11F6">
      <w:pPr>
        <w:pStyle w:val="Heading2"/>
        <w:numPr>
          <w:ilvl w:val="0"/>
          <w:numId w:val="0"/>
        </w:numPr>
        <w:rPr>
          <w:rFonts w:ascii="Times New Roman" w:hAnsi="Times New Roman" w:cs="Times New Roman"/>
          <w:b w:val="0"/>
          <w:bCs w:val="0"/>
          <w:color w:val="000000" w:themeColor="text1"/>
          <w:sz w:val="24"/>
          <w:szCs w:val="24"/>
          <w:lang w:val="mk-MK"/>
        </w:rPr>
      </w:pPr>
      <w:bookmarkStart w:id="51" w:name="_Toc230523904"/>
      <w:r w:rsidRPr="004A51D9">
        <w:rPr>
          <w:rFonts w:ascii="Times New Roman" w:hAnsi="Times New Roman" w:cs="Times New Roman"/>
          <w:b w:val="0"/>
          <w:bCs w:val="0"/>
          <w:color w:val="000000" w:themeColor="text1"/>
          <w:sz w:val="24"/>
          <w:szCs w:val="24"/>
          <w:lang w:val="mk-MK"/>
        </w:rPr>
        <w:t>4.</w:t>
      </w:r>
      <w:r w:rsidR="0038384D">
        <w:rPr>
          <w:rFonts w:ascii="Times New Roman" w:hAnsi="Times New Roman" w:cs="Times New Roman"/>
          <w:b w:val="0"/>
          <w:bCs w:val="0"/>
          <w:color w:val="000000" w:themeColor="text1"/>
          <w:sz w:val="24"/>
          <w:szCs w:val="24"/>
          <w:lang w:val="mk-MK"/>
        </w:rPr>
        <w:t>4</w:t>
      </w:r>
      <w:r w:rsidRPr="004A51D9">
        <w:rPr>
          <w:rFonts w:ascii="Times New Roman" w:hAnsi="Times New Roman" w:cs="Times New Roman"/>
          <w:b w:val="0"/>
          <w:bCs w:val="0"/>
          <w:color w:val="000000" w:themeColor="text1"/>
          <w:sz w:val="24"/>
          <w:szCs w:val="24"/>
          <w:lang w:val="mk-MK"/>
        </w:rPr>
        <w:t xml:space="preserve">. </w:t>
      </w:r>
      <w:r w:rsidR="002777A4" w:rsidRPr="004A51D9">
        <w:rPr>
          <w:rFonts w:ascii="Times New Roman" w:hAnsi="Times New Roman" w:cs="Times New Roman"/>
          <w:b w:val="0"/>
          <w:bCs w:val="0"/>
          <w:color w:val="000000" w:themeColor="text1"/>
          <w:sz w:val="24"/>
          <w:szCs w:val="24"/>
          <w:lang w:val="mk-MK"/>
        </w:rPr>
        <w:t>Препораките на Комитетот на министри</w:t>
      </w:r>
      <w:bookmarkEnd w:id="51"/>
      <w:r w:rsidR="002777A4" w:rsidRPr="004A51D9">
        <w:rPr>
          <w:rFonts w:ascii="Times New Roman" w:hAnsi="Times New Roman" w:cs="Times New Roman"/>
          <w:b w:val="0"/>
          <w:bCs w:val="0"/>
          <w:color w:val="000000" w:themeColor="text1"/>
          <w:sz w:val="24"/>
          <w:szCs w:val="24"/>
          <w:lang w:val="mk-MK"/>
        </w:rPr>
        <w:t xml:space="preserve"> </w:t>
      </w:r>
    </w:p>
    <w:p w14:paraId="361EBCD4" w14:textId="2B4C5107" w:rsidR="00F80721" w:rsidRDefault="001D0D1F" w:rsidP="001D0D1F">
      <w:pPr>
        <w:pStyle w:val="BodyText"/>
        <w:spacing w:before="240"/>
        <w:ind w:firstLine="720"/>
        <w:jc w:val="both"/>
        <w:rPr>
          <w:lang w:val="en-US" w:eastAsia="zh-CN" w:bidi="hi-IN"/>
        </w:rPr>
      </w:pPr>
      <w:r w:rsidRPr="001D0D1F">
        <w:rPr>
          <w:lang w:val="mk-MK" w:eastAsia="zh-CN" w:bidi="hi-IN"/>
        </w:rPr>
        <w:t>Препораките на Комитетот на министри имаат посебно место во системот на Советот на Европа затоа што претставуваат нормативно значајни, но флексибилни инструменти насочени кон поддршка на државите во имплементацијата на европските стандарди. Тие не создаваат директни правни обврски како што тоа го прават Европската конвенција за човекови права или Европската социјална повелба, но имаат силен политички, интерпретативен и насочувачки ефект. Комитетот на министри, како највисок политички орган на Советот на Европа, ги усвојува препораките тогаш кога проценува дека постои потреба да се продлабочи, прецизира или унапреди примената на постојните стандарди, или кога одредена област бара нови ориентациски принципи заради општествените, економските или технолошките промени.</w:t>
      </w:r>
      <w:r w:rsidR="000F6717">
        <w:rPr>
          <w:rStyle w:val="FootnoteReference"/>
          <w:lang w:val="mk-MK" w:eastAsia="zh-CN" w:bidi="hi-IN"/>
        </w:rPr>
        <w:footnoteReference w:id="474"/>
      </w:r>
    </w:p>
    <w:p w14:paraId="7A2E255D" w14:textId="30261DC0" w:rsidR="000F6717" w:rsidRDefault="00C72CBD" w:rsidP="001D0D1F">
      <w:pPr>
        <w:pStyle w:val="BodyText"/>
        <w:spacing w:before="240"/>
        <w:ind w:firstLine="720"/>
        <w:jc w:val="both"/>
        <w:rPr>
          <w:lang w:val="mk-MK" w:eastAsia="zh-CN" w:bidi="hi-IN"/>
        </w:rPr>
      </w:pPr>
      <w:r w:rsidRPr="00C72CBD">
        <w:rPr>
          <w:lang w:val="mk-MK" w:eastAsia="zh-CN" w:bidi="hi-IN"/>
        </w:rPr>
        <w:t>Една од главните функции на препораките е тоа што го конкретизираат значењето на меѓународните обврски, особено кога тие се формулирани широко или оставаат простор за различно национално толкување. Комитетот на министри го прави тоа со давање прецизни насоки за законодавните, институционалните и практичните мерки што државите треба да ги разгледаат за да постигнат усогласеност со стандардите на Советот на Европа.</w:t>
      </w:r>
      <w:r w:rsidR="00952DC2">
        <w:rPr>
          <w:rStyle w:val="FootnoteReference"/>
          <w:lang w:val="mk-MK" w:eastAsia="zh-CN" w:bidi="hi-IN"/>
        </w:rPr>
        <w:footnoteReference w:id="475"/>
      </w:r>
      <w:r w:rsidRPr="00C72CBD">
        <w:rPr>
          <w:lang w:val="mk-MK" w:eastAsia="zh-CN" w:bidi="hi-IN"/>
        </w:rPr>
        <w:t xml:space="preserve"> Овој процес е плод на експертски анализи, компаративни прегледи и препознавање на најдобрите практики на државите членки, што значи дека препораките ја содржат кумулативната експертиза на организацијата и претставуваат еден вид „европски компас“ за политики.</w:t>
      </w:r>
    </w:p>
    <w:p w14:paraId="0C39FCE9" w14:textId="1DE4C9C5" w:rsidR="000E7A32" w:rsidRDefault="000E7A32" w:rsidP="001D0D1F">
      <w:pPr>
        <w:pStyle w:val="BodyText"/>
        <w:spacing w:before="240"/>
        <w:ind w:firstLine="720"/>
        <w:jc w:val="both"/>
        <w:rPr>
          <w:lang w:val="mk-MK" w:eastAsia="zh-CN" w:bidi="hi-IN"/>
        </w:rPr>
      </w:pPr>
      <w:r w:rsidRPr="000E7A32">
        <w:rPr>
          <w:lang w:val="mk-MK" w:eastAsia="zh-CN" w:bidi="hi-IN"/>
        </w:rPr>
        <w:t xml:space="preserve">Во областите што се поврзани со </w:t>
      </w:r>
      <w:r>
        <w:rPr>
          <w:lang w:val="mk-MK" w:eastAsia="zh-CN" w:bidi="hi-IN"/>
        </w:rPr>
        <w:t>деловното</w:t>
      </w:r>
      <w:r w:rsidRPr="000E7A32">
        <w:rPr>
          <w:lang w:val="mk-MK" w:eastAsia="zh-CN" w:bidi="hi-IN"/>
        </w:rPr>
        <w:t xml:space="preserve"> право, учеството на работниците и корпоративното управување, препораките имаат особено значење. Тие често се користат за да ги разјаснат обврските од Европската социјална повелба и да предложат модели и механизми што дока</w:t>
      </w:r>
      <w:r>
        <w:rPr>
          <w:lang w:val="mk-MK" w:eastAsia="zh-CN" w:bidi="hi-IN"/>
        </w:rPr>
        <w:t>ж</w:t>
      </w:r>
      <w:r w:rsidRPr="000E7A32">
        <w:rPr>
          <w:lang w:val="mk-MK" w:eastAsia="zh-CN" w:bidi="hi-IN"/>
        </w:rPr>
        <w:t xml:space="preserve">ано функционираат во европскиот контекст. На пример, препораките се однесуваат на јакнење на социјалниот дијалог, подобрување на механизмите за информирање и консултација, заштита на претставниците на работниците, управување со процесите на реструктурирање, создавање транспарентни работни практики и развивање современи системи за учество на работниците во одлучувањето. </w:t>
      </w:r>
      <w:r w:rsidR="001D7E8D">
        <w:rPr>
          <w:lang w:val="mk-MK" w:eastAsia="zh-CN" w:bidi="hi-IN"/>
        </w:rPr>
        <w:t xml:space="preserve">Речиси </w:t>
      </w:r>
      <w:r w:rsidRPr="000E7A32">
        <w:rPr>
          <w:lang w:val="mk-MK" w:eastAsia="zh-CN" w:bidi="hi-IN"/>
        </w:rPr>
        <w:t>секоја препорака содржи и детални насоки за тоа какви законски измени, институционални реформи или административни практики би биле соодветни за државите да воспостават ефективни и модерни системи.</w:t>
      </w:r>
    </w:p>
    <w:p w14:paraId="42ABE273" w14:textId="24D2C820" w:rsidR="00715898" w:rsidRDefault="00715898" w:rsidP="001D0D1F">
      <w:pPr>
        <w:pStyle w:val="BodyText"/>
        <w:spacing w:before="240"/>
        <w:ind w:firstLine="720"/>
        <w:jc w:val="both"/>
        <w:rPr>
          <w:lang w:val="mk-MK" w:eastAsia="zh-CN" w:bidi="hi-IN"/>
        </w:rPr>
      </w:pPr>
      <w:r w:rsidRPr="00715898">
        <w:rPr>
          <w:lang w:val="mk-MK" w:eastAsia="zh-CN" w:bidi="hi-IN"/>
        </w:rPr>
        <w:t xml:space="preserve">Дополнително, </w:t>
      </w:r>
      <w:r w:rsidR="00BB7ED3" w:rsidRPr="00715898">
        <w:rPr>
          <w:lang w:val="mk-MK" w:eastAsia="zh-CN" w:bidi="hi-IN"/>
        </w:rPr>
        <w:t>иако индиректно</w:t>
      </w:r>
      <w:r w:rsidR="00BB7ED3">
        <w:rPr>
          <w:lang w:val="mk-MK" w:eastAsia="zh-CN" w:bidi="hi-IN"/>
        </w:rPr>
        <w:t xml:space="preserve">, </w:t>
      </w:r>
      <w:r w:rsidRPr="00715898">
        <w:rPr>
          <w:lang w:val="mk-MK" w:eastAsia="zh-CN" w:bidi="hi-IN"/>
        </w:rPr>
        <w:t xml:space="preserve">препораките имаат суштинска улога </w:t>
      </w:r>
      <w:r w:rsidR="00BB7ED3">
        <w:rPr>
          <w:lang w:val="mk-MK" w:eastAsia="zh-CN" w:bidi="hi-IN"/>
        </w:rPr>
        <w:t xml:space="preserve">и </w:t>
      </w:r>
      <w:r w:rsidRPr="00715898">
        <w:rPr>
          <w:lang w:val="mk-MK" w:eastAsia="zh-CN" w:bidi="hi-IN"/>
        </w:rPr>
        <w:t xml:space="preserve">во мониторингот на обврските. Тие често се повикуваат </w:t>
      </w:r>
      <w:r w:rsidR="00BB7ED3">
        <w:rPr>
          <w:lang w:val="mk-MK" w:eastAsia="zh-CN" w:bidi="hi-IN"/>
        </w:rPr>
        <w:t>на</w:t>
      </w:r>
      <w:r w:rsidRPr="00715898">
        <w:rPr>
          <w:lang w:val="mk-MK" w:eastAsia="zh-CN" w:bidi="hi-IN"/>
        </w:rPr>
        <w:t xml:space="preserve"> извештаите на надзорните тела, како Европскиот комитет за социјални права, кој ги зема предвид како релевантни стандарди при толкувањето на обврските од Повелбата. На тој начин, иако не се правно </w:t>
      </w:r>
      <w:r w:rsidRPr="00715898">
        <w:rPr>
          <w:lang w:val="mk-MK" w:eastAsia="zh-CN" w:bidi="hi-IN"/>
        </w:rPr>
        <w:lastRenderedPageBreak/>
        <w:t>обврзувачки, препораките влијаат врз развојот на правото во државите членки преку постепено создавање очекувани стандарди. Многу држави ги користат овие документи како референтни точки при подготовка на национални стратегии, планови за реформи или измени на трудовото, синдикалното или корпоративното законодавство.</w:t>
      </w:r>
    </w:p>
    <w:p w14:paraId="44769A43" w14:textId="7545E301" w:rsidR="00856EFC" w:rsidRDefault="00E03969" w:rsidP="001D0D1F">
      <w:pPr>
        <w:pStyle w:val="BodyText"/>
        <w:spacing w:before="240"/>
        <w:ind w:firstLine="720"/>
        <w:jc w:val="both"/>
        <w:rPr>
          <w:lang w:val="mk-MK" w:eastAsia="zh-CN" w:bidi="hi-IN"/>
        </w:rPr>
      </w:pPr>
      <w:r w:rsidRPr="00E03969">
        <w:rPr>
          <w:lang w:val="mk-MK" w:eastAsia="zh-CN" w:bidi="hi-IN"/>
        </w:rPr>
        <w:t xml:space="preserve">Важен елемент е и тоа што препораките ја </w:t>
      </w:r>
      <w:r>
        <w:rPr>
          <w:lang w:val="mk-MK" w:eastAsia="zh-CN" w:bidi="hi-IN"/>
        </w:rPr>
        <w:t xml:space="preserve">дефинираат </w:t>
      </w:r>
      <w:r w:rsidRPr="00E03969">
        <w:rPr>
          <w:lang w:val="mk-MK" w:eastAsia="zh-CN" w:bidi="hi-IN"/>
        </w:rPr>
        <w:t>улогата на државата како активен регулатор, но и на работодавачите и синдикатите како партнери во системот на индустриски односи.</w:t>
      </w:r>
      <w:r w:rsidR="00ED5BE4">
        <w:rPr>
          <w:rStyle w:val="FootnoteReference"/>
          <w:lang w:val="mk-MK" w:eastAsia="zh-CN" w:bidi="hi-IN"/>
        </w:rPr>
        <w:footnoteReference w:id="476"/>
      </w:r>
      <w:r w:rsidRPr="00E03969">
        <w:rPr>
          <w:lang w:val="mk-MK" w:eastAsia="zh-CN" w:bidi="hi-IN"/>
        </w:rPr>
        <w:t xml:space="preserve"> Советот на Европа преку нив покажува дека ефективниот социјален дијалог не произлегува само од законските норми, туку и од практиките, инфраструктурата, довербата и капацитетите на сите вклучени актери. Затоа, препораките често содржат и насоки за развивање на институционални механизми, обуки, процедури за медијација, форми на колективно договарање и практични алатки за унапредување на корпоративната демократија.</w:t>
      </w:r>
    </w:p>
    <w:p w14:paraId="373B9EF1" w14:textId="1F09ED2C" w:rsidR="000A2C43" w:rsidRDefault="0069744B" w:rsidP="001D0D1F">
      <w:pPr>
        <w:pStyle w:val="BodyText"/>
        <w:spacing w:before="240"/>
        <w:ind w:firstLine="720"/>
        <w:jc w:val="both"/>
        <w:rPr>
          <w:lang w:val="mk-MK" w:eastAsia="zh-CN" w:bidi="hi-IN"/>
        </w:rPr>
      </w:pPr>
      <w:r w:rsidRPr="0069744B">
        <w:rPr>
          <w:lang w:val="mk-MK" w:eastAsia="zh-CN" w:bidi="hi-IN"/>
        </w:rPr>
        <w:t xml:space="preserve">Преку овие инструменти, Советот на Европа создава динамична врска </w:t>
      </w:r>
      <w:r w:rsidR="00A0415E">
        <w:rPr>
          <w:lang w:val="mk-MK" w:eastAsia="zh-CN" w:bidi="hi-IN"/>
        </w:rPr>
        <w:t>по</w:t>
      </w:r>
      <w:r w:rsidRPr="0069744B">
        <w:rPr>
          <w:lang w:val="mk-MK" w:eastAsia="zh-CN" w:bidi="hi-IN"/>
        </w:rPr>
        <w:t>меѓу принципите и практиката. Препораките постојано се ажурираат и донесуваат во согласност со современите предизвици, како дигитализацијата, новите форми на работа</w:t>
      </w:r>
      <w:r w:rsidR="00A0415E">
        <w:rPr>
          <w:lang w:val="mk-MK" w:eastAsia="zh-CN" w:bidi="hi-IN"/>
        </w:rPr>
        <w:t xml:space="preserve"> и управување</w:t>
      </w:r>
      <w:r w:rsidRPr="0069744B">
        <w:rPr>
          <w:lang w:val="mk-MK" w:eastAsia="zh-CN" w:bidi="hi-IN"/>
        </w:rPr>
        <w:t>, миграциите, реструктурирањето на индустријата</w:t>
      </w:r>
      <w:r w:rsidR="00A0415E">
        <w:rPr>
          <w:lang w:val="mk-MK" w:eastAsia="zh-CN" w:bidi="hi-IN"/>
        </w:rPr>
        <w:t>, вештачката интелигенција</w:t>
      </w:r>
      <w:r w:rsidRPr="0069744B">
        <w:rPr>
          <w:lang w:val="mk-MK" w:eastAsia="zh-CN" w:bidi="hi-IN"/>
        </w:rPr>
        <w:t xml:space="preserve"> и општествените промени што ги засегаат </w:t>
      </w:r>
      <w:r w:rsidR="00D74CC2">
        <w:rPr>
          <w:lang w:val="mk-MK" w:eastAsia="zh-CN" w:bidi="hi-IN"/>
        </w:rPr>
        <w:t>вработените и трговските друштва</w:t>
      </w:r>
      <w:r w:rsidRPr="0069744B">
        <w:rPr>
          <w:lang w:val="mk-MK" w:eastAsia="zh-CN" w:bidi="hi-IN"/>
        </w:rPr>
        <w:t>. Ова им овозможува на државите да имаат ориентирачки документ кој е релевантен, современ и применлив, без разлика на тоа под кои економски услови функционираат.</w:t>
      </w:r>
    </w:p>
    <w:p w14:paraId="0D34C031" w14:textId="0428F9E9" w:rsidR="00F80721" w:rsidRPr="00F80721" w:rsidRDefault="0069744B" w:rsidP="00D74CC2">
      <w:pPr>
        <w:pStyle w:val="BodyText"/>
        <w:spacing w:before="240"/>
        <w:ind w:firstLine="720"/>
        <w:jc w:val="both"/>
        <w:rPr>
          <w:lang w:val="mk-MK" w:eastAsia="zh-CN" w:bidi="hi-IN"/>
        </w:rPr>
      </w:pPr>
      <w:r w:rsidRPr="0069744B">
        <w:rPr>
          <w:lang w:val="mk-MK" w:eastAsia="zh-CN" w:bidi="hi-IN"/>
        </w:rPr>
        <w:t>Во случајот на Македонија, препораките на Комитетот на министри се исклучително корисен инструмент бидејќи овозможуваат јасно споредување на националните политики со европските стандарди и отвораат простор за идентификување на празнините, слабостите и потребните реформи.</w:t>
      </w:r>
      <w:r w:rsidR="0016450E">
        <w:rPr>
          <w:rStyle w:val="FootnoteReference"/>
          <w:lang w:val="mk-MK" w:eastAsia="zh-CN" w:bidi="hi-IN"/>
        </w:rPr>
        <w:footnoteReference w:id="477"/>
      </w:r>
      <w:r w:rsidRPr="0069744B">
        <w:rPr>
          <w:lang w:val="mk-MK" w:eastAsia="zh-CN" w:bidi="hi-IN"/>
        </w:rPr>
        <w:t xml:space="preserve"> Преку нив, може прецизно да се оцени до кој степен земјата го следи европскиот развој во областа на </w:t>
      </w:r>
      <w:r w:rsidR="00A865F1">
        <w:rPr>
          <w:lang w:val="mk-MK" w:eastAsia="zh-CN" w:bidi="hi-IN"/>
        </w:rPr>
        <w:t>деловното</w:t>
      </w:r>
      <w:r w:rsidRPr="0069744B">
        <w:rPr>
          <w:lang w:val="mk-MK" w:eastAsia="zh-CN" w:bidi="hi-IN"/>
        </w:rPr>
        <w:t xml:space="preserve"> право, учеството на работниците, социјалната политика и корпоративното управување. Тие се особено релевантни затоа што овозможуваат постепено и практично усогласување, без да наметнат директни правни обврски, но со јасен европски </w:t>
      </w:r>
      <w:r w:rsidR="00A865F1">
        <w:rPr>
          <w:lang w:val="mk-MK" w:eastAsia="zh-CN" w:bidi="hi-IN"/>
        </w:rPr>
        <w:t>прирачник</w:t>
      </w:r>
      <w:r w:rsidRPr="0069744B">
        <w:rPr>
          <w:lang w:val="mk-MK" w:eastAsia="zh-CN" w:bidi="hi-IN"/>
        </w:rPr>
        <w:t>.</w:t>
      </w:r>
      <w:r w:rsidR="004B582B">
        <w:rPr>
          <w:lang w:val="mk-MK" w:eastAsia="zh-CN" w:bidi="hi-IN"/>
        </w:rPr>
        <w:t xml:space="preserve"> </w:t>
      </w:r>
      <w:r w:rsidR="004B582B" w:rsidRPr="004B582B">
        <w:rPr>
          <w:lang w:val="mk-MK" w:eastAsia="zh-CN" w:bidi="hi-IN"/>
        </w:rPr>
        <w:t xml:space="preserve">Следниот </w:t>
      </w:r>
      <w:r w:rsidR="004B582B">
        <w:rPr>
          <w:lang w:val="mk-MK" w:eastAsia="zh-CN" w:bidi="hi-IN"/>
        </w:rPr>
        <w:t xml:space="preserve">поднаслов конкретно </w:t>
      </w:r>
      <w:r w:rsidR="004B582B" w:rsidRPr="004B582B">
        <w:rPr>
          <w:lang w:val="mk-MK" w:eastAsia="zh-CN" w:bidi="hi-IN"/>
        </w:rPr>
        <w:t>ќе го разгледа токму ова</w:t>
      </w:r>
      <w:r w:rsidR="004B582B">
        <w:rPr>
          <w:lang w:val="mk-MK" w:eastAsia="zh-CN" w:bidi="hi-IN"/>
        </w:rPr>
        <w:t xml:space="preserve"> и ќе одговори</w:t>
      </w:r>
      <w:r w:rsidR="004B582B" w:rsidRPr="004B582B">
        <w:rPr>
          <w:lang w:val="mk-MK" w:eastAsia="zh-CN" w:bidi="hi-IN"/>
        </w:rPr>
        <w:t xml:space="preserve"> до каде е Македонија во имплементацијата на овие стандарди и кои се областите во кои има напредок, застој или потреба од суштински промени.</w:t>
      </w:r>
    </w:p>
    <w:p w14:paraId="01347809" w14:textId="77777777" w:rsidR="00D74CC2" w:rsidRDefault="000C11F6" w:rsidP="00D33B90">
      <w:pPr>
        <w:pStyle w:val="Heading2"/>
        <w:numPr>
          <w:ilvl w:val="0"/>
          <w:numId w:val="0"/>
        </w:numPr>
        <w:spacing w:after="240"/>
        <w:jc w:val="both"/>
        <w:rPr>
          <w:rFonts w:ascii="Times New Roman" w:hAnsi="Times New Roman" w:cs="Times New Roman"/>
          <w:b w:val="0"/>
          <w:bCs w:val="0"/>
          <w:color w:val="000000" w:themeColor="text1"/>
          <w:sz w:val="24"/>
          <w:szCs w:val="24"/>
          <w:lang w:val="mk-MK"/>
        </w:rPr>
      </w:pPr>
      <w:bookmarkStart w:id="52" w:name="_Toc230523905"/>
      <w:r w:rsidRPr="004A51D9">
        <w:rPr>
          <w:rFonts w:ascii="Times New Roman" w:hAnsi="Times New Roman" w:cs="Times New Roman"/>
          <w:b w:val="0"/>
          <w:bCs w:val="0"/>
          <w:color w:val="000000" w:themeColor="text1"/>
          <w:sz w:val="24"/>
          <w:szCs w:val="24"/>
          <w:lang w:val="mk-MK"/>
        </w:rPr>
        <w:t xml:space="preserve">4.5. </w:t>
      </w:r>
      <w:r w:rsidR="002777A4" w:rsidRPr="004A51D9">
        <w:rPr>
          <w:rFonts w:ascii="Times New Roman" w:hAnsi="Times New Roman" w:cs="Times New Roman"/>
          <w:b w:val="0"/>
          <w:bCs w:val="0"/>
          <w:color w:val="000000" w:themeColor="text1"/>
          <w:sz w:val="24"/>
          <w:szCs w:val="24"/>
          <w:lang w:val="mk-MK"/>
        </w:rPr>
        <w:t xml:space="preserve">Степенот </w:t>
      </w:r>
      <w:r w:rsidRPr="004A51D9">
        <w:rPr>
          <w:rFonts w:ascii="Times New Roman" w:hAnsi="Times New Roman" w:cs="Times New Roman"/>
          <w:b w:val="0"/>
          <w:bCs w:val="0"/>
          <w:color w:val="000000" w:themeColor="text1"/>
          <w:sz w:val="24"/>
          <w:szCs w:val="24"/>
          <w:lang w:val="mk-MK"/>
        </w:rPr>
        <w:t>на усогласеност на Македонија со стандардите на Советот на Европа</w:t>
      </w:r>
      <w:bookmarkEnd w:id="52"/>
    </w:p>
    <w:p w14:paraId="31D2808B" w14:textId="2E183F72" w:rsidR="002D1F54" w:rsidRDefault="004B582B" w:rsidP="00DA17E9">
      <w:pPr>
        <w:pStyle w:val="BodyText"/>
        <w:ind w:firstLine="720"/>
        <w:jc w:val="both"/>
        <w:rPr>
          <w:lang w:val="mk-MK"/>
        </w:rPr>
      </w:pPr>
      <w:r w:rsidRPr="004B582B">
        <w:rPr>
          <w:lang w:val="mk-MK"/>
        </w:rPr>
        <w:t xml:space="preserve">Степенот на усогласеност на Македонија со стандардите на Советот на Европа може најдобро да се оцени преку тоа како државата ги прифаќа и спроведува обврските што произлегуваат од </w:t>
      </w:r>
      <w:r w:rsidR="00BB2CE2">
        <w:rPr>
          <w:lang w:val="mk-MK"/>
        </w:rPr>
        <w:t>горенаведените извори</w:t>
      </w:r>
      <w:r w:rsidRPr="004B582B">
        <w:rPr>
          <w:lang w:val="mk-MK"/>
        </w:rPr>
        <w:t xml:space="preserve">. Формално, Македонија е дел од </w:t>
      </w:r>
      <w:r w:rsidR="00517668">
        <w:rPr>
          <w:lang w:val="mk-MK"/>
        </w:rPr>
        <w:t xml:space="preserve">ЕКЧП, ЕСЧП, </w:t>
      </w:r>
      <w:r w:rsidRPr="004B582B">
        <w:rPr>
          <w:lang w:val="mk-MK"/>
        </w:rPr>
        <w:t>нормативната рамка на Повелбата и редовно доставува национални извештаи за спроведувањето на различни одредби</w:t>
      </w:r>
      <w:r w:rsidR="00517668">
        <w:rPr>
          <w:lang w:val="mk-MK"/>
        </w:rPr>
        <w:t xml:space="preserve"> од Повелбата</w:t>
      </w:r>
      <w:r w:rsidRPr="004B582B">
        <w:rPr>
          <w:lang w:val="mk-MK"/>
        </w:rPr>
        <w:t xml:space="preserve">. Овие извештаи покажуваат институционализиран процес на известување и одредена стабилност во односите со Советот на Европа, што укажува на тоа дека државата ја препознава важноста на сеопфатниот систем на социјални и економски права. Во последните години се доставуваат периодични извештаи за различни групи права, што претставува основа за дијалог со Европскиот комитет за социјални права и создава формална инфраструктура </w:t>
      </w:r>
      <w:r w:rsidRPr="004B582B">
        <w:rPr>
          <w:lang w:val="mk-MK"/>
        </w:rPr>
        <w:lastRenderedPageBreak/>
        <w:t>за проценка на исполнувањето.</w:t>
      </w:r>
    </w:p>
    <w:p w14:paraId="6EEC93D5" w14:textId="399AADF3" w:rsidR="00A60109" w:rsidRDefault="00A60109" w:rsidP="00A60109">
      <w:pPr>
        <w:pStyle w:val="BodyText"/>
        <w:spacing w:before="240"/>
        <w:ind w:firstLine="720"/>
        <w:jc w:val="both"/>
        <w:rPr>
          <w:lang w:val="mk-MK"/>
        </w:rPr>
      </w:pPr>
      <w:r w:rsidRPr="00A60109">
        <w:rPr>
          <w:lang w:val="mk-MK"/>
        </w:rPr>
        <w:t>На база на досегашната анализа и во светло на поврзаноста меѓу Европската социјална повелба, Европската конвенција за човекови права, јуриспруденцијата на Европскиот суд за човекови права и препораките на Комитетот на министри, оценката за степенот на усогласеност на Македонија со стандардите на Советот на Европа е формално усогласена во голем дел, но со значајни празнини во материјалната и институционалната примена. Тоа значи дека на хартија постои законодавство, институционална рамка и редовно известување кон надзорните тела, но фактичката реализација на правата и доследната примена на стандардите во пракса се ограничени и нерамномерни.</w:t>
      </w:r>
    </w:p>
    <w:p w14:paraId="696D225D" w14:textId="04EBB19D" w:rsidR="009C1A56" w:rsidRDefault="009C1A56" w:rsidP="00A60109">
      <w:pPr>
        <w:pStyle w:val="BodyText"/>
        <w:spacing w:before="240"/>
        <w:ind w:firstLine="720"/>
        <w:jc w:val="both"/>
        <w:rPr>
          <w:lang w:val="mk-MK"/>
        </w:rPr>
      </w:pPr>
      <w:r w:rsidRPr="009C1A56">
        <w:rPr>
          <w:lang w:val="mk-MK"/>
        </w:rPr>
        <w:t>Во правно-институционален аспект, рамката на Македонија е во голема мера компатибилна со начелата кои произлегуваат од Повелбата и со општите принципи на Конвенцијата. Јуриспруденцијата на Европскиот суд за човекови права ја нагласува улогата на државите да обезбедат ефективни правни механизми и пристап до правна заштита, што има директен импакт врз имплементацијата на социјалните и економските стандарди. Препораките на Комитетот на министри, пак, нудат практични насоки кои можат да ги прецизираат и унапредат националните решенија. Во оваа смисла, постои правна и политичка основа врз која Македонија може да ги продолжи реформите и да ги усогласи практиките со европските стандарди.</w:t>
      </w:r>
    </w:p>
    <w:p w14:paraId="54433850" w14:textId="25EA947D" w:rsidR="004D50D5" w:rsidRDefault="004D50D5" w:rsidP="00A60109">
      <w:pPr>
        <w:pStyle w:val="BodyText"/>
        <w:spacing w:before="240"/>
        <w:ind w:firstLine="720"/>
        <w:jc w:val="both"/>
        <w:rPr>
          <w:lang w:val="mk-MK"/>
        </w:rPr>
      </w:pPr>
      <w:r w:rsidRPr="004D50D5">
        <w:rPr>
          <w:lang w:val="mk-MK"/>
        </w:rPr>
        <w:t xml:space="preserve">Практичните прекршувања во усогласеноста произлегнуваат главно од отсуство на доволни ресурси, ограничени административни капацитети и непостојана примена на законите. Доколку правните норми не се проследени со финансиски услови, обучен кадар и механизми за контрола и тајминг, нивниот ефект останува ограничен. Од друга страна, користењето на конвенциската пракса на Европскиот суд како референтен метод во домашните судови и политики е </w:t>
      </w:r>
      <w:r w:rsidR="00913EF7">
        <w:rPr>
          <w:lang w:val="mk-MK"/>
        </w:rPr>
        <w:t>непотполно</w:t>
      </w:r>
      <w:r w:rsidRPr="004D50D5">
        <w:rPr>
          <w:lang w:val="mk-MK"/>
        </w:rPr>
        <w:t>. Тоа значи дека, иако рамката постои и генералните принципи од Конвенцијата и повелбата се признати, судската и административната практика не секогаш ги интерпретира и имплементира овие стандарди на начин што ги гарантира ефективните резултати за правата.</w:t>
      </w:r>
      <w:r w:rsidR="00913EF7">
        <w:rPr>
          <w:lang w:val="mk-MK"/>
        </w:rPr>
        <w:t xml:space="preserve"> На кратко, тоа значи дека голем дел од пресудите против Македонија не се спроведуваат или се </w:t>
      </w:r>
      <w:r w:rsidR="00B55010">
        <w:rPr>
          <w:lang w:val="mk-MK"/>
        </w:rPr>
        <w:t>спроведуваат премногу бавно за да имаат реален ефект</w:t>
      </w:r>
      <w:r w:rsidR="00913EF7">
        <w:rPr>
          <w:lang w:val="mk-MK"/>
        </w:rPr>
        <w:t>.</w:t>
      </w:r>
      <w:r w:rsidR="00B55010">
        <w:rPr>
          <w:rStyle w:val="FootnoteReference"/>
          <w:lang w:val="mk-MK"/>
        </w:rPr>
        <w:footnoteReference w:id="478"/>
      </w:r>
    </w:p>
    <w:p w14:paraId="1CA467FB" w14:textId="0BAE9B7B" w:rsidR="00375AB1" w:rsidRPr="00375AB1" w:rsidRDefault="00375AB1" w:rsidP="00A60109">
      <w:pPr>
        <w:pStyle w:val="BodyText"/>
        <w:spacing w:before="240"/>
        <w:ind w:firstLine="720"/>
        <w:jc w:val="both"/>
        <w:rPr>
          <w:lang w:val="mk-MK"/>
        </w:rPr>
      </w:pPr>
      <w:r w:rsidRPr="00375AB1">
        <w:rPr>
          <w:lang w:val="mk-MK"/>
        </w:rPr>
        <w:t>Препораките на Комитетот на министри претставуваат корисна алатка која, ако се користи системски, може да го намали јазот меѓу норми</w:t>
      </w:r>
      <w:r w:rsidR="009502C0">
        <w:rPr>
          <w:lang w:val="mk-MK"/>
        </w:rPr>
        <w:t>те</w:t>
      </w:r>
      <w:r w:rsidRPr="00375AB1">
        <w:rPr>
          <w:lang w:val="mk-MK"/>
        </w:rPr>
        <w:t xml:space="preserve"> и пракса</w:t>
      </w:r>
      <w:r w:rsidR="009502C0">
        <w:rPr>
          <w:lang w:val="mk-MK"/>
        </w:rPr>
        <w:t>та</w:t>
      </w:r>
      <w:r w:rsidRPr="00375AB1">
        <w:rPr>
          <w:lang w:val="mk-MK"/>
        </w:rPr>
        <w:t>. Тие нудат конкретни мерки и примери за унапредување на социјалниот дијалог, заштитата на работничките претставници, мерки при колективни отпуштања, пристапот до социјални услуги и други клучни области. За Македонија</w:t>
      </w:r>
      <w:r w:rsidR="00C9232D">
        <w:rPr>
          <w:lang w:val="mk-MK"/>
        </w:rPr>
        <w:t>,</w:t>
      </w:r>
      <w:r w:rsidRPr="00375AB1">
        <w:rPr>
          <w:lang w:val="mk-MK"/>
        </w:rPr>
        <w:t xml:space="preserve"> највисок приоритет </w:t>
      </w:r>
      <w:r w:rsidR="00C9232D">
        <w:rPr>
          <w:lang w:val="mk-MK"/>
        </w:rPr>
        <w:t>е</w:t>
      </w:r>
      <w:r w:rsidRPr="00375AB1">
        <w:rPr>
          <w:lang w:val="mk-MK"/>
        </w:rPr>
        <w:t xml:space="preserve"> да</w:t>
      </w:r>
      <w:r w:rsidR="00C9232D">
        <w:rPr>
          <w:lang w:val="mk-MK"/>
        </w:rPr>
        <w:t xml:space="preserve"> ги</w:t>
      </w:r>
      <w:r w:rsidRPr="00375AB1">
        <w:rPr>
          <w:lang w:val="mk-MK"/>
        </w:rPr>
        <w:t xml:space="preserve"> интегрира овие препораки во националните стратегии, да ги финансира потребните мерки и да ги зајакне механизмите за национален мониторинг и зашита, вклучувајќи и оние кои обезбедуваат придржување кон јуриспруденцијата на Судот.</w:t>
      </w:r>
    </w:p>
    <w:p w14:paraId="086EE3C6" w14:textId="312BA93D" w:rsidR="00243BC0" w:rsidRDefault="00FE0485" w:rsidP="00243BC0">
      <w:pPr>
        <w:pStyle w:val="BodyText"/>
        <w:spacing w:before="240"/>
        <w:ind w:firstLine="720"/>
        <w:jc w:val="both"/>
        <w:rPr>
          <w:lang w:val="mk-MK"/>
        </w:rPr>
      </w:pPr>
      <w:r>
        <w:rPr>
          <w:lang w:val="mk-MK"/>
        </w:rPr>
        <w:t>На пример</w:t>
      </w:r>
      <w:r w:rsidR="00A60109" w:rsidRPr="00A60109">
        <w:rPr>
          <w:lang w:val="mk-MK"/>
        </w:rPr>
        <w:t>, реалната примена на стандардите од Повелбата останува нерамномерна. Државата прифатила значителен број одредби</w:t>
      </w:r>
      <w:r>
        <w:rPr>
          <w:lang w:val="mk-MK"/>
        </w:rPr>
        <w:t>, но некои</w:t>
      </w:r>
      <w:r w:rsidR="00A60109" w:rsidRPr="00A60109">
        <w:rPr>
          <w:lang w:val="mk-MK"/>
        </w:rPr>
        <w:t xml:space="preserve"> од побар</w:t>
      </w:r>
      <w:r>
        <w:rPr>
          <w:lang w:val="mk-MK"/>
        </w:rPr>
        <w:t>увањата</w:t>
      </w:r>
      <w:r w:rsidR="00A60109" w:rsidRPr="00A60109">
        <w:rPr>
          <w:lang w:val="mk-MK"/>
        </w:rPr>
        <w:t xml:space="preserve"> на Европскиот комитет за социјални права остануваат неисполнети или се исполнуваат делумно, што укажува дека правната рамка понекогаш не е придружена со соодветни политики, ресурси и институционални механизми. Дури и кај правата што се формално </w:t>
      </w:r>
      <w:r w:rsidR="00A60109" w:rsidRPr="00A60109">
        <w:rPr>
          <w:lang w:val="mk-MK"/>
        </w:rPr>
        <w:lastRenderedPageBreak/>
        <w:t xml:space="preserve">прифатени, постои очигледен дисконтинуитет </w:t>
      </w:r>
      <w:r w:rsidR="00A97441">
        <w:rPr>
          <w:lang w:val="mk-MK"/>
        </w:rPr>
        <w:t>по</w:t>
      </w:r>
      <w:r w:rsidR="00A60109" w:rsidRPr="00A60109">
        <w:rPr>
          <w:lang w:val="mk-MK"/>
        </w:rPr>
        <w:t>меѓу законските решенија и фактичките услови за нивното остварување.</w:t>
      </w:r>
      <w:r w:rsidR="003043C9">
        <w:rPr>
          <w:rStyle w:val="FootnoteReference"/>
          <w:lang w:val="mk-MK"/>
        </w:rPr>
        <w:footnoteReference w:id="479"/>
      </w:r>
      <w:r w:rsidR="00A60109" w:rsidRPr="00A60109">
        <w:rPr>
          <w:lang w:val="mk-MK"/>
        </w:rPr>
        <w:t xml:space="preserve"> На пример, постојат закони и стратешки документи што се однесуваат на здравствена заштита, социјална политика, заштита на ранливи групи, услови за работа и учество на работниците во претпријатијата, но нивната практична примена често зависи од фактори како административни капацитети, финансиски ресурси, координација </w:t>
      </w:r>
      <w:r w:rsidR="00CB51E7">
        <w:rPr>
          <w:lang w:val="mk-MK"/>
        </w:rPr>
        <w:t>по</w:t>
      </w:r>
      <w:r w:rsidR="00A60109" w:rsidRPr="00A60109">
        <w:rPr>
          <w:lang w:val="mk-MK"/>
        </w:rPr>
        <w:t>меѓу институциите и степенот на независност на надзорните тела. Во одредени области</w:t>
      </w:r>
      <w:r w:rsidR="000553A0">
        <w:rPr>
          <w:lang w:val="mk-MK"/>
        </w:rPr>
        <w:t>,</w:t>
      </w:r>
      <w:r w:rsidR="00A60109" w:rsidRPr="00A60109">
        <w:rPr>
          <w:lang w:val="mk-MK"/>
        </w:rPr>
        <w:t xml:space="preserve"> надзорните органи на Советот на Европа утврдиле дека државата не ги исполнува во целост своите обврски или дека доказите за имплементација се недоволни.</w:t>
      </w:r>
      <w:r w:rsidR="000553A0">
        <w:rPr>
          <w:rStyle w:val="FootnoteReference"/>
          <w:lang w:val="mk-MK"/>
        </w:rPr>
        <w:footnoteReference w:id="480"/>
      </w:r>
    </w:p>
    <w:p w14:paraId="00C48281" w14:textId="5569F594" w:rsidR="000553A0" w:rsidRDefault="000553A0" w:rsidP="00243BC0">
      <w:pPr>
        <w:pStyle w:val="BodyText"/>
        <w:spacing w:before="240"/>
        <w:ind w:firstLine="720"/>
        <w:jc w:val="both"/>
        <w:rPr>
          <w:lang w:val="mk-MK"/>
        </w:rPr>
      </w:pPr>
      <w:r w:rsidRPr="000553A0">
        <w:rPr>
          <w:lang w:val="mk-MK"/>
        </w:rPr>
        <w:t>Дополнителен проблем е што дел од правата од Повелбата не се ратификувани, што автоматски создава празнина во усогласеноста. Ова не значи дека државата нема механизми на заштита, но значи дека не презела целосна обврска за усогласување со највисокото ниво на стандарди. Дури и таму каде што постојат политики или програми, нивната изведба е често ограничена со пошироки структурни предизвици, како недоволни буџети за социјални услуги, недостиг на кадар, нееднакви регионални капацитети и слабости во институционалната координација. Практичните пречки се најзабележливи во области кои бараат интензивни јавни инвестиции или континуирана политичка посветеност</w:t>
      </w:r>
      <w:r w:rsidR="004D14BF">
        <w:rPr>
          <w:lang w:val="mk-MK"/>
        </w:rPr>
        <w:t>. Конкретно, тоа се</w:t>
      </w:r>
      <w:r w:rsidRPr="000553A0">
        <w:rPr>
          <w:lang w:val="mk-MK"/>
        </w:rPr>
        <w:t xml:space="preserve"> домувањето, здравството, пристапноста на услугите, заштитата од сиромаштија и поддршката на лицата со попреченост</w:t>
      </w:r>
      <w:r w:rsidR="000B7D1F">
        <w:rPr>
          <w:lang w:val="mk-MK"/>
        </w:rPr>
        <w:t>, кои не се конкретно дел од оваа дисертација, но се индикативен проблем дека дури и кога државата формално изразува волја да спроведе одредени политики, во пракса тоа не се манифестира.</w:t>
      </w:r>
      <w:r w:rsidR="006B21D0">
        <w:rPr>
          <w:rStyle w:val="FootnoteReference"/>
          <w:lang w:val="mk-MK"/>
        </w:rPr>
        <w:footnoteReference w:id="481"/>
      </w:r>
      <w:r w:rsidR="000B7D1F">
        <w:rPr>
          <w:lang w:val="mk-MK"/>
        </w:rPr>
        <w:t xml:space="preserve"> </w:t>
      </w:r>
    </w:p>
    <w:p w14:paraId="6339223D" w14:textId="2280B88D" w:rsidR="00CF20C5" w:rsidRDefault="00375AB1" w:rsidP="000C7CC9">
      <w:pPr>
        <w:pStyle w:val="BodyText"/>
        <w:spacing w:before="240"/>
        <w:ind w:firstLine="720"/>
        <w:jc w:val="both"/>
        <w:rPr>
          <w:lang w:val="mk-MK"/>
        </w:rPr>
      </w:pPr>
      <w:r w:rsidRPr="00375AB1">
        <w:rPr>
          <w:lang w:val="mk-MK"/>
        </w:rPr>
        <w:t>Сумирано, степенот на усогласеност е делумен и преплавен со структурни и институционални ограничувања. Македонија има основа и покажува институционален ангажман, но без конкретни чекори за исполнување на препорачаните мерки, без целосна ратификација на релевантни одредби и без посветеност на практична имплементација, напредокот ќе остане непотполн.</w:t>
      </w:r>
      <w:r w:rsidR="00197029">
        <w:rPr>
          <w:rStyle w:val="FootnoteReference"/>
          <w:lang w:val="mk-MK"/>
        </w:rPr>
        <w:footnoteReference w:id="482"/>
      </w:r>
      <w:r w:rsidRPr="00375AB1">
        <w:rPr>
          <w:lang w:val="mk-MK"/>
        </w:rPr>
        <w:t xml:space="preserve"> </w:t>
      </w:r>
      <w:r w:rsidR="00574F25" w:rsidRPr="00574F25">
        <w:rPr>
          <w:lang w:val="mk-MK"/>
        </w:rPr>
        <w:t>Законската и институционалната инфраструктура постојат, редовното известување функционира, и постојат области во кои државата има направено значителен напредок</w:t>
      </w:r>
      <w:r w:rsidR="000C7CC9">
        <w:rPr>
          <w:lang w:val="mk-MK"/>
        </w:rPr>
        <w:t>, но нема унифицирани политики и/или стратегии во најголем дел од областите. Истото важи и за корпоративното управување каде</w:t>
      </w:r>
      <w:r w:rsidR="00574F25" w:rsidRPr="00574F25">
        <w:rPr>
          <w:lang w:val="mk-MK"/>
        </w:rPr>
        <w:t xml:space="preserve"> имплементација често останува недоволна, со јасни празнини </w:t>
      </w:r>
      <w:r w:rsidR="000C7CC9">
        <w:rPr>
          <w:lang w:val="mk-MK"/>
        </w:rPr>
        <w:t>по</w:t>
      </w:r>
      <w:r w:rsidR="00574F25" w:rsidRPr="00574F25">
        <w:rPr>
          <w:lang w:val="mk-MK"/>
        </w:rPr>
        <w:t xml:space="preserve">меѓу нормите и реалните услови. </w:t>
      </w:r>
    </w:p>
    <w:p w14:paraId="3011B24F" w14:textId="23126901" w:rsidR="00DA17E9" w:rsidRPr="00902B64" w:rsidRDefault="00CF20C5" w:rsidP="00902B64">
      <w:pPr>
        <w:pStyle w:val="BodyText"/>
        <w:spacing w:before="240"/>
        <w:ind w:firstLine="720"/>
        <w:jc w:val="both"/>
        <w:rPr>
          <w:lang w:val="mk-MK"/>
        </w:rPr>
      </w:pPr>
      <w:r>
        <w:rPr>
          <w:lang w:val="mk-MK"/>
        </w:rPr>
        <w:t xml:space="preserve">Доколку </w:t>
      </w:r>
      <w:r w:rsidR="00574F25" w:rsidRPr="00574F25">
        <w:rPr>
          <w:lang w:val="mk-MK"/>
        </w:rPr>
        <w:t xml:space="preserve">Македонија </w:t>
      </w:r>
      <w:r>
        <w:rPr>
          <w:lang w:val="mk-MK"/>
        </w:rPr>
        <w:t>сака да се издигне од</w:t>
      </w:r>
      <w:r w:rsidR="00574F25" w:rsidRPr="00574F25">
        <w:rPr>
          <w:lang w:val="mk-MK"/>
        </w:rPr>
        <w:t xml:space="preserve"> позиција на делумно усогласена држава која ги прифатилa принципите на Европската социјална повелба</w:t>
      </w:r>
      <w:r>
        <w:rPr>
          <w:lang w:val="mk-MK"/>
        </w:rPr>
        <w:t xml:space="preserve"> до целосна усогласеност</w:t>
      </w:r>
      <w:r w:rsidR="00574F25" w:rsidRPr="00574F25">
        <w:rPr>
          <w:lang w:val="mk-MK"/>
        </w:rPr>
        <w:t>,</w:t>
      </w:r>
      <w:r>
        <w:rPr>
          <w:lang w:val="mk-MK"/>
        </w:rPr>
        <w:t xml:space="preserve"> мора да воспостави</w:t>
      </w:r>
      <w:r w:rsidR="00574F25" w:rsidRPr="00574F25">
        <w:rPr>
          <w:lang w:val="mk-MK"/>
        </w:rPr>
        <w:t xml:space="preserve"> механизми што би гарантирале доследно, ефективно и одржливо остварување на социјалните и економските права. Оваа состојба отвора простор за препораки за понатамошно унапредување, кои можат да се темелат на конкретните наоди на надзорните тела и на стратешките слабости во домашните институции.</w:t>
      </w:r>
      <w:r w:rsidR="00796345">
        <w:rPr>
          <w:lang w:val="mk-MK"/>
        </w:rPr>
        <w:t xml:space="preserve"> </w:t>
      </w:r>
      <w:r w:rsidR="002A7B4F">
        <w:rPr>
          <w:lang w:val="mk-MK"/>
        </w:rPr>
        <w:t>Истото</w:t>
      </w:r>
      <w:r w:rsidR="00796345">
        <w:rPr>
          <w:lang w:val="mk-MK"/>
        </w:rPr>
        <w:t xml:space="preserve"> особено важи и за </w:t>
      </w:r>
      <w:r w:rsidR="00796345" w:rsidRPr="00796345">
        <w:rPr>
          <w:lang w:val="mk-MK"/>
        </w:rPr>
        <w:t>модели</w:t>
      </w:r>
      <w:r w:rsidR="00796345">
        <w:rPr>
          <w:lang w:val="mk-MK"/>
        </w:rPr>
        <w:t>те</w:t>
      </w:r>
      <w:r w:rsidR="00796345" w:rsidRPr="00796345">
        <w:rPr>
          <w:lang w:val="mk-MK"/>
        </w:rPr>
        <w:t xml:space="preserve"> преку кои трговските друштва овозможуваат вклученост на вработените</w:t>
      </w:r>
      <w:r w:rsidR="00796345">
        <w:rPr>
          <w:lang w:val="mk-MK"/>
        </w:rPr>
        <w:t>, односно</w:t>
      </w:r>
      <w:r w:rsidR="00796345" w:rsidRPr="00796345">
        <w:rPr>
          <w:lang w:val="mk-MK"/>
        </w:rPr>
        <w:t xml:space="preserve"> учество во органите на друштвото и распределба</w:t>
      </w:r>
      <w:r w:rsidR="00796345">
        <w:rPr>
          <w:lang w:val="mk-MK"/>
        </w:rPr>
        <w:t>та</w:t>
      </w:r>
      <w:r w:rsidR="00796345" w:rsidRPr="00796345">
        <w:rPr>
          <w:lang w:val="mk-MK"/>
        </w:rPr>
        <w:t xml:space="preserve"> на акции</w:t>
      </w:r>
      <w:r w:rsidR="00796345">
        <w:rPr>
          <w:lang w:val="mk-MK"/>
        </w:rPr>
        <w:t>.</w:t>
      </w:r>
    </w:p>
    <w:p w14:paraId="7EEE58E0" w14:textId="18FC9977" w:rsidR="00786C1B" w:rsidRPr="00902B64" w:rsidRDefault="00A5468D" w:rsidP="009330C0">
      <w:pPr>
        <w:pStyle w:val="Heading1"/>
        <w:numPr>
          <w:ilvl w:val="0"/>
          <w:numId w:val="10"/>
        </w:numPr>
        <w:jc w:val="both"/>
      </w:pPr>
      <w:bookmarkStart w:id="53" w:name="_Toc230523906"/>
      <w:r w:rsidRPr="00A5468D">
        <w:lastRenderedPageBreak/>
        <w:t>Европска</w:t>
      </w:r>
      <w:r>
        <w:rPr>
          <w:lang w:val="mk-MK"/>
        </w:rPr>
        <w:t>та</w:t>
      </w:r>
      <w:r w:rsidRPr="00A5468D">
        <w:t xml:space="preserve"> унија и правната рамка за корпоративно управување и учество на работниците</w:t>
      </w:r>
      <w:bookmarkEnd w:id="53"/>
    </w:p>
    <w:p w14:paraId="515D34E0" w14:textId="2BA34836" w:rsidR="00902B64" w:rsidRDefault="00B3528D" w:rsidP="00B3528D">
      <w:pPr>
        <w:pStyle w:val="BodyText"/>
        <w:spacing w:before="240"/>
        <w:ind w:firstLine="720"/>
        <w:jc w:val="both"/>
        <w:rPr>
          <w:lang w:val="mk-MK"/>
        </w:rPr>
      </w:pPr>
      <w:r w:rsidRPr="00B3528D">
        <w:rPr>
          <w:lang w:val="mk-MK"/>
        </w:rPr>
        <w:t>Стандардите на Европската унија во областа на корпоративното управување и учеството на работниците се развива</w:t>
      </w:r>
      <w:r w:rsidR="003708BF">
        <w:rPr>
          <w:lang w:val="mk-MK"/>
        </w:rPr>
        <w:t>ле</w:t>
      </w:r>
      <w:r w:rsidRPr="00B3528D">
        <w:rPr>
          <w:lang w:val="mk-MK"/>
        </w:rPr>
        <w:t xml:space="preserve"> постепено, како комбинација од директиви, регулативи, препораки и судска </w:t>
      </w:r>
      <w:r w:rsidR="003708BF">
        <w:rPr>
          <w:lang w:val="mk-MK"/>
        </w:rPr>
        <w:t>пракса</w:t>
      </w:r>
      <w:r w:rsidRPr="00B3528D">
        <w:rPr>
          <w:lang w:val="mk-MK"/>
        </w:rPr>
        <w:t>, со цел да се создаде интегриран пазар во кој економската активност е придружена со високо ниво на заштита на работниците и стабилни механизми на одговорно управување.</w:t>
      </w:r>
      <w:r w:rsidR="00A828CC">
        <w:rPr>
          <w:rStyle w:val="FootnoteReference"/>
          <w:lang w:val="mk-MK"/>
        </w:rPr>
        <w:footnoteReference w:id="483"/>
      </w:r>
      <w:r w:rsidRPr="00B3528D">
        <w:rPr>
          <w:lang w:val="mk-MK"/>
        </w:rPr>
        <w:t xml:space="preserve"> Овие стандарди претставуваат еден од најразвиените и најструктурираните системи во </w:t>
      </w:r>
      <w:r w:rsidR="00AE48A6">
        <w:rPr>
          <w:lang w:val="mk-MK"/>
        </w:rPr>
        <w:t>светот</w:t>
      </w:r>
      <w:r w:rsidRPr="00B3528D">
        <w:rPr>
          <w:lang w:val="mk-MK"/>
        </w:rPr>
        <w:t>, бидејќи обединуваат различни функции</w:t>
      </w:r>
      <w:r w:rsidR="008D75FB">
        <w:rPr>
          <w:lang w:val="mk-MK"/>
        </w:rPr>
        <w:t xml:space="preserve"> како</w:t>
      </w:r>
      <w:r w:rsidRPr="00B3528D">
        <w:rPr>
          <w:lang w:val="mk-MK"/>
        </w:rPr>
        <w:t xml:space="preserve"> корпоративната транспарентност, учеството на работниците во процесите на информирање и консултации, колективната заштита и регулативите поврзани со внатрешното управување на компаниите. Тие не се насочени само кон заштита на работниците, туку и кон подобрување на квалитетот на управување и стабилноста на претпријатијата, со цел економскиот развој да биде придружен со демократски и социјални вредности.</w:t>
      </w:r>
    </w:p>
    <w:p w14:paraId="3CF3F875" w14:textId="7D974ECB" w:rsidR="00B755BA" w:rsidRDefault="00B755BA" w:rsidP="00B3528D">
      <w:pPr>
        <w:pStyle w:val="BodyText"/>
        <w:spacing w:before="240"/>
        <w:ind w:firstLine="720"/>
        <w:jc w:val="both"/>
        <w:rPr>
          <w:lang w:val="mk-MK"/>
        </w:rPr>
      </w:pPr>
      <w:r w:rsidRPr="00B755BA">
        <w:rPr>
          <w:lang w:val="mk-MK"/>
        </w:rPr>
        <w:t>Основата на политиката на Европската унија во ова поле се наоѓа во директивите за информирање и консултирање, директивите за преструктурирање и колективни отпуштања, директивата за европските работнички совети, регулативите за европски друштва (SE) и европски кооперативи (SCE), како и директивите за транспарентност и корпоративно известување. Овие инструменти предвидуваат ниво на стандарди кои важат за сите земји членки и кои ги утврдуваат минималните права на работниците да бидат навремено информирани за клучните економски одлуки, да учествуваат во консултативните процеси и, во определени форми на компании, да бидат вклучени и во надзорните или управните органи. Учеството на работниците, во рамки на европските друштва (SE), се регулира со посебен систем кој предвидува преговори за определување на нивото на вклученост, што може да варира од комитете за информирање до директно учество во одборите. Ова претставува уникатен европски модел кој ги обединува економските и социјалните цели преку правно обврзувачки механизми.</w:t>
      </w:r>
    </w:p>
    <w:p w14:paraId="3A9C14F7" w14:textId="102D35E6" w:rsidR="002749D5" w:rsidRDefault="002749D5" w:rsidP="00B3528D">
      <w:pPr>
        <w:pStyle w:val="BodyText"/>
        <w:spacing w:before="240"/>
        <w:ind w:firstLine="720"/>
        <w:jc w:val="both"/>
        <w:rPr>
          <w:lang w:val="mk-MK"/>
        </w:rPr>
      </w:pPr>
      <w:r w:rsidRPr="002749D5">
        <w:rPr>
          <w:lang w:val="mk-MK"/>
        </w:rPr>
        <w:t>Единствен</w:t>
      </w:r>
      <w:r>
        <w:rPr>
          <w:lang w:val="mk-MK"/>
        </w:rPr>
        <w:t>иот</w:t>
      </w:r>
      <w:r w:rsidRPr="002749D5">
        <w:rPr>
          <w:lang w:val="mk-MK"/>
        </w:rPr>
        <w:t xml:space="preserve"> пазар ја наметнува потребата од транспарентност и одговорност во корпоративното управување, што довед</w:t>
      </w:r>
      <w:r w:rsidR="00BA6E3F">
        <w:rPr>
          <w:lang w:val="mk-MK"/>
        </w:rPr>
        <w:t>ува</w:t>
      </w:r>
      <w:r w:rsidRPr="002749D5">
        <w:rPr>
          <w:lang w:val="mk-MK"/>
        </w:rPr>
        <w:t xml:space="preserve"> до развој на дополнителни стандарди поврзани со известување за одржливост, нефинансиски информации и ризици поврзани со работничките права.</w:t>
      </w:r>
      <w:r w:rsidR="00A828CC">
        <w:rPr>
          <w:rStyle w:val="FootnoteReference"/>
          <w:lang w:val="mk-MK"/>
        </w:rPr>
        <w:footnoteReference w:id="484"/>
      </w:r>
      <w:r w:rsidRPr="002749D5">
        <w:rPr>
          <w:lang w:val="mk-MK"/>
        </w:rPr>
        <w:t xml:space="preserve"> Новите регулативи за корпоративна одржливост и должн</w:t>
      </w:r>
      <w:r w:rsidR="000811BB">
        <w:rPr>
          <w:lang w:val="mk-MK"/>
        </w:rPr>
        <w:t>о</w:t>
      </w:r>
      <w:r w:rsidRPr="002749D5">
        <w:rPr>
          <w:lang w:val="mk-MK"/>
        </w:rPr>
        <w:t xml:space="preserve"> внимание на компаниите (due diligence) дополнително го зајакнуваат значењето на работничките права во управувањето со глобалните синџири на снабдување, вклучувајќи го и мониторингот на условите за работа, колективното договарање и механизмите на заштита при реструктурирање.</w:t>
      </w:r>
      <w:r w:rsidR="009257D2">
        <w:rPr>
          <w:lang w:val="en-US"/>
        </w:rPr>
        <w:t xml:space="preserve"> </w:t>
      </w:r>
      <w:r w:rsidR="009257D2" w:rsidRPr="009257D2">
        <w:rPr>
          <w:lang w:val="mk-MK"/>
        </w:rPr>
        <w:t xml:space="preserve">Кога овие стандарди </w:t>
      </w:r>
      <w:r w:rsidR="009257D2">
        <w:rPr>
          <w:lang w:val="mk-MK"/>
        </w:rPr>
        <w:t xml:space="preserve">ќе </w:t>
      </w:r>
      <w:r w:rsidR="009257D2" w:rsidRPr="009257D2">
        <w:rPr>
          <w:lang w:val="mk-MK"/>
        </w:rPr>
        <w:t>се земаат заедно, резултатот е јасен и структурен европски пристап кој го третира учеството на работниците како дел од основниот модел на корпоративно управување. Тоа е пристап што создава обврски за компаниите да демонстрираат транспарентност, да вклучат различни засегнати страни и да одржуваат стабилен социјален дијалог, особено во услови на промени како што се спојувања, пренос на претпријатие или масовни отпуштања.</w:t>
      </w:r>
    </w:p>
    <w:p w14:paraId="1DEC95A5" w14:textId="4480D69B" w:rsidR="002E349D" w:rsidRPr="009257D2" w:rsidRDefault="008E6FEC" w:rsidP="00B3528D">
      <w:pPr>
        <w:pStyle w:val="BodyText"/>
        <w:spacing w:before="240"/>
        <w:ind w:firstLine="720"/>
        <w:jc w:val="both"/>
        <w:rPr>
          <w:lang w:val="mk-MK"/>
        </w:rPr>
      </w:pPr>
      <w:r w:rsidRPr="008E6FEC">
        <w:rPr>
          <w:lang w:val="mk-MK"/>
        </w:rPr>
        <w:t xml:space="preserve">Оваа рамка воедно претставува и предизвик за земји кои се стремат кон европски </w:t>
      </w:r>
      <w:r w:rsidRPr="008E6FEC">
        <w:rPr>
          <w:lang w:val="mk-MK"/>
        </w:rPr>
        <w:lastRenderedPageBreak/>
        <w:t>стандарди, како Македонија, бидејќи бара реформи кои ја надминуваат класичната регулација на работните односи</w:t>
      </w:r>
      <w:r w:rsidR="002C78B8">
        <w:rPr>
          <w:lang w:val="mk-MK"/>
        </w:rPr>
        <w:t xml:space="preserve"> и</w:t>
      </w:r>
      <w:r w:rsidR="002208E6">
        <w:rPr>
          <w:lang w:val="mk-MK"/>
        </w:rPr>
        <w:t xml:space="preserve"> вклученоста</w:t>
      </w:r>
      <w:r w:rsidRPr="008E6FEC">
        <w:rPr>
          <w:lang w:val="mk-MK"/>
        </w:rPr>
        <w:t xml:space="preserve"> и бара усогласување со поширок модел на корпоративно управување кој ја интегрира и социјалната димензија.</w:t>
      </w:r>
      <w:r w:rsidR="00985B3C">
        <w:rPr>
          <w:lang w:val="mk-MK"/>
        </w:rPr>
        <w:t xml:space="preserve"> Иако Македонија не е земја-членка на Европската унија, како кандидат-земја, се стреми кон </w:t>
      </w:r>
      <w:r w:rsidR="00DC2C1E">
        <w:rPr>
          <w:lang w:val="mk-MK"/>
        </w:rPr>
        <w:t xml:space="preserve">хармонизација и усогласување на националното законодавство со европското, па оттаму, </w:t>
      </w:r>
      <w:r w:rsidR="005730ED">
        <w:rPr>
          <w:lang w:val="mk-MK"/>
        </w:rPr>
        <w:t>следните директиви се од особено значење</w:t>
      </w:r>
      <w:r w:rsidR="007366ED">
        <w:rPr>
          <w:lang w:val="mk-MK"/>
        </w:rPr>
        <w:t xml:space="preserve"> во тој поглед</w:t>
      </w:r>
      <w:r w:rsidR="005730ED">
        <w:rPr>
          <w:lang w:val="mk-MK"/>
        </w:rPr>
        <w:t xml:space="preserve">. </w:t>
      </w:r>
      <w:r w:rsidRPr="008E6FEC">
        <w:rPr>
          <w:lang w:val="mk-MK"/>
        </w:rPr>
        <w:t xml:space="preserve"> </w:t>
      </w:r>
    </w:p>
    <w:p w14:paraId="70366F87" w14:textId="72D28B84" w:rsidR="00F86545" w:rsidRDefault="001D647A"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54" w:name="_Toc230523907"/>
      <w:r w:rsidRPr="001D647A">
        <w:rPr>
          <w:rFonts w:ascii="Times New Roman" w:hAnsi="Times New Roman" w:cs="Times New Roman"/>
          <w:b w:val="0"/>
          <w:bCs w:val="0"/>
          <w:color w:val="000000" w:themeColor="text1"/>
          <w:sz w:val="24"/>
          <w:szCs w:val="24"/>
          <w:lang w:val="mk-MK"/>
        </w:rPr>
        <w:t>Директива 98/59/EC – Колективни отпуштања</w:t>
      </w:r>
      <w:bookmarkEnd w:id="54"/>
    </w:p>
    <w:p w14:paraId="213A940A" w14:textId="60118E0A" w:rsidR="001D647A" w:rsidRPr="001D647A" w:rsidRDefault="001D647A" w:rsidP="001D647A">
      <w:pPr>
        <w:pStyle w:val="BodyText"/>
        <w:ind w:firstLine="720"/>
        <w:jc w:val="both"/>
        <w:rPr>
          <w:lang w:val="mk-MK" w:eastAsia="zh-CN" w:bidi="hi-IN"/>
        </w:rPr>
      </w:pPr>
      <w:r w:rsidRPr="001D647A">
        <w:rPr>
          <w:lang w:val="mk-MK" w:eastAsia="zh-CN" w:bidi="hi-IN"/>
        </w:rPr>
        <w:t>Се фокусира на ситуациите каде компанијата планира масовни отпуштања. Работодавачот мора навремено да ги информира и консултира претставниците на работниците, да ги разгледа можностите за избегнување или ограничување на отпуштањата и да обезбеди мерки за ублажување на последиците. Директивата создава процедурални обврски што ја спречуваат можноста компаниите да донесуваат еднострани и непромислени одлуки што водат до длабоки социјални последици. Во европскиот модел, ова е една од основните гаранции дека преструктурирањата се спроведуваат на предвидлив и правично организиран начин.</w:t>
      </w:r>
      <w:r w:rsidR="00636200">
        <w:rPr>
          <w:rStyle w:val="FootnoteReference"/>
          <w:lang w:val="mk-MK" w:eastAsia="zh-CN" w:bidi="hi-IN"/>
        </w:rPr>
        <w:footnoteReference w:id="485"/>
      </w:r>
      <w:r w:rsidR="00E16F4C">
        <w:rPr>
          <w:lang w:val="mk-MK" w:eastAsia="zh-CN" w:bidi="hi-IN"/>
        </w:rPr>
        <w:t xml:space="preserve"> </w:t>
      </w:r>
    </w:p>
    <w:p w14:paraId="380627CB" w14:textId="6A16A663" w:rsidR="00722BCC" w:rsidRDefault="00722BCC"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55" w:name="_Toc230523908"/>
      <w:r w:rsidRPr="00722BCC">
        <w:rPr>
          <w:rFonts w:ascii="Times New Roman" w:hAnsi="Times New Roman" w:cs="Times New Roman"/>
          <w:b w:val="0"/>
          <w:bCs w:val="0"/>
          <w:color w:val="000000" w:themeColor="text1"/>
          <w:sz w:val="24"/>
          <w:szCs w:val="24"/>
          <w:lang w:val="mk-MK"/>
        </w:rPr>
        <w:t>Директива 2001/23/EC – Пренос на претпријатие</w:t>
      </w:r>
      <w:bookmarkEnd w:id="55"/>
    </w:p>
    <w:p w14:paraId="728CCB56" w14:textId="01F6B1CF" w:rsidR="00722BCC" w:rsidRPr="00722BCC" w:rsidRDefault="00722BCC" w:rsidP="00AB5281">
      <w:pPr>
        <w:pStyle w:val="BodyText"/>
        <w:spacing w:before="240"/>
        <w:ind w:firstLine="720"/>
        <w:jc w:val="both"/>
        <w:rPr>
          <w:lang w:val="mk-MK" w:eastAsia="zh-CN" w:bidi="hi-IN"/>
        </w:rPr>
      </w:pPr>
      <w:r w:rsidRPr="002B6D7A">
        <w:rPr>
          <w:lang w:val="mk-MK" w:eastAsia="zh-CN" w:bidi="hi-IN"/>
        </w:rPr>
        <w:t>Оваа директива ги штити работниците во случаи кога претпријатие, дел од претпријатие или бизнис се пренесува од еден работодавач на друг. Основниот принцип е континуитет</w:t>
      </w:r>
      <w:r>
        <w:rPr>
          <w:lang w:val="mk-MK" w:eastAsia="zh-CN" w:bidi="hi-IN"/>
        </w:rPr>
        <w:t>от, односно фактот што</w:t>
      </w:r>
      <w:r w:rsidRPr="002B6D7A">
        <w:rPr>
          <w:lang w:val="mk-MK" w:eastAsia="zh-CN" w:bidi="hi-IN"/>
        </w:rPr>
        <w:t xml:space="preserve"> работните договори, правата и обврските се пренесуваат кај новиот работодавач без прекин.</w:t>
      </w:r>
      <w:r>
        <w:rPr>
          <w:rStyle w:val="FootnoteReference"/>
          <w:lang w:val="mk-MK" w:eastAsia="zh-CN" w:bidi="hi-IN"/>
        </w:rPr>
        <w:footnoteReference w:id="486"/>
      </w:r>
      <w:r w:rsidRPr="002B6D7A">
        <w:rPr>
          <w:lang w:val="mk-MK" w:eastAsia="zh-CN" w:bidi="hi-IN"/>
        </w:rPr>
        <w:t xml:space="preserve"> Директивата спречува компаниите да се „ослобод</w:t>
      </w:r>
      <w:r>
        <w:rPr>
          <w:lang w:val="mk-MK" w:eastAsia="zh-CN" w:bidi="hi-IN"/>
        </w:rPr>
        <w:t>ат</w:t>
      </w:r>
      <w:r w:rsidRPr="002B6D7A">
        <w:rPr>
          <w:lang w:val="mk-MK" w:eastAsia="zh-CN" w:bidi="hi-IN"/>
        </w:rPr>
        <w:t>“ од обврските кон работниците преку формални трансфери и создава стабилност и предвидливост при корпоративни тран</w:t>
      </w:r>
      <w:r>
        <w:rPr>
          <w:lang w:val="mk-MK" w:eastAsia="zh-CN" w:bidi="hi-IN"/>
        </w:rPr>
        <w:t>с</w:t>
      </w:r>
      <w:r w:rsidRPr="002B6D7A">
        <w:rPr>
          <w:lang w:val="mk-MK" w:eastAsia="zh-CN" w:bidi="hi-IN"/>
        </w:rPr>
        <w:t>акции.</w:t>
      </w:r>
      <w:r>
        <w:rPr>
          <w:lang w:val="mk-MK" w:eastAsia="zh-CN" w:bidi="hi-IN"/>
        </w:rPr>
        <w:t xml:space="preserve"> </w:t>
      </w:r>
    </w:p>
    <w:p w14:paraId="11AB1BC9" w14:textId="6EB1E338" w:rsidR="00722BCC" w:rsidRDefault="006B4E84"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56" w:name="_Toc230523909"/>
      <w:r w:rsidRPr="006B4E84">
        <w:rPr>
          <w:rFonts w:ascii="Times New Roman" w:hAnsi="Times New Roman" w:cs="Times New Roman"/>
          <w:b w:val="0"/>
          <w:bCs w:val="0"/>
          <w:color w:val="000000" w:themeColor="text1"/>
          <w:sz w:val="24"/>
          <w:szCs w:val="24"/>
          <w:lang w:val="mk-MK"/>
        </w:rPr>
        <w:t>Регулатива 2157/2001 и Директива 2001/86/EC – Европско друштво (SE)</w:t>
      </w:r>
      <w:bookmarkEnd w:id="56"/>
    </w:p>
    <w:p w14:paraId="3AB95354" w14:textId="67292A0C" w:rsidR="006B4E84" w:rsidRDefault="00ED54D6" w:rsidP="00ED54D6">
      <w:pPr>
        <w:pStyle w:val="BodyText"/>
        <w:ind w:firstLine="720"/>
        <w:jc w:val="both"/>
        <w:rPr>
          <w:lang w:val="mk-MK" w:eastAsia="zh-CN" w:bidi="hi-IN"/>
        </w:rPr>
      </w:pPr>
      <w:r w:rsidRPr="00ED54D6">
        <w:rPr>
          <w:lang w:val="mk-MK" w:eastAsia="zh-CN" w:bidi="hi-IN"/>
        </w:rPr>
        <w:t xml:space="preserve">Регулативата ја создава правната форма </w:t>
      </w:r>
      <w:r w:rsidR="00397B2F">
        <w:rPr>
          <w:lang w:val="mk-MK" w:eastAsia="zh-CN" w:bidi="hi-IN"/>
        </w:rPr>
        <w:t>на европското трговско друштво</w:t>
      </w:r>
      <w:r w:rsidRPr="00ED54D6">
        <w:rPr>
          <w:lang w:val="mk-MK" w:eastAsia="zh-CN" w:bidi="hi-IN"/>
        </w:rPr>
        <w:t>,</w:t>
      </w:r>
      <w:r w:rsidR="00AB0706">
        <w:rPr>
          <w:rStyle w:val="FootnoteReference"/>
          <w:lang w:val="mk-MK" w:eastAsia="zh-CN" w:bidi="hi-IN"/>
        </w:rPr>
        <w:footnoteReference w:id="487"/>
      </w:r>
      <w:r w:rsidRPr="00ED54D6">
        <w:rPr>
          <w:lang w:val="mk-MK" w:eastAsia="zh-CN" w:bidi="hi-IN"/>
        </w:rPr>
        <w:t xml:space="preserve"> додека директивата ја одредува задолжителната компонента за учество на работниците.</w:t>
      </w:r>
      <w:r w:rsidR="00AB0706">
        <w:rPr>
          <w:rStyle w:val="FootnoteReference"/>
          <w:lang w:val="mk-MK" w:eastAsia="zh-CN" w:bidi="hi-IN"/>
        </w:rPr>
        <w:footnoteReference w:id="488"/>
      </w:r>
      <w:r w:rsidRPr="00ED54D6">
        <w:rPr>
          <w:lang w:val="mk-MK" w:eastAsia="zh-CN" w:bidi="hi-IN"/>
        </w:rPr>
        <w:t xml:space="preserve"> При основање на </w:t>
      </w:r>
      <w:r w:rsidR="00AA062F">
        <w:rPr>
          <w:lang w:val="mk-MK" w:eastAsia="zh-CN" w:bidi="hi-IN"/>
        </w:rPr>
        <w:t xml:space="preserve">европско друштво </w:t>
      </w:r>
      <w:r w:rsidR="00AC0030">
        <w:rPr>
          <w:lang w:val="en-US" w:eastAsia="zh-CN" w:bidi="hi-IN"/>
        </w:rPr>
        <w:t>(</w:t>
      </w:r>
      <w:r w:rsidRPr="00ED54D6">
        <w:rPr>
          <w:lang w:val="mk-MK" w:eastAsia="zh-CN" w:bidi="hi-IN"/>
        </w:rPr>
        <w:t>SE</w:t>
      </w:r>
      <w:r w:rsidR="00AC0030">
        <w:rPr>
          <w:lang w:val="en-US" w:eastAsia="zh-CN" w:bidi="hi-IN"/>
        </w:rPr>
        <w:t>)</w:t>
      </w:r>
      <w:r w:rsidRPr="00ED54D6">
        <w:rPr>
          <w:lang w:val="mk-MK" w:eastAsia="zh-CN" w:bidi="hi-IN"/>
        </w:rPr>
        <w:t>, работодавачот мора да преговара со претставниците на работниците за нивното ниво на учество, кое може да вклучува: информирање</w:t>
      </w:r>
      <w:r w:rsidR="00AC0030">
        <w:rPr>
          <w:lang w:val="en-US" w:eastAsia="zh-CN" w:bidi="hi-IN"/>
        </w:rPr>
        <w:t>,</w:t>
      </w:r>
      <w:r w:rsidRPr="00ED54D6">
        <w:rPr>
          <w:lang w:val="mk-MK" w:eastAsia="zh-CN" w:bidi="hi-IN"/>
        </w:rPr>
        <w:t xml:space="preserve"> консултирање</w:t>
      </w:r>
      <w:r w:rsidR="00AC0030">
        <w:rPr>
          <w:lang w:val="mk-MK" w:eastAsia="zh-CN" w:bidi="hi-IN"/>
        </w:rPr>
        <w:t xml:space="preserve"> и</w:t>
      </w:r>
      <w:r w:rsidRPr="00ED54D6">
        <w:rPr>
          <w:lang w:val="mk-MK" w:eastAsia="zh-CN" w:bidi="hi-IN"/>
        </w:rPr>
        <w:t xml:space="preserve"> учество во управни или надзорни одбори</w:t>
      </w:r>
      <w:r w:rsidR="00AC0030">
        <w:rPr>
          <w:lang w:val="en-US" w:eastAsia="zh-CN" w:bidi="hi-IN"/>
        </w:rPr>
        <w:t>.</w:t>
      </w:r>
      <w:r w:rsidRPr="00ED54D6">
        <w:rPr>
          <w:lang w:val="mk-MK" w:eastAsia="zh-CN" w:bidi="hi-IN"/>
        </w:rPr>
        <w:t xml:space="preserve"> Ова е најсилниот европски механизам што овозможува директно учество на работниците во администрацијата на компанијата.</w:t>
      </w:r>
    </w:p>
    <w:p w14:paraId="16735C35" w14:textId="77777777" w:rsidR="006B4E84" w:rsidRPr="006B4E84" w:rsidRDefault="006B4E84" w:rsidP="006B4E84">
      <w:pPr>
        <w:pStyle w:val="BodyText"/>
        <w:rPr>
          <w:lang w:val="mk-MK" w:eastAsia="zh-CN" w:bidi="hi-IN"/>
        </w:rPr>
      </w:pPr>
    </w:p>
    <w:p w14:paraId="5CBE1F8E" w14:textId="4894DB3A" w:rsidR="0011352E" w:rsidRDefault="00EE3FCD" w:rsidP="009330C0">
      <w:pPr>
        <w:pStyle w:val="Heading2"/>
        <w:numPr>
          <w:ilvl w:val="1"/>
          <w:numId w:val="4"/>
        </w:numPr>
        <w:spacing w:before="0" w:after="240"/>
        <w:jc w:val="both"/>
        <w:rPr>
          <w:rFonts w:ascii="Times New Roman" w:hAnsi="Times New Roman" w:cs="Times New Roman"/>
          <w:b w:val="0"/>
          <w:bCs w:val="0"/>
          <w:color w:val="000000" w:themeColor="text1"/>
          <w:sz w:val="24"/>
          <w:szCs w:val="24"/>
          <w:lang w:val="mk-MK"/>
        </w:rPr>
      </w:pPr>
      <w:bookmarkStart w:id="57" w:name="_Toc230523910"/>
      <w:r w:rsidRPr="00EE3FCD">
        <w:rPr>
          <w:rFonts w:ascii="Times New Roman" w:hAnsi="Times New Roman" w:cs="Times New Roman"/>
          <w:b w:val="0"/>
          <w:bCs w:val="0"/>
          <w:color w:val="000000" w:themeColor="text1"/>
          <w:sz w:val="24"/>
          <w:szCs w:val="24"/>
          <w:lang w:val="mk-MK"/>
        </w:rPr>
        <w:t>Директива 2002/14/EC – Информирање и консултирање со работниците</w:t>
      </w:r>
      <w:bookmarkEnd w:id="57"/>
    </w:p>
    <w:p w14:paraId="0BA9BF1B" w14:textId="051252CE" w:rsidR="00D352D7" w:rsidRPr="00D352D7" w:rsidRDefault="00D352D7" w:rsidP="00AB5281">
      <w:pPr>
        <w:pStyle w:val="BodyText"/>
        <w:ind w:firstLine="720"/>
        <w:jc w:val="both"/>
        <w:rPr>
          <w:lang w:val="mk-MK" w:eastAsia="zh-CN" w:bidi="hi-IN"/>
        </w:rPr>
      </w:pPr>
      <w:r w:rsidRPr="00D352D7">
        <w:rPr>
          <w:lang w:val="mk-MK" w:eastAsia="zh-CN" w:bidi="hi-IN"/>
        </w:rPr>
        <w:t>Оваа директива создава општа рамка која ги обврзува работодавачите да воспостават структури преку кои работниците навремено и суштински ќе бидат информирани и консултирани за прашања што имаат директен ефект врз нив, како што се економските резултати, организациските промени и одлуките што влијаат на работните места.</w:t>
      </w:r>
      <w:r>
        <w:rPr>
          <w:rStyle w:val="FootnoteReference"/>
          <w:lang w:val="mk-MK" w:eastAsia="zh-CN" w:bidi="hi-IN"/>
        </w:rPr>
        <w:footnoteReference w:id="489"/>
      </w:r>
      <w:r w:rsidRPr="00D352D7">
        <w:rPr>
          <w:lang w:val="mk-MK" w:eastAsia="zh-CN" w:bidi="hi-IN"/>
        </w:rPr>
        <w:t xml:space="preserve"> Таа ја поставува минималната европска норма за социјален дијалог на ниво на компанија и ја обврзува организацијата да обезбеди навремен пренос на </w:t>
      </w:r>
      <w:r w:rsidRPr="00D352D7">
        <w:rPr>
          <w:lang w:val="mk-MK" w:eastAsia="zh-CN" w:bidi="hi-IN"/>
        </w:rPr>
        <w:lastRenderedPageBreak/>
        <w:t>информации, а не постфактум известување. Важноста на оваа директива е особено нагласена во земји без развиени системи на учество, затоа што обезбедува основа врз која се гради внатрешната корпоративна демократија.</w:t>
      </w:r>
      <w:r>
        <w:rPr>
          <w:lang w:val="mk-MK" w:eastAsia="zh-CN" w:bidi="hi-IN"/>
        </w:rPr>
        <w:t xml:space="preserve"> </w:t>
      </w:r>
    </w:p>
    <w:p w14:paraId="5D1D39E2" w14:textId="3E19E5FD" w:rsidR="007B0699" w:rsidRDefault="007B0699" w:rsidP="009330C0">
      <w:pPr>
        <w:pStyle w:val="BodyText"/>
        <w:numPr>
          <w:ilvl w:val="1"/>
          <w:numId w:val="4"/>
        </w:numPr>
        <w:spacing w:before="240"/>
        <w:rPr>
          <w:i/>
          <w:iCs/>
          <w:lang w:val="mk-MK" w:eastAsia="zh-CN" w:bidi="hi-IN"/>
        </w:rPr>
      </w:pPr>
      <w:r w:rsidRPr="007B0699">
        <w:rPr>
          <w:i/>
          <w:iCs/>
          <w:lang w:val="mk-MK" w:eastAsia="zh-CN" w:bidi="hi-IN"/>
        </w:rPr>
        <w:t>Регулатива 1435/2003 и Директива 2003/72/EC – Европска кооператива (SCE)</w:t>
      </w:r>
    </w:p>
    <w:p w14:paraId="4D4D5CD3" w14:textId="01FFD144" w:rsidR="007B0699" w:rsidRPr="00AB5281" w:rsidRDefault="006A4665" w:rsidP="00AB5281">
      <w:pPr>
        <w:pStyle w:val="BodyText"/>
        <w:spacing w:before="240"/>
        <w:ind w:firstLine="720"/>
        <w:jc w:val="both"/>
        <w:rPr>
          <w:lang w:val="mk-MK" w:eastAsia="zh-CN" w:bidi="hi-IN"/>
        </w:rPr>
      </w:pPr>
      <w:r w:rsidRPr="006A4665">
        <w:rPr>
          <w:lang w:val="mk-MK" w:eastAsia="zh-CN" w:bidi="hi-IN"/>
        </w:rPr>
        <w:t>Овој пакет создава европска правна форма за кооперативите,</w:t>
      </w:r>
      <w:r>
        <w:rPr>
          <w:rStyle w:val="FootnoteReference"/>
          <w:lang w:val="mk-MK" w:eastAsia="zh-CN" w:bidi="hi-IN"/>
        </w:rPr>
        <w:footnoteReference w:id="490"/>
      </w:r>
      <w:r w:rsidRPr="006A4665">
        <w:rPr>
          <w:lang w:val="mk-MK" w:eastAsia="zh-CN" w:bidi="hi-IN"/>
        </w:rPr>
        <w:t xml:space="preserve"> со сличен систем на преговори за вклучување на работниците. Иако кооперативите по природа имаат демократски принципи, директивата гарантира дека правото на учество не може да биде намалено при трансформирање или проширување на кооперативата на европско ниво.</w:t>
      </w:r>
      <w:r>
        <w:rPr>
          <w:rStyle w:val="FootnoteReference"/>
          <w:lang w:val="mk-MK" w:eastAsia="zh-CN" w:bidi="hi-IN"/>
        </w:rPr>
        <w:footnoteReference w:id="491"/>
      </w:r>
    </w:p>
    <w:p w14:paraId="05DB8A36" w14:textId="3DC22BF5" w:rsidR="008519CE" w:rsidRPr="008519CE" w:rsidRDefault="00384D9E" w:rsidP="009330C0">
      <w:pPr>
        <w:pStyle w:val="BodyText"/>
        <w:numPr>
          <w:ilvl w:val="1"/>
          <w:numId w:val="4"/>
        </w:numPr>
        <w:spacing w:before="240"/>
        <w:rPr>
          <w:i/>
          <w:iCs/>
          <w:lang w:val="mk-MK" w:eastAsia="zh-CN" w:bidi="hi-IN"/>
        </w:rPr>
      </w:pPr>
      <w:r w:rsidRPr="00384D9E">
        <w:rPr>
          <w:i/>
          <w:iCs/>
          <w:lang w:val="mk-MK" w:eastAsia="zh-CN" w:bidi="hi-IN"/>
        </w:rPr>
        <w:t>Директива 2009/38/EC – Европски работнички совети (EWC)</w:t>
      </w:r>
    </w:p>
    <w:p w14:paraId="119479CE" w14:textId="19E3EB6C" w:rsidR="00A5274D" w:rsidRPr="00AB5281" w:rsidRDefault="008519CE" w:rsidP="00AB5281">
      <w:pPr>
        <w:pStyle w:val="BodyText"/>
        <w:spacing w:before="240"/>
        <w:ind w:firstLine="720"/>
        <w:jc w:val="both"/>
        <w:rPr>
          <w:lang w:val="mk-MK" w:eastAsia="zh-CN" w:bidi="hi-IN"/>
        </w:rPr>
      </w:pPr>
      <w:r w:rsidRPr="008519CE">
        <w:rPr>
          <w:lang w:val="mk-MK" w:eastAsia="zh-CN" w:bidi="hi-IN"/>
        </w:rPr>
        <w:t xml:space="preserve">Се однесува на транснационалните компании што работат во повеќе земји членки. </w:t>
      </w:r>
      <w:r w:rsidR="00826765">
        <w:rPr>
          <w:lang w:val="mk-MK" w:eastAsia="zh-CN" w:bidi="hi-IN"/>
        </w:rPr>
        <w:t>Оваа директива</w:t>
      </w:r>
      <w:r w:rsidRPr="008519CE">
        <w:rPr>
          <w:lang w:val="mk-MK" w:eastAsia="zh-CN" w:bidi="hi-IN"/>
        </w:rPr>
        <w:t xml:space="preserve"> бара основање Европски работнички совет, кој служи како тело за информирање и консултирање во транснационални прашања.</w:t>
      </w:r>
      <w:r w:rsidR="00826765">
        <w:rPr>
          <w:rStyle w:val="FootnoteReference"/>
          <w:lang w:val="mk-MK" w:eastAsia="zh-CN" w:bidi="hi-IN"/>
        </w:rPr>
        <w:footnoteReference w:id="492"/>
      </w:r>
      <w:r w:rsidRPr="008519CE">
        <w:rPr>
          <w:lang w:val="mk-MK" w:eastAsia="zh-CN" w:bidi="hi-IN"/>
        </w:rPr>
        <w:t xml:space="preserve"> Директивата го признава фактот дека големите корпорации функционираат на европско, а не само на национално ниво, и дека работниците мора да имаат можност да ги разберат и влијаат на одлуките што се донесуваат во другите земји, но имаат последици врз нивните работни места. Ова е првиот инструмент што ја институционализира европската форма на работничко учество.</w:t>
      </w:r>
      <w:r>
        <w:rPr>
          <w:lang w:val="en-US" w:eastAsia="zh-CN" w:bidi="hi-IN"/>
        </w:rPr>
        <w:t xml:space="preserve"> </w:t>
      </w:r>
    </w:p>
    <w:p w14:paraId="36C25404" w14:textId="2B328ECA" w:rsidR="00AB5281" w:rsidRDefault="00F829C5" w:rsidP="009330C0">
      <w:pPr>
        <w:pStyle w:val="BodyText"/>
        <w:numPr>
          <w:ilvl w:val="1"/>
          <w:numId w:val="4"/>
        </w:numPr>
        <w:spacing w:before="240"/>
        <w:rPr>
          <w:i/>
          <w:iCs/>
          <w:lang w:val="mk-MK" w:eastAsia="zh-CN" w:bidi="hi-IN"/>
        </w:rPr>
      </w:pPr>
      <w:r w:rsidRPr="00F829C5">
        <w:rPr>
          <w:i/>
          <w:iCs/>
          <w:lang w:val="mk-MK" w:eastAsia="zh-CN" w:bidi="hi-IN"/>
        </w:rPr>
        <w:t>Директива 2013/34/EU – Финансиско известување</w:t>
      </w:r>
    </w:p>
    <w:p w14:paraId="2DB01426" w14:textId="158AB8A2" w:rsidR="00AB5281" w:rsidRPr="00856146" w:rsidRDefault="00AE28F7" w:rsidP="00856146">
      <w:pPr>
        <w:pStyle w:val="BodyText"/>
        <w:spacing w:before="240"/>
        <w:ind w:firstLine="720"/>
        <w:jc w:val="both"/>
        <w:rPr>
          <w:lang w:val="mk-MK" w:eastAsia="zh-CN" w:bidi="hi-IN"/>
        </w:rPr>
      </w:pPr>
      <w:r w:rsidRPr="00AE28F7">
        <w:rPr>
          <w:lang w:val="mk-MK" w:eastAsia="zh-CN" w:bidi="hi-IN"/>
        </w:rPr>
        <w:t xml:space="preserve">Ова е темелната директива за транспарентност. Во духот на корпоративното управување, таа бара објавување на годишни </w:t>
      </w:r>
      <w:r>
        <w:rPr>
          <w:lang w:val="mk-MK" w:eastAsia="zh-CN" w:bidi="hi-IN"/>
        </w:rPr>
        <w:t>и</w:t>
      </w:r>
      <w:r w:rsidRPr="00AE28F7">
        <w:rPr>
          <w:lang w:val="mk-MK" w:eastAsia="zh-CN" w:bidi="hi-IN"/>
        </w:rPr>
        <w:t xml:space="preserve"> управни извештаи, ревизорски стандарди и транспарентност за корпоративната структура. </w:t>
      </w:r>
      <w:r>
        <w:rPr>
          <w:lang w:val="mk-MK" w:eastAsia="zh-CN" w:bidi="hi-IN"/>
        </w:rPr>
        <w:t>Истовремено, им о</w:t>
      </w:r>
      <w:r w:rsidRPr="00AE28F7">
        <w:rPr>
          <w:lang w:val="mk-MK" w:eastAsia="zh-CN" w:bidi="hi-IN"/>
        </w:rPr>
        <w:t xml:space="preserve">возможува </w:t>
      </w:r>
      <w:r w:rsidR="00856146">
        <w:rPr>
          <w:lang w:val="mk-MK" w:eastAsia="zh-CN" w:bidi="hi-IN"/>
        </w:rPr>
        <w:t xml:space="preserve">на </w:t>
      </w:r>
      <w:r w:rsidRPr="00AE28F7">
        <w:rPr>
          <w:lang w:val="mk-MK" w:eastAsia="zh-CN" w:bidi="hi-IN"/>
        </w:rPr>
        <w:t>акционерите, работниците и јавноста да имаат јасна слика за финансиското здравје на компанијата.</w:t>
      </w:r>
      <w:r w:rsidR="00856146">
        <w:rPr>
          <w:rStyle w:val="FootnoteReference"/>
          <w:lang w:val="mk-MK" w:eastAsia="zh-CN" w:bidi="hi-IN"/>
        </w:rPr>
        <w:footnoteReference w:id="493"/>
      </w:r>
      <w:r>
        <w:rPr>
          <w:lang w:val="mk-MK" w:eastAsia="zh-CN" w:bidi="hi-IN"/>
        </w:rPr>
        <w:t xml:space="preserve"> </w:t>
      </w:r>
    </w:p>
    <w:p w14:paraId="46C263D1" w14:textId="41A848A5" w:rsidR="00DA5CC2" w:rsidRDefault="00AB5281" w:rsidP="009330C0">
      <w:pPr>
        <w:pStyle w:val="BodyText"/>
        <w:numPr>
          <w:ilvl w:val="1"/>
          <w:numId w:val="4"/>
        </w:numPr>
        <w:spacing w:before="240"/>
        <w:rPr>
          <w:i/>
          <w:iCs/>
          <w:lang w:val="mk-MK" w:eastAsia="zh-CN" w:bidi="hi-IN"/>
        </w:rPr>
      </w:pPr>
      <w:r w:rsidRPr="00AB5281">
        <w:rPr>
          <w:i/>
          <w:iCs/>
          <w:lang w:val="mk-MK" w:eastAsia="zh-CN" w:bidi="hi-IN"/>
        </w:rPr>
        <w:t>Директива 2014/95/EU – Нефинансиско известување</w:t>
      </w:r>
    </w:p>
    <w:p w14:paraId="5B4D27DF" w14:textId="4AC317E2" w:rsidR="00856146" w:rsidRPr="00F37CD7" w:rsidRDefault="00F37CD7" w:rsidP="00F37CD7">
      <w:pPr>
        <w:pStyle w:val="BodyText"/>
        <w:spacing w:before="240"/>
        <w:ind w:firstLine="720"/>
        <w:jc w:val="both"/>
        <w:rPr>
          <w:lang w:val="mk-MK" w:eastAsia="zh-CN" w:bidi="hi-IN"/>
        </w:rPr>
      </w:pPr>
      <w:r w:rsidRPr="00F37CD7">
        <w:rPr>
          <w:lang w:val="mk-MK" w:eastAsia="zh-CN" w:bidi="hi-IN"/>
        </w:rPr>
        <w:t>Оваа директива бара големите компании да објавуваат информации за: работнички права</w:t>
      </w:r>
      <w:r>
        <w:rPr>
          <w:lang w:val="mk-MK" w:eastAsia="zh-CN" w:bidi="hi-IN"/>
        </w:rPr>
        <w:t>,</w:t>
      </w:r>
      <w:r w:rsidRPr="00F37CD7">
        <w:rPr>
          <w:lang w:val="mk-MK" w:eastAsia="zh-CN" w:bidi="hi-IN"/>
        </w:rPr>
        <w:t xml:space="preserve"> работни услови</w:t>
      </w:r>
      <w:r>
        <w:rPr>
          <w:lang w:val="mk-MK" w:eastAsia="zh-CN" w:bidi="hi-IN"/>
        </w:rPr>
        <w:t xml:space="preserve">, </w:t>
      </w:r>
      <w:r w:rsidRPr="00F37CD7">
        <w:rPr>
          <w:lang w:val="mk-MK" w:eastAsia="zh-CN" w:bidi="hi-IN"/>
        </w:rPr>
        <w:t>почитување на човековите права</w:t>
      </w:r>
      <w:r>
        <w:rPr>
          <w:lang w:val="mk-MK" w:eastAsia="zh-CN" w:bidi="hi-IN"/>
        </w:rPr>
        <w:t>,</w:t>
      </w:r>
      <w:r w:rsidRPr="00F37CD7">
        <w:rPr>
          <w:lang w:val="mk-MK" w:eastAsia="zh-CN" w:bidi="hi-IN"/>
        </w:rPr>
        <w:t xml:space="preserve"> животна средина </w:t>
      </w:r>
      <w:r>
        <w:rPr>
          <w:lang w:val="mk-MK" w:eastAsia="zh-CN" w:bidi="hi-IN"/>
        </w:rPr>
        <w:t>и</w:t>
      </w:r>
      <w:r w:rsidRPr="00F37CD7">
        <w:rPr>
          <w:lang w:val="mk-MK" w:eastAsia="zh-CN" w:bidi="hi-IN"/>
        </w:rPr>
        <w:t xml:space="preserve"> антикорупциски практики</w:t>
      </w:r>
      <w:r>
        <w:rPr>
          <w:lang w:val="mk-MK" w:eastAsia="zh-CN" w:bidi="hi-IN"/>
        </w:rPr>
        <w:t>. Директивата</w:t>
      </w:r>
      <w:r w:rsidRPr="00F37CD7">
        <w:rPr>
          <w:lang w:val="mk-MK" w:eastAsia="zh-CN" w:bidi="hi-IN"/>
        </w:rPr>
        <w:t xml:space="preserve"> го проширува сфаќањето на корпоративното управување</w:t>
      </w:r>
      <w:r w:rsidR="00170537">
        <w:rPr>
          <w:lang w:val="mk-MK" w:eastAsia="zh-CN" w:bidi="hi-IN"/>
        </w:rPr>
        <w:t xml:space="preserve"> и зазема јасен став дека</w:t>
      </w:r>
      <w:r w:rsidRPr="00F37CD7">
        <w:rPr>
          <w:lang w:val="mk-MK" w:eastAsia="zh-CN" w:bidi="hi-IN"/>
        </w:rPr>
        <w:t xml:space="preserve"> компаниите не се одговорни само пред акционерите, туку и пред работниците и општеството.</w:t>
      </w:r>
      <w:r w:rsidR="00170537">
        <w:rPr>
          <w:rStyle w:val="FootnoteReference"/>
          <w:lang w:val="mk-MK" w:eastAsia="zh-CN" w:bidi="hi-IN"/>
        </w:rPr>
        <w:footnoteReference w:id="494"/>
      </w:r>
    </w:p>
    <w:p w14:paraId="72A14E84" w14:textId="7B18DF9C" w:rsidR="00662C63" w:rsidRDefault="00B404F3"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58" w:name="_Toc230523911"/>
      <w:r w:rsidRPr="00B404F3">
        <w:rPr>
          <w:rFonts w:ascii="Times New Roman" w:hAnsi="Times New Roman" w:cs="Times New Roman"/>
          <w:b w:val="0"/>
          <w:bCs w:val="0"/>
          <w:color w:val="000000" w:themeColor="text1"/>
          <w:sz w:val="24"/>
          <w:szCs w:val="24"/>
          <w:lang w:val="mk-MK"/>
        </w:rPr>
        <w:t>Директива 2022/2464 – Corporate Sustainability Reporting Directive (CSRD)</w:t>
      </w:r>
      <w:bookmarkEnd w:id="58"/>
    </w:p>
    <w:p w14:paraId="2F2EEC98" w14:textId="66B5A04A" w:rsidR="00AF7EEB" w:rsidRPr="00AF7EEB" w:rsidRDefault="00AF7EEB" w:rsidP="00AF7EEB">
      <w:pPr>
        <w:pStyle w:val="BodyText"/>
        <w:ind w:firstLine="720"/>
        <w:jc w:val="both"/>
        <w:rPr>
          <w:lang w:val="mk-MK" w:eastAsia="zh-CN" w:bidi="hi-IN"/>
        </w:rPr>
      </w:pPr>
      <w:r w:rsidRPr="00AF7EEB">
        <w:rPr>
          <w:lang w:val="mk-MK" w:eastAsia="zh-CN" w:bidi="hi-IN"/>
        </w:rPr>
        <w:t>Оваа директива значително го засилува претходниот режим. Компаниите мора да известуваат по стандардизирани европски правила за: работнички прав</w:t>
      </w:r>
      <w:r w:rsidR="002A1F91">
        <w:rPr>
          <w:lang w:val="mk-MK" w:eastAsia="zh-CN" w:bidi="hi-IN"/>
        </w:rPr>
        <w:t xml:space="preserve">а, </w:t>
      </w:r>
      <w:r w:rsidRPr="00AF7EEB">
        <w:rPr>
          <w:lang w:val="mk-MK" w:eastAsia="zh-CN" w:bidi="hi-IN"/>
        </w:rPr>
        <w:t>колективно договарање</w:t>
      </w:r>
      <w:r w:rsidR="002A1F91">
        <w:rPr>
          <w:lang w:val="mk-MK" w:eastAsia="zh-CN" w:bidi="hi-IN"/>
        </w:rPr>
        <w:t>,</w:t>
      </w:r>
      <w:r w:rsidRPr="00AF7EEB">
        <w:rPr>
          <w:lang w:val="mk-MK" w:eastAsia="zh-CN" w:bidi="hi-IN"/>
        </w:rPr>
        <w:t xml:space="preserve"> слобода на здружување</w:t>
      </w:r>
      <w:r w:rsidR="002A1F91">
        <w:rPr>
          <w:lang w:val="mk-MK" w:eastAsia="zh-CN" w:bidi="hi-IN"/>
        </w:rPr>
        <w:t xml:space="preserve"> и</w:t>
      </w:r>
      <w:r w:rsidRPr="00AF7EEB">
        <w:rPr>
          <w:lang w:val="mk-MK" w:eastAsia="zh-CN" w:bidi="hi-IN"/>
        </w:rPr>
        <w:t xml:space="preserve"> ризици долж синџирите на снабдување</w:t>
      </w:r>
      <w:r w:rsidR="002A1F91">
        <w:rPr>
          <w:lang w:val="mk-MK" w:eastAsia="zh-CN" w:bidi="hi-IN"/>
        </w:rPr>
        <w:t xml:space="preserve"> и</w:t>
      </w:r>
      <w:r w:rsidRPr="00AF7EEB">
        <w:rPr>
          <w:lang w:val="mk-MK" w:eastAsia="zh-CN" w:bidi="hi-IN"/>
        </w:rPr>
        <w:t xml:space="preserve"> мерки за заштита при реструктурирање</w:t>
      </w:r>
      <w:r w:rsidR="002A1F91">
        <w:rPr>
          <w:lang w:val="mk-MK" w:eastAsia="zh-CN" w:bidi="hi-IN"/>
        </w:rPr>
        <w:t>.</w:t>
      </w:r>
      <w:r w:rsidRPr="00AF7EEB">
        <w:rPr>
          <w:lang w:val="mk-MK" w:eastAsia="zh-CN" w:bidi="hi-IN"/>
        </w:rPr>
        <w:t xml:space="preserve"> CSRD создава систем каде работничките права се </w:t>
      </w:r>
      <w:r w:rsidRPr="00AF7EEB">
        <w:rPr>
          <w:lang w:val="mk-MK" w:eastAsia="zh-CN" w:bidi="hi-IN"/>
        </w:rPr>
        <w:lastRenderedPageBreak/>
        <w:t>составен дел од корпорациското ризично управување.</w:t>
      </w:r>
      <w:r w:rsidR="002A1F91">
        <w:rPr>
          <w:rStyle w:val="FootnoteReference"/>
          <w:lang w:val="mk-MK" w:eastAsia="zh-CN" w:bidi="hi-IN"/>
        </w:rPr>
        <w:footnoteReference w:id="495"/>
      </w:r>
    </w:p>
    <w:p w14:paraId="18ED5449" w14:textId="27A09B2E" w:rsidR="00F05E99" w:rsidRDefault="00F05E99"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59" w:name="_Toc230523912"/>
      <w:r w:rsidRPr="00F05E99">
        <w:rPr>
          <w:rFonts w:ascii="Times New Roman" w:hAnsi="Times New Roman" w:cs="Times New Roman"/>
          <w:b w:val="0"/>
          <w:bCs w:val="0"/>
          <w:color w:val="000000" w:themeColor="text1"/>
          <w:sz w:val="24"/>
          <w:szCs w:val="24"/>
          <w:lang w:val="mk-MK"/>
        </w:rPr>
        <w:t>Директива 2022/2381 – Родовата рамнотежа во одборите на котирани друштва</w:t>
      </w:r>
      <w:bookmarkEnd w:id="59"/>
    </w:p>
    <w:p w14:paraId="2B0B797B" w14:textId="6F91BB17" w:rsidR="00B05928" w:rsidRDefault="0015323A" w:rsidP="0015323A">
      <w:pPr>
        <w:pStyle w:val="BodyText"/>
        <w:ind w:firstLine="720"/>
        <w:jc w:val="both"/>
        <w:rPr>
          <w:lang w:val="mk-MK" w:eastAsia="zh-CN" w:bidi="hi-IN"/>
        </w:rPr>
      </w:pPr>
      <w:r>
        <w:rPr>
          <w:lang w:val="mk-MK" w:eastAsia="zh-CN" w:bidi="hi-IN"/>
        </w:rPr>
        <w:t xml:space="preserve">Последната и една од најзначајните за тезата е оваа </w:t>
      </w:r>
      <w:r w:rsidR="00F05E99" w:rsidRPr="00F05E99">
        <w:rPr>
          <w:lang w:val="mk-MK" w:eastAsia="zh-CN" w:bidi="hi-IN"/>
        </w:rPr>
        <w:t>директива</w:t>
      </w:r>
      <w:r>
        <w:rPr>
          <w:lang w:val="mk-MK" w:eastAsia="zh-CN" w:bidi="hi-IN"/>
        </w:rPr>
        <w:t xml:space="preserve"> што</w:t>
      </w:r>
      <w:r w:rsidR="00F05E99" w:rsidRPr="00F05E99">
        <w:rPr>
          <w:lang w:val="mk-MK" w:eastAsia="zh-CN" w:bidi="hi-IN"/>
        </w:rPr>
        <w:t xml:space="preserve"> претставува важен развој бидејќи првпат ги обврзува државите членки директно да интервенираат во составите на управните или надзорните одбори на приватни компании. Нејзините главни елементи се</w:t>
      </w:r>
      <w:r w:rsidR="000F2D04">
        <w:rPr>
          <w:lang w:val="mk-MK" w:eastAsia="zh-CN" w:bidi="hi-IN"/>
        </w:rPr>
        <w:t xml:space="preserve"> барањето</w:t>
      </w:r>
      <w:r w:rsidR="00F05E99" w:rsidRPr="00F05E99">
        <w:rPr>
          <w:lang w:val="mk-MK" w:eastAsia="zh-CN" w:bidi="hi-IN"/>
        </w:rPr>
        <w:t xml:space="preserve"> најдоцна до 2026 година, најмалку 40 проценти од не</w:t>
      </w:r>
      <w:r w:rsidR="000F2D04">
        <w:rPr>
          <w:lang w:val="mk-MK" w:eastAsia="zh-CN" w:bidi="hi-IN"/>
        </w:rPr>
        <w:t>извршните</w:t>
      </w:r>
      <w:r w:rsidR="00F05E99" w:rsidRPr="00F05E99">
        <w:rPr>
          <w:lang w:val="mk-MK" w:eastAsia="zh-CN" w:bidi="hi-IN"/>
        </w:rPr>
        <w:t xml:space="preserve"> директори</w:t>
      </w:r>
      <w:r w:rsidR="000F2D04">
        <w:rPr>
          <w:lang w:val="mk-MK" w:eastAsia="zh-CN" w:bidi="hi-IN"/>
        </w:rPr>
        <w:t xml:space="preserve"> да</w:t>
      </w:r>
      <w:r w:rsidR="00F05E99" w:rsidRPr="00F05E99">
        <w:rPr>
          <w:lang w:val="mk-MK" w:eastAsia="zh-CN" w:bidi="hi-IN"/>
        </w:rPr>
        <w:t xml:space="preserve"> мора да бидат од </w:t>
      </w:r>
      <w:r w:rsidR="000F2D04">
        <w:rPr>
          <w:lang w:val="mk-MK" w:eastAsia="zh-CN" w:bidi="hi-IN"/>
        </w:rPr>
        <w:t>помалку застапениот</w:t>
      </w:r>
      <w:r w:rsidR="00F05E99" w:rsidRPr="00F05E99">
        <w:rPr>
          <w:lang w:val="mk-MK" w:eastAsia="zh-CN" w:bidi="hi-IN"/>
        </w:rPr>
        <w:t xml:space="preserve"> пол,</w:t>
      </w:r>
      <w:r w:rsidR="000F2D04">
        <w:rPr>
          <w:rStyle w:val="FootnoteReference"/>
          <w:lang w:val="mk-MK" w:eastAsia="zh-CN" w:bidi="hi-IN"/>
        </w:rPr>
        <w:footnoteReference w:id="496"/>
      </w:r>
      <w:r w:rsidR="00F05E99" w:rsidRPr="00F05E99">
        <w:rPr>
          <w:lang w:val="mk-MK" w:eastAsia="zh-CN" w:bidi="hi-IN"/>
        </w:rPr>
        <w:t xml:space="preserve"> или најмалку 33 проценти од сите директори во компанијата </w:t>
      </w:r>
      <w:r w:rsidR="00ED25EE">
        <w:rPr>
          <w:lang w:val="mk-MK" w:eastAsia="zh-CN" w:bidi="hi-IN"/>
        </w:rPr>
        <w:t xml:space="preserve">да бидат од помалку застапениот </w:t>
      </w:r>
      <w:r w:rsidR="00F05E99" w:rsidRPr="00F05E99">
        <w:rPr>
          <w:lang w:val="mk-MK" w:eastAsia="zh-CN" w:bidi="hi-IN"/>
        </w:rPr>
        <w:t>пол.</w:t>
      </w:r>
      <w:r w:rsidR="00B05928">
        <w:rPr>
          <w:rStyle w:val="FootnoteReference"/>
          <w:lang w:val="mk-MK" w:eastAsia="zh-CN" w:bidi="hi-IN"/>
        </w:rPr>
        <w:footnoteReference w:id="497"/>
      </w:r>
      <w:r w:rsidR="00F05E99" w:rsidRPr="00F05E99">
        <w:rPr>
          <w:lang w:val="mk-MK" w:eastAsia="zh-CN" w:bidi="hi-IN"/>
        </w:rPr>
        <w:t xml:space="preserve"> </w:t>
      </w:r>
    </w:p>
    <w:p w14:paraId="33E54D94" w14:textId="19A02FED" w:rsidR="00F05E99" w:rsidRDefault="00B05928" w:rsidP="00B05928">
      <w:pPr>
        <w:pStyle w:val="BodyText"/>
        <w:spacing w:before="240"/>
        <w:ind w:firstLine="720"/>
        <w:jc w:val="both"/>
        <w:rPr>
          <w:lang w:val="mk-MK" w:eastAsia="zh-CN" w:bidi="hi-IN"/>
        </w:rPr>
      </w:pPr>
      <w:r>
        <w:rPr>
          <w:lang w:val="mk-MK" w:eastAsia="zh-CN" w:bidi="hi-IN"/>
        </w:rPr>
        <w:t>Практично, д</w:t>
      </w:r>
      <w:r w:rsidR="00F05E99" w:rsidRPr="00F05E99">
        <w:rPr>
          <w:lang w:val="mk-MK" w:eastAsia="zh-CN" w:bidi="hi-IN"/>
        </w:rPr>
        <w:t>ржавите мора да воведат транспарентни процедури за именување</w:t>
      </w:r>
      <w:r w:rsidR="006E0A16">
        <w:rPr>
          <w:lang w:val="mk-MK" w:eastAsia="zh-CN" w:bidi="hi-IN"/>
        </w:rPr>
        <w:t>,</w:t>
      </w:r>
      <w:r w:rsidR="00F05E99" w:rsidRPr="00F05E99">
        <w:rPr>
          <w:lang w:val="mk-MK" w:eastAsia="zh-CN" w:bidi="hi-IN"/>
        </w:rPr>
        <w:t xml:space="preserve"> јасни критериуми базирани на квалификации</w:t>
      </w:r>
      <w:r w:rsidR="006E0A16">
        <w:rPr>
          <w:lang w:val="mk-MK" w:eastAsia="zh-CN" w:bidi="hi-IN"/>
        </w:rPr>
        <w:t>,</w:t>
      </w:r>
      <w:r w:rsidR="00F05E99" w:rsidRPr="00F05E99">
        <w:rPr>
          <w:lang w:val="mk-MK" w:eastAsia="zh-CN" w:bidi="hi-IN"/>
        </w:rPr>
        <w:t xml:space="preserve"> санкции за компаниите што не ги почитуваат правилата </w:t>
      </w:r>
      <w:r w:rsidR="006E0A16">
        <w:rPr>
          <w:lang w:val="mk-MK" w:eastAsia="zh-CN" w:bidi="hi-IN"/>
        </w:rPr>
        <w:t>и</w:t>
      </w:r>
      <w:r w:rsidR="00F05E99" w:rsidRPr="00F05E99">
        <w:rPr>
          <w:lang w:val="mk-MK" w:eastAsia="zh-CN" w:bidi="hi-IN"/>
        </w:rPr>
        <w:t xml:space="preserve"> обврска за редовно известување кон регулаторите</w:t>
      </w:r>
      <w:r w:rsidR="006E0A16">
        <w:rPr>
          <w:lang w:val="mk-MK" w:eastAsia="zh-CN" w:bidi="hi-IN"/>
        </w:rPr>
        <w:t>.</w:t>
      </w:r>
      <w:r w:rsidR="00F05E99" w:rsidRPr="00F05E99">
        <w:rPr>
          <w:lang w:val="mk-MK" w:eastAsia="zh-CN" w:bidi="hi-IN"/>
        </w:rPr>
        <w:t xml:space="preserve"> Суштината на директивата е во тоа што воведува обврзувачки квоти, што претставува нов степен на европска интервенција во корпоративното управување. </w:t>
      </w:r>
      <w:r w:rsidR="002D6814">
        <w:rPr>
          <w:lang w:val="mk-MK" w:eastAsia="zh-CN" w:bidi="hi-IN"/>
        </w:rPr>
        <w:t>Директивата</w:t>
      </w:r>
      <w:r w:rsidR="00F05E99" w:rsidRPr="00F05E99">
        <w:rPr>
          <w:lang w:val="mk-MK" w:eastAsia="zh-CN" w:bidi="hi-IN"/>
        </w:rPr>
        <w:t xml:space="preserve"> признава дека претходните мерки базирани на доброволност не дове</w:t>
      </w:r>
      <w:r w:rsidR="002D6814">
        <w:rPr>
          <w:lang w:val="mk-MK" w:eastAsia="zh-CN" w:bidi="hi-IN"/>
        </w:rPr>
        <w:t>ле</w:t>
      </w:r>
      <w:r w:rsidR="00F05E99" w:rsidRPr="00F05E99">
        <w:rPr>
          <w:lang w:val="mk-MK" w:eastAsia="zh-CN" w:bidi="hi-IN"/>
        </w:rPr>
        <w:t xml:space="preserve"> до реална родова рамнотежа и дека корпоративната структура, доколку ја носат само пазарните сили, останува хомогена и исклучувачка. Со оваа директива, ЕУ ја третира родовата разновидност како дел од доброто корпоративно управување, а не како социјална политика.</w:t>
      </w:r>
    </w:p>
    <w:p w14:paraId="1981B5F6" w14:textId="65A860B6" w:rsidR="002D6814" w:rsidRPr="00F05E99" w:rsidRDefault="002D6814" w:rsidP="00B05928">
      <w:pPr>
        <w:pStyle w:val="BodyText"/>
        <w:spacing w:before="240"/>
        <w:ind w:firstLine="720"/>
        <w:jc w:val="both"/>
        <w:rPr>
          <w:lang w:val="mk-MK" w:eastAsia="zh-CN" w:bidi="hi-IN"/>
        </w:rPr>
      </w:pPr>
      <w:r>
        <w:rPr>
          <w:lang w:val="mk-MK" w:eastAsia="zh-CN" w:bidi="hi-IN"/>
        </w:rPr>
        <w:t xml:space="preserve">Во однос на тезата, директивата нуди одлична основа за дискусија како законски да се интервенира за да се обезбеди вклученост на вработените во трговските друштва. </w:t>
      </w:r>
    </w:p>
    <w:p w14:paraId="5D8A268F" w14:textId="5095ABD1" w:rsidR="00DA5CC2" w:rsidRDefault="00DA5CC2" w:rsidP="009330C0">
      <w:pPr>
        <w:pStyle w:val="Heading2"/>
        <w:numPr>
          <w:ilvl w:val="1"/>
          <w:numId w:val="4"/>
        </w:numPr>
        <w:spacing w:after="240"/>
        <w:jc w:val="both"/>
        <w:rPr>
          <w:rFonts w:ascii="Times New Roman" w:hAnsi="Times New Roman" w:cs="Times New Roman"/>
          <w:b w:val="0"/>
          <w:bCs w:val="0"/>
          <w:color w:val="000000" w:themeColor="text1"/>
          <w:sz w:val="24"/>
          <w:szCs w:val="24"/>
          <w:lang w:val="mk-MK"/>
        </w:rPr>
      </w:pPr>
      <w:bookmarkStart w:id="60" w:name="_Toc230523913"/>
      <w:r w:rsidRPr="004A51D9">
        <w:rPr>
          <w:rFonts w:ascii="Times New Roman" w:hAnsi="Times New Roman" w:cs="Times New Roman"/>
          <w:b w:val="0"/>
          <w:bCs w:val="0"/>
          <w:color w:val="000000" w:themeColor="text1"/>
          <w:sz w:val="24"/>
          <w:szCs w:val="24"/>
          <w:lang w:val="mk-MK"/>
        </w:rPr>
        <w:t xml:space="preserve">Степенот на усогласеност на Македонија со стандардите на </w:t>
      </w:r>
      <w:r>
        <w:rPr>
          <w:rFonts w:ascii="Times New Roman" w:hAnsi="Times New Roman" w:cs="Times New Roman"/>
          <w:b w:val="0"/>
          <w:bCs w:val="0"/>
          <w:color w:val="000000" w:themeColor="text1"/>
          <w:sz w:val="24"/>
          <w:szCs w:val="24"/>
          <w:lang w:val="mk-MK"/>
        </w:rPr>
        <w:t>ЕУ</w:t>
      </w:r>
      <w:bookmarkEnd w:id="60"/>
    </w:p>
    <w:p w14:paraId="0E9DA128" w14:textId="77777777" w:rsidR="00A72962" w:rsidRDefault="00FC514C" w:rsidP="0020798C">
      <w:pPr>
        <w:pStyle w:val="BodyText"/>
        <w:ind w:firstLine="720"/>
        <w:jc w:val="both"/>
        <w:rPr>
          <w:lang w:val="en-US" w:eastAsia="zh-CN" w:bidi="hi-IN"/>
        </w:rPr>
      </w:pPr>
      <w:r w:rsidRPr="00FC514C">
        <w:rPr>
          <w:lang w:val="mk-MK" w:eastAsia="zh-CN" w:bidi="hi-IN"/>
        </w:rPr>
        <w:t>Во однос на стандардите на Европската унија за корпоративно управување, информирање и консултирање и учество на работниците</w:t>
      </w:r>
      <w:r w:rsidR="008D6364">
        <w:rPr>
          <w:lang w:val="mk-MK" w:eastAsia="zh-CN" w:bidi="hi-IN"/>
        </w:rPr>
        <w:t xml:space="preserve"> и имајќи го предвид статусот на државата во однос на ЕУ</w:t>
      </w:r>
      <w:r w:rsidRPr="00FC514C">
        <w:rPr>
          <w:lang w:val="mk-MK" w:eastAsia="zh-CN" w:bidi="hi-IN"/>
        </w:rPr>
        <w:t>, Македонија има постигнато парцијално усогласување, со значителни празнини во делот на практичната примена и во транспонирањето на одредени клучни директиви. Основната рамка за информирање и консултирање постои во Законот за работни односи, каде што се предвидени обврски за работодавачите да информираат и консултираат при економски, организациски и технолошки промени.</w:t>
      </w:r>
      <w:r w:rsidR="0087763D">
        <w:rPr>
          <w:rStyle w:val="FootnoteReference"/>
          <w:lang w:val="mk-MK" w:eastAsia="zh-CN" w:bidi="hi-IN"/>
        </w:rPr>
        <w:footnoteReference w:id="498"/>
      </w:r>
      <w:r w:rsidRPr="00FC514C">
        <w:rPr>
          <w:lang w:val="mk-MK" w:eastAsia="zh-CN" w:bidi="hi-IN"/>
        </w:rPr>
        <w:t xml:space="preserve"> Сепак, транспонирањето не ја достигнува материјалната содржина на Директивата 2002/14/EC, особено во делот на јасни процедури, рокови и санкции кои обезбедуваат предвидливост и ефективност на правото на работниците да добиваат навремени информации и да учествуваат во процесите што влијаат врз нивната работна средина. </w:t>
      </w:r>
    </w:p>
    <w:p w14:paraId="15AC330F" w14:textId="345EDA6A" w:rsidR="00DA5CC2" w:rsidRDefault="00FC514C" w:rsidP="00A72962">
      <w:pPr>
        <w:pStyle w:val="BodyText"/>
        <w:spacing w:before="240"/>
        <w:ind w:firstLine="720"/>
        <w:jc w:val="both"/>
        <w:rPr>
          <w:lang w:val="mk-MK" w:eastAsia="zh-CN" w:bidi="hi-IN"/>
        </w:rPr>
      </w:pPr>
      <w:r w:rsidRPr="00FC514C">
        <w:rPr>
          <w:lang w:val="mk-MK" w:eastAsia="zh-CN" w:bidi="hi-IN"/>
        </w:rPr>
        <w:t>На сличен начин, постојат одредби што се однесуваат на колективни отпуштања и преструктурирање, но клучните стандарди содржани во Директивата 98/59/EC и Директивата 2001/23/EC се транспонирани делумно и со значително поограничена заштита, особено во поглед на обврската за суштински консултации и обезбедувањето на права при пренос на претпријатие.</w:t>
      </w:r>
      <w:r w:rsidR="00B8287F">
        <w:rPr>
          <w:rStyle w:val="FootnoteReference"/>
          <w:lang w:val="mk-MK" w:eastAsia="zh-CN" w:bidi="hi-IN"/>
        </w:rPr>
        <w:footnoteReference w:id="499"/>
      </w:r>
      <w:r w:rsidRPr="00FC514C">
        <w:rPr>
          <w:lang w:val="mk-MK" w:eastAsia="zh-CN" w:bidi="hi-IN"/>
        </w:rPr>
        <w:t xml:space="preserve"> Овие ограничувања се видливи и во праксата, </w:t>
      </w:r>
      <w:r w:rsidRPr="00FC514C">
        <w:rPr>
          <w:lang w:val="mk-MK" w:eastAsia="zh-CN" w:bidi="hi-IN"/>
        </w:rPr>
        <w:lastRenderedPageBreak/>
        <w:t>каде што</w:t>
      </w:r>
      <w:r w:rsidR="00703BB9">
        <w:rPr>
          <w:lang w:val="mk-MK" w:eastAsia="zh-CN" w:bidi="hi-IN"/>
        </w:rPr>
        <w:t xml:space="preserve"> </w:t>
      </w:r>
      <w:r w:rsidRPr="00FC514C">
        <w:rPr>
          <w:lang w:val="mk-MK" w:eastAsia="zh-CN" w:bidi="hi-IN"/>
        </w:rPr>
        <w:t>претставници</w:t>
      </w:r>
      <w:r w:rsidR="00703BB9">
        <w:rPr>
          <w:lang w:val="mk-MK" w:eastAsia="zh-CN" w:bidi="hi-IN"/>
        </w:rPr>
        <w:t>те на вработените</w:t>
      </w:r>
      <w:r w:rsidRPr="00FC514C">
        <w:rPr>
          <w:lang w:val="mk-MK" w:eastAsia="zh-CN" w:bidi="hi-IN"/>
        </w:rPr>
        <w:t xml:space="preserve"> ретко имаат реално влијание врз одлуките што водат до отпуштања или промени во сопственоста и организацијата на претпријатијата.</w:t>
      </w:r>
      <w:r w:rsidR="008D6364">
        <w:rPr>
          <w:lang w:val="mk-MK" w:eastAsia="zh-CN" w:bidi="hi-IN"/>
        </w:rPr>
        <w:t xml:space="preserve"> </w:t>
      </w:r>
    </w:p>
    <w:p w14:paraId="00C72193" w14:textId="3A63EC45" w:rsidR="00703BB9" w:rsidRDefault="000B0F4C" w:rsidP="00A72962">
      <w:pPr>
        <w:pStyle w:val="BodyText"/>
        <w:spacing w:before="240"/>
        <w:ind w:firstLine="720"/>
        <w:jc w:val="both"/>
        <w:rPr>
          <w:lang w:val="mk-MK" w:eastAsia="zh-CN" w:bidi="hi-IN"/>
        </w:rPr>
      </w:pPr>
      <w:r w:rsidRPr="000B0F4C">
        <w:rPr>
          <w:lang w:val="mk-MK" w:eastAsia="zh-CN" w:bidi="hi-IN"/>
        </w:rPr>
        <w:t>Регулативата на Европските работнички совети, која е кодифицирана во Директивата 2009/38/EC, не се применува бидејќи Македонија не е членка на Европската унија, но подготвеноста за нејзино имплементирање е релевантен индикатор за усогласеност со европските норми.</w:t>
      </w:r>
      <w:r w:rsidR="0032263B">
        <w:rPr>
          <w:rStyle w:val="FootnoteReference"/>
          <w:lang w:val="mk-MK" w:eastAsia="zh-CN" w:bidi="hi-IN"/>
        </w:rPr>
        <w:footnoteReference w:id="500"/>
      </w:r>
      <w:r w:rsidRPr="000B0F4C">
        <w:rPr>
          <w:lang w:val="mk-MK" w:eastAsia="zh-CN" w:bidi="hi-IN"/>
        </w:rPr>
        <w:t xml:space="preserve"> Во ова поле, Македонија нема воспоставено </w:t>
      </w:r>
      <w:r w:rsidR="00AF768F">
        <w:rPr>
          <w:lang w:val="mk-MK" w:eastAsia="zh-CN" w:bidi="hi-IN"/>
        </w:rPr>
        <w:t>никаков</w:t>
      </w:r>
      <w:r w:rsidRPr="000B0F4C">
        <w:rPr>
          <w:lang w:val="mk-MK" w:eastAsia="zh-CN" w:bidi="hi-IN"/>
        </w:rPr>
        <w:t xml:space="preserve"> систем што би бил споредлив со механизмите за прекугранично информирање и консултирање, ниту постојат структури што би служеле како функционална основа за идно усогласување. Истата констатација важи и за европските правни форми како што се SE и SCE, кои бараат строго уредени модели на учество на работниците во одборите, што во македонскиот контекст би претставувало суштинска новина. Националното право во моментов не познава никаква форма на задолжително учество на работниците во одборите на директори или надзорните одбори, што претставува дисхармонија со моделите содржани во европските статути за SE и SCE, како и со општите тенденции во ЕУ кои го зајакнуваат учеството како дел од пошироката корпоративна одговорност.</w:t>
      </w:r>
    </w:p>
    <w:p w14:paraId="0979C0A0" w14:textId="6C6108FC" w:rsidR="00652759" w:rsidRDefault="00652759" w:rsidP="00A72962">
      <w:pPr>
        <w:pStyle w:val="BodyText"/>
        <w:spacing w:before="240"/>
        <w:ind w:firstLine="720"/>
        <w:jc w:val="both"/>
        <w:rPr>
          <w:lang w:val="mk-MK" w:eastAsia="zh-CN" w:bidi="hi-IN"/>
        </w:rPr>
      </w:pPr>
      <w:r w:rsidRPr="00652759">
        <w:rPr>
          <w:lang w:val="mk-MK" w:eastAsia="zh-CN" w:bidi="hi-IN"/>
        </w:rPr>
        <w:t>Областа на транспарентноста и корпоративното известување е релативно најусогласена. Македонија има направено значителни чекори во имплементирањето на стандардите од Директивата 2013/34/EU, особено со усогласувањето на правилата за финансиско известување и ревизија. Сепак, елементите поврзани со нефинансиското известување и корпоративната одговорност, кои во ЕУ добиваат сè поголема тежина, остануваат ограничено развиени. Во однос на Директивата (ЕУ) 2017/828 за охрабрување на долгорочно акционерско учество, македонската регулатива содржи неколку правила што одат во насока на поголема транспарентност, но суштинските механизми што обезбедуваат активна улога на акционерите во надзорот над управувањето не се развиени до нивото што се бара во Унијата.</w:t>
      </w:r>
    </w:p>
    <w:p w14:paraId="0518CA7A" w14:textId="38F60BA9" w:rsidR="0001273E" w:rsidRDefault="0001273E" w:rsidP="00A72962">
      <w:pPr>
        <w:pStyle w:val="BodyText"/>
        <w:spacing w:before="240"/>
        <w:ind w:firstLine="720"/>
        <w:jc w:val="both"/>
        <w:rPr>
          <w:lang w:val="mk-MK" w:eastAsia="zh-CN" w:bidi="hi-IN"/>
        </w:rPr>
      </w:pPr>
      <w:r w:rsidRPr="0001273E">
        <w:rPr>
          <w:lang w:val="mk-MK" w:eastAsia="zh-CN" w:bidi="hi-IN"/>
        </w:rPr>
        <w:t>Во однос на Директивата 2022/2381 за подобрување на родовата рамнотежа во управните одбори на котираните друштва, Македонија сè уште нема преземено системски мерки што би биле споредливи со стандардите во ЕУ. Во моментот нема квоти, нема законски цели и нема механизми за надзор или санкции во делот на застапеноста на жените</w:t>
      </w:r>
      <w:r w:rsidR="001852FE">
        <w:rPr>
          <w:lang w:val="mk-MK" w:eastAsia="zh-CN" w:bidi="hi-IN"/>
        </w:rPr>
        <w:t>, вработените или било кој друг</w:t>
      </w:r>
      <w:r w:rsidRPr="0001273E">
        <w:rPr>
          <w:lang w:val="mk-MK" w:eastAsia="zh-CN" w:bidi="hi-IN"/>
        </w:rPr>
        <w:t xml:space="preserve"> во одборите. И покрај тоа што ова прашање сè почесто се отвора во јавниот дискурс, нормативното усогласување е во рана фаза и практиката на корпоративното управување продолжува да ја одразува постојаната нерамнотежа</w:t>
      </w:r>
      <w:r w:rsidR="001852FE">
        <w:rPr>
          <w:lang w:val="mk-MK" w:eastAsia="zh-CN" w:bidi="hi-IN"/>
        </w:rPr>
        <w:t xml:space="preserve"> и дисбаланс</w:t>
      </w:r>
      <w:r w:rsidRPr="0001273E">
        <w:rPr>
          <w:lang w:val="mk-MK" w:eastAsia="zh-CN" w:bidi="hi-IN"/>
        </w:rPr>
        <w:t>.</w:t>
      </w:r>
    </w:p>
    <w:p w14:paraId="518BBB85" w14:textId="71EE3BDF" w:rsidR="00902B64" w:rsidRPr="00C43150" w:rsidRDefault="001852FE" w:rsidP="00C43150">
      <w:pPr>
        <w:pStyle w:val="BodyText"/>
        <w:spacing w:before="240" w:after="240"/>
        <w:ind w:firstLine="720"/>
        <w:jc w:val="both"/>
        <w:rPr>
          <w:lang w:val="mk-MK" w:eastAsia="zh-CN" w:bidi="hi-IN"/>
        </w:rPr>
      </w:pPr>
      <w:r w:rsidRPr="001852FE">
        <w:rPr>
          <w:lang w:val="mk-MK" w:eastAsia="zh-CN" w:bidi="hi-IN"/>
        </w:rPr>
        <w:t xml:space="preserve">Севкупната слика покажува дека Македонија има направено значајни чекори во усогласувањето со основните барања на европското трудово и корпоративно право, но остануваат крупни недоволно развиени сегменти, особено во делот на учеството на работниците, нефинансиското известување, прекуграничните механизми и родовата рамнотежа во управувањето. Ова укажува на потребата од постепена, но суштинска модернизација на националната регулатива, како и од институционални и културни промени што ќе овозможат ефективна примена на европските стандарди. Усогласувањето со правото на ЕУ </w:t>
      </w:r>
      <w:r w:rsidR="00AA30F7">
        <w:rPr>
          <w:lang w:val="mk-MK" w:eastAsia="zh-CN" w:bidi="hi-IN"/>
        </w:rPr>
        <w:t>претставува</w:t>
      </w:r>
      <w:r w:rsidRPr="001852FE">
        <w:rPr>
          <w:lang w:val="mk-MK" w:eastAsia="zh-CN" w:bidi="hi-IN"/>
        </w:rPr>
        <w:t xml:space="preserve"> важен дел од процесот на создавање поконкурентна, подемократска и одржлива корпоративна средина. Со јасна стратегија и постепено воведување на најдобрите европски практики, државата може да го зајакне </w:t>
      </w:r>
      <w:r w:rsidRPr="001852FE">
        <w:rPr>
          <w:lang w:val="mk-MK" w:eastAsia="zh-CN" w:bidi="hi-IN"/>
        </w:rPr>
        <w:lastRenderedPageBreak/>
        <w:t>квалитетот на корпоративното управување и да обезбеди поголема правна сигурност, транспарентност и учество во деловниот сектор</w:t>
      </w:r>
      <w:r w:rsidR="006D1EFC">
        <w:rPr>
          <w:lang w:val="mk-MK" w:eastAsia="zh-CN" w:bidi="hi-IN"/>
        </w:rPr>
        <w:t xml:space="preserve"> со што ќе го задржи и привлече талентот на работната сила. </w:t>
      </w:r>
    </w:p>
    <w:p w14:paraId="47D8C3C5" w14:textId="33D17B05" w:rsidR="002D6368" w:rsidRPr="00400D13" w:rsidRDefault="00687A40" w:rsidP="009330C0">
      <w:pPr>
        <w:pStyle w:val="Heading1"/>
        <w:numPr>
          <w:ilvl w:val="0"/>
          <w:numId w:val="10"/>
        </w:numPr>
        <w:jc w:val="both"/>
      </w:pPr>
      <w:bookmarkStart w:id="61" w:name="_Toc230523914"/>
      <w:r w:rsidRPr="00687A40">
        <w:t>Стандарди и иницијативи на Обединетите Нации</w:t>
      </w:r>
      <w:bookmarkEnd w:id="61"/>
    </w:p>
    <w:p w14:paraId="65332A48" w14:textId="6F696945" w:rsidR="002D6368" w:rsidRDefault="00D12F4A" w:rsidP="00400D13">
      <w:pPr>
        <w:pStyle w:val="BodyText"/>
        <w:spacing w:before="240"/>
        <w:ind w:firstLine="720"/>
        <w:jc w:val="both"/>
        <w:rPr>
          <w:lang w:val="mk-MK"/>
        </w:rPr>
      </w:pPr>
      <w:r w:rsidRPr="00D12F4A">
        <w:rPr>
          <w:lang w:val="mk-MK"/>
        </w:rPr>
        <w:t>Стандардите и иницијативите на Обединетите нации во областа на корпоративното управување, човековите права и учеството на работниците претставуваат глобална рамка што има значително влијание врз развојот на националните политики, вклучително и оние што се однесуваат на работничките права и корпоративната одговорност. Иако тие по правило не се правно обврзувачки инструменти, нивната улога е да создадат универзални принципи кои постепено се преточуваат во обврзувачки стандарди преку практиката на државите, меѓународните организации и деловните субјекти. Најважните иницијативи по</w:t>
      </w:r>
      <w:r w:rsidR="004C579C">
        <w:rPr>
          <w:lang w:val="mk-MK"/>
        </w:rPr>
        <w:t>д чадорот</w:t>
      </w:r>
      <w:r w:rsidRPr="00D12F4A">
        <w:rPr>
          <w:lang w:val="mk-MK"/>
        </w:rPr>
        <w:t xml:space="preserve"> на ОН не го уредуваат директно учеството на работниците во корпоративното управување, но воспоставуваат основни правила за транспарентност, недискриминација, учество, трудови стандарди и отчетност кои индиректно ја зајакнуваат</w:t>
      </w:r>
      <w:r w:rsidR="00491573">
        <w:rPr>
          <w:lang w:val="mk-MK"/>
        </w:rPr>
        <w:t xml:space="preserve"> и препознаваат</w:t>
      </w:r>
      <w:r w:rsidRPr="00D12F4A">
        <w:rPr>
          <w:lang w:val="mk-MK"/>
        </w:rPr>
        <w:t xml:space="preserve"> позицијата на работниците во претпријатијата.</w:t>
      </w:r>
    </w:p>
    <w:p w14:paraId="0A09B42B" w14:textId="453879FC" w:rsidR="00491573" w:rsidRDefault="00E606A6" w:rsidP="00400D13">
      <w:pPr>
        <w:pStyle w:val="BodyText"/>
        <w:spacing w:before="240"/>
        <w:ind w:firstLine="720"/>
        <w:jc w:val="both"/>
        <w:rPr>
          <w:lang w:val="en-US"/>
        </w:rPr>
      </w:pPr>
      <w:r w:rsidRPr="00E606A6">
        <w:rPr>
          <w:lang w:val="mk-MK"/>
        </w:rPr>
        <w:t>Една од централните рамки се Водечките принципи на ОН за бизнис и човекови права (UNGPs), усвоени од Советот за човекови права во 2011.</w:t>
      </w:r>
      <w:r w:rsidR="001B2B35">
        <w:rPr>
          <w:rStyle w:val="FootnoteReference"/>
          <w:lang w:val="mk-MK"/>
        </w:rPr>
        <w:footnoteReference w:id="501"/>
      </w:r>
      <w:r w:rsidRPr="00E606A6">
        <w:rPr>
          <w:lang w:val="mk-MK"/>
        </w:rPr>
        <w:t xml:space="preserve"> Овие принципи поставуваат три јасни столба: обврска на државите да заштитуваат, одговорност на бизнисите да ги почитуваат човековите права и пристап до правна заштита за жртвите на повреди. Иако UNGPs не воспоставуваат обврски за учество на работниците во одлуките на компаниите, тие го засилуваат значењето на работничкиот ангажман, правото на информации, консултациите и дијалогот со засегнатите страни. Токму овие принципи во последната деценија ја поттикнаа појавата на национални акциски планови за бизнис и човекови права, задолжителни режими на </w:t>
      </w:r>
      <w:r w:rsidR="00E02FBE">
        <w:rPr>
          <w:lang w:val="en-US"/>
        </w:rPr>
        <w:t>due diligence</w:t>
      </w:r>
      <w:r w:rsidRPr="00E606A6">
        <w:rPr>
          <w:lang w:val="mk-MK"/>
        </w:rPr>
        <w:t xml:space="preserve"> во некои држави и зголемен притисок врз компаниите да воспостават интерни механизми за отчетност, што индиректно создава подобра основа за поголемо учество на работниците.</w:t>
      </w:r>
    </w:p>
    <w:p w14:paraId="6A22B0B0" w14:textId="0FA1A3D6" w:rsidR="003D6466" w:rsidRDefault="003D6466" w:rsidP="00400D13">
      <w:pPr>
        <w:pStyle w:val="BodyText"/>
        <w:spacing w:before="240"/>
        <w:ind w:firstLine="720"/>
        <w:jc w:val="both"/>
        <w:rPr>
          <w:lang w:val="mk-MK"/>
        </w:rPr>
      </w:pPr>
      <w:r w:rsidRPr="003D6466">
        <w:rPr>
          <w:lang w:val="mk-MK"/>
        </w:rPr>
        <w:t>Во системот на ОН особено важна улога има и Меѓународната организација на трудот, која е специјализирана агенција со мандат да развива меѓународни стандарди на трудот. Конвенциите на МОТ, особено оние</w:t>
      </w:r>
      <w:r w:rsidR="003B205E">
        <w:rPr>
          <w:lang w:val="mk-MK"/>
        </w:rPr>
        <w:t xml:space="preserve"> што беа обработени погоре</w:t>
      </w:r>
      <w:r w:rsidR="00F77008">
        <w:rPr>
          <w:lang w:val="mk-MK"/>
        </w:rPr>
        <w:t>, се доказ дека иако</w:t>
      </w:r>
      <w:r w:rsidRPr="003D6466">
        <w:rPr>
          <w:lang w:val="mk-MK"/>
        </w:rPr>
        <w:t xml:space="preserve"> МОТ не регулира корпоративно управување во тесна смисла, неговите стандарди претставуваат меѓународниот минимум што државите се очекува да го почитуваат при дизајнирање на својот систем.</w:t>
      </w:r>
      <w:r w:rsidR="00F77008">
        <w:rPr>
          <w:lang w:val="mk-MK"/>
        </w:rPr>
        <w:t xml:space="preserve"> </w:t>
      </w:r>
      <w:r w:rsidR="00F77008" w:rsidRPr="00F77008">
        <w:rPr>
          <w:lang w:val="mk-MK"/>
        </w:rPr>
        <w:t xml:space="preserve">Дополнителен столб на меѓународната рамка се Целите за одржлив развој (SDGs), особено </w:t>
      </w:r>
      <w:r w:rsidR="004D51E8">
        <w:rPr>
          <w:lang w:val="mk-MK"/>
        </w:rPr>
        <w:t>ц</w:t>
      </w:r>
      <w:r w:rsidR="00F77008" w:rsidRPr="00F77008">
        <w:rPr>
          <w:lang w:val="mk-MK"/>
        </w:rPr>
        <w:t>елите 5, 8, 10 и 16, кои се однесуваат на родова рамноправност, пристојна работа, намалување нееднаквости и институции кои обезбедуваат отчетност и инклузивност. Иако SDGs не се правни стандарди, тие успешно созда</w:t>
      </w:r>
      <w:r w:rsidR="002465D0">
        <w:rPr>
          <w:lang w:val="mk-MK"/>
        </w:rPr>
        <w:t>ваат</w:t>
      </w:r>
      <w:r w:rsidR="00F77008" w:rsidRPr="00F77008">
        <w:rPr>
          <w:lang w:val="mk-MK"/>
        </w:rPr>
        <w:t xml:space="preserve"> меѓународен дискурс и притисок кон деловниот сектор да прифати поширок сет на обврски од традиционалните финансиски цели. Во пракса, тоа ги поттик</w:t>
      </w:r>
      <w:r w:rsidR="002465D0">
        <w:rPr>
          <w:lang w:val="mk-MK"/>
        </w:rPr>
        <w:t>нува</w:t>
      </w:r>
      <w:r w:rsidR="00F77008" w:rsidRPr="00F77008">
        <w:rPr>
          <w:lang w:val="mk-MK"/>
        </w:rPr>
        <w:t xml:space="preserve"> компаниите да вклучат нефинансиски индикатори, да развиваат ESG стратегии и да ги засилат механизмите за учество и комуникација со вработените.</w:t>
      </w:r>
      <w:r w:rsidR="002465D0">
        <w:rPr>
          <w:rStyle w:val="FootnoteReference"/>
          <w:lang w:val="mk-MK"/>
        </w:rPr>
        <w:footnoteReference w:id="502"/>
      </w:r>
      <w:r w:rsidR="00F77008" w:rsidRPr="00F77008">
        <w:rPr>
          <w:lang w:val="mk-MK"/>
        </w:rPr>
        <w:t xml:space="preserve"> На државно ниво, SDGs често се користат како рамка за реформи, вклучително и во делот на корпоративното управување и трудовите политики.</w:t>
      </w:r>
    </w:p>
    <w:p w14:paraId="1E1EBA79" w14:textId="57A53757" w:rsidR="00046942" w:rsidRDefault="00467C34" w:rsidP="00400D13">
      <w:pPr>
        <w:pStyle w:val="BodyText"/>
        <w:spacing w:before="240"/>
        <w:ind w:firstLine="720"/>
        <w:jc w:val="both"/>
        <w:rPr>
          <w:lang w:val="mk-MK"/>
        </w:rPr>
      </w:pPr>
      <w:r w:rsidRPr="00467C34">
        <w:rPr>
          <w:lang w:val="mk-MK"/>
        </w:rPr>
        <w:lastRenderedPageBreak/>
        <w:t xml:space="preserve">Покрај тоа, Иницијативата UN Global Compact, во која членуваат илјадници компании, се заснова на десет принципи што произлегуваат токму од МОТ, Универзалната декларација за човекови права и Конвенцијата на ОН против корупција. Иако повторно не се работи за правно обврзувачки инструмент, учеството во </w:t>
      </w:r>
      <w:r w:rsidR="00622326">
        <w:rPr>
          <w:lang w:val="mk-MK"/>
        </w:rPr>
        <w:t>глобалниот компакт</w:t>
      </w:r>
      <w:r w:rsidRPr="00467C34">
        <w:rPr>
          <w:lang w:val="mk-MK"/>
        </w:rPr>
        <w:t xml:space="preserve"> се смета како индикатор за корпоративна зрелост и подготвеност да се воведат стандарди на одговорност. Во рамките на оваа иницијатива, се нагласува важноста на транспарентноста, дијалогот со засегнатите страни и почитувањето на работничките права, што индиректно придонесува за подобрување на корпоративната култура.</w:t>
      </w:r>
    </w:p>
    <w:p w14:paraId="651916EC" w14:textId="72FDB7E2" w:rsidR="00876065" w:rsidRPr="00EF170B" w:rsidRDefault="00B856C4" w:rsidP="00EF170B">
      <w:pPr>
        <w:pStyle w:val="BodyText"/>
        <w:spacing w:before="240"/>
        <w:ind w:firstLine="720"/>
        <w:jc w:val="both"/>
        <w:rPr>
          <w:lang w:val="mk-MK"/>
        </w:rPr>
      </w:pPr>
      <w:r w:rsidRPr="00B856C4">
        <w:rPr>
          <w:lang w:val="mk-MK"/>
        </w:rPr>
        <w:t>Збирно гледано, стандардите и иницијативите на Обединетите нации создаваат глобална архитектура што постепено влијае на развојот на регионални</w:t>
      </w:r>
      <w:r w:rsidR="00216999">
        <w:rPr>
          <w:lang w:val="mk-MK"/>
        </w:rPr>
        <w:t xml:space="preserve">, </w:t>
      </w:r>
      <w:r w:rsidRPr="00B856C4">
        <w:rPr>
          <w:lang w:val="mk-MK"/>
        </w:rPr>
        <w:t>како</w:t>
      </w:r>
      <w:r w:rsidR="00216999">
        <w:rPr>
          <w:lang w:val="mk-MK"/>
        </w:rPr>
        <w:t xml:space="preserve"> на пример</w:t>
      </w:r>
      <w:r w:rsidRPr="00B856C4">
        <w:rPr>
          <w:lang w:val="mk-MK"/>
        </w:rPr>
        <w:t xml:space="preserve"> европските</w:t>
      </w:r>
      <w:r w:rsidR="00216999">
        <w:rPr>
          <w:lang w:val="mk-MK"/>
        </w:rPr>
        <w:t>,</w:t>
      </w:r>
      <w:r w:rsidRPr="00B856C4">
        <w:rPr>
          <w:lang w:val="mk-MK"/>
        </w:rPr>
        <w:t xml:space="preserve"> и национални регулативи. Иако не пропишуваат конкретни модели на учество на работниците во одборите, тие поставуваат рамка на вредности и очекувања што ги зајакнуваат процесите на информирање, консултирање, </w:t>
      </w:r>
      <w:r w:rsidR="00EF170B">
        <w:rPr>
          <w:lang w:val="en-US"/>
        </w:rPr>
        <w:t>due diligence</w:t>
      </w:r>
      <w:r w:rsidRPr="00B856C4">
        <w:rPr>
          <w:lang w:val="mk-MK"/>
        </w:rPr>
        <w:t xml:space="preserve"> и отчетност. Во таков контекст, примената на овие стандарди претставува важен чекор за секоја држава што се стреми да развие современ и одржлив систем на корпоративно управување заснован на човекови права и социјална одговорност. </w:t>
      </w:r>
    </w:p>
    <w:p w14:paraId="117161F3" w14:textId="63A46528" w:rsidR="00EF170B" w:rsidRDefault="00274A03" w:rsidP="009330C0">
      <w:pPr>
        <w:pStyle w:val="Heading2"/>
        <w:numPr>
          <w:ilvl w:val="1"/>
          <w:numId w:val="11"/>
        </w:numPr>
        <w:spacing w:after="240"/>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62" w:name="_Toc230523915"/>
      <w:r w:rsidRPr="00274A03">
        <w:rPr>
          <w:rFonts w:ascii="Times New Roman" w:hAnsi="Times New Roman" w:cs="Times New Roman"/>
          <w:b w:val="0"/>
          <w:bCs w:val="0"/>
          <w:color w:val="000000" w:themeColor="text1"/>
          <w:sz w:val="24"/>
          <w:szCs w:val="24"/>
          <w:lang w:val="mk-MK"/>
        </w:rPr>
        <w:t>Водечките принципи на ОН за бизнис и човекови права (UNGPs)</w:t>
      </w:r>
      <w:bookmarkEnd w:id="62"/>
    </w:p>
    <w:p w14:paraId="3417C2A2" w14:textId="0AE279BB" w:rsidR="00EF170B" w:rsidRDefault="006C730B" w:rsidP="006C730B">
      <w:pPr>
        <w:pStyle w:val="BodyText"/>
        <w:spacing w:before="240"/>
        <w:ind w:firstLine="720"/>
        <w:jc w:val="both"/>
        <w:rPr>
          <w:lang w:val="en-US" w:eastAsia="zh-CN" w:bidi="hi-IN"/>
        </w:rPr>
      </w:pPr>
      <w:r w:rsidRPr="006C730B">
        <w:rPr>
          <w:lang w:val="mk-MK" w:eastAsia="zh-CN" w:bidi="hi-IN"/>
        </w:rPr>
        <w:t xml:space="preserve">Водечките принципи на ОН за бизнис и човекови права од 2011 </w:t>
      </w:r>
      <w:r w:rsidR="002C3E89">
        <w:rPr>
          <w:lang w:val="mk-MK" w:eastAsia="zh-CN" w:bidi="hi-IN"/>
        </w:rPr>
        <w:t>се</w:t>
      </w:r>
      <w:r w:rsidRPr="006C730B">
        <w:rPr>
          <w:lang w:val="mk-MK" w:eastAsia="zh-CN" w:bidi="hi-IN"/>
        </w:rPr>
        <w:t xml:space="preserve"> најважниот глобален стандард што ја дефинира одговорноста на државите и на деловните субјекти во однос на почитувањето на човековите права во економската сфера. Тие </w:t>
      </w:r>
      <w:r w:rsidR="002C3E89">
        <w:rPr>
          <w:lang w:val="mk-MK" w:eastAsia="zh-CN" w:bidi="hi-IN"/>
        </w:rPr>
        <w:t>се</w:t>
      </w:r>
      <w:r w:rsidRPr="006C730B">
        <w:rPr>
          <w:lang w:val="mk-MK" w:eastAsia="zh-CN" w:bidi="hi-IN"/>
        </w:rPr>
        <w:t xml:space="preserve"> усвоени со консензус од Советот за човекови права на Обединетите нации во 2011</w:t>
      </w:r>
      <w:r w:rsidR="002C3E89">
        <w:rPr>
          <w:lang w:val="mk-MK" w:eastAsia="zh-CN" w:bidi="hi-IN"/>
        </w:rPr>
        <w:t xml:space="preserve"> година</w:t>
      </w:r>
      <w:r w:rsidRPr="006C730B">
        <w:rPr>
          <w:lang w:val="mk-MK" w:eastAsia="zh-CN" w:bidi="hi-IN"/>
        </w:rPr>
        <w:t>, по повеќегодишна работа предводена од специјалниот претставник на генералниот секретар, Џон Раги.</w:t>
      </w:r>
      <w:r w:rsidR="002C3E89">
        <w:rPr>
          <w:rStyle w:val="FootnoteReference"/>
          <w:lang w:val="mk-MK" w:eastAsia="zh-CN" w:bidi="hi-IN"/>
        </w:rPr>
        <w:footnoteReference w:id="503"/>
      </w:r>
      <w:r w:rsidRPr="006C730B">
        <w:rPr>
          <w:lang w:val="mk-MK" w:eastAsia="zh-CN" w:bidi="hi-IN"/>
        </w:rPr>
        <w:t xml:space="preserve"> Усвојувањето со консензус се смета за голем пресврт бидејќи човековите права во корпоративниот сектор претходно беа област без јасни меѓународни стандарди.</w:t>
      </w:r>
    </w:p>
    <w:p w14:paraId="5FB51EE0" w14:textId="4BFE848D" w:rsidR="00E03F3B" w:rsidRDefault="00E03F3B" w:rsidP="006C730B">
      <w:pPr>
        <w:pStyle w:val="BodyText"/>
        <w:spacing w:before="240"/>
        <w:ind w:firstLine="720"/>
        <w:jc w:val="both"/>
        <w:rPr>
          <w:lang w:val="mk-MK" w:eastAsia="zh-CN" w:bidi="hi-IN"/>
        </w:rPr>
      </w:pPr>
      <w:r w:rsidRPr="00E03F3B">
        <w:rPr>
          <w:lang w:val="mk-MK" w:eastAsia="zh-CN" w:bidi="hi-IN"/>
        </w:rPr>
        <w:t>UNGPs се засноваат на три столба. Првиот е обврската на државата да ги заштити човековите права, што значи дека државите мора да воспостават закони, политики и регулаторни механизми кои спречуваат компаниите да вршат повреди на човековите права.</w:t>
      </w:r>
      <w:r w:rsidR="00FB3862">
        <w:rPr>
          <w:rStyle w:val="FootnoteReference"/>
          <w:lang w:val="mk-MK" w:eastAsia="zh-CN" w:bidi="hi-IN"/>
        </w:rPr>
        <w:footnoteReference w:id="504"/>
      </w:r>
      <w:r w:rsidRPr="00E03F3B">
        <w:rPr>
          <w:lang w:val="mk-MK" w:eastAsia="zh-CN" w:bidi="hi-IN"/>
        </w:rPr>
        <w:t xml:space="preserve"> Вториот столб ја утврдува одговорноста на компаниите да ги почитуваат човековите права, без оглед на тоа што државата не успева секогаш да ги спроведе своите обврски. Ова подразбира дека компаниите треба да спроведат процеси на </w:t>
      </w:r>
      <w:r w:rsidR="00B95FDB">
        <w:rPr>
          <w:lang w:val="en-US" w:eastAsia="zh-CN" w:bidi="hi-IN"/>
        </w:rPr>
        <w:t>due diligence</w:t>
      </w:r>
      <w:r w:rsidRPr="00E03F3B">
        <w:rPr>
          <w:lang w:val="mk-MK" w:eastAsia="zh-CN" w:bidi="hi-IN"/>
        </w:rPr>
        <w:t>, да идентификуваат ризици, да проценат влијанија, да преземаат мерки за спречување на штетни последици и да обезбедат транспарентност.</w:t>
      </w:r>
      <w:r w:rsidR="00FB3862">
        <w:rPr>
          <w:rStyle w:val="FootnoteReference"/>
          <w:lang w:val="mk-MK" w:eastAsia="zh-CN" w:bidi="hi-IN"/>
        </w:rPr>
        <w:footnoteReference w:id="505"/>
      </w:r>
      <w:r w:rsidRPr="00E03F3B">
        <w:rPr>
          <w:lang w:val="mk-MK" w:eastAsia="zh-CN" w:bidi="hi-IN"/>
        </w:rPr>
        <w:t xml:space="preserve"> Третиот столб се однесува на пристапот до правна заштита, односно обезбедување ефективни механизми за </w:t>
      </w:r>
      <w:r w:rsidR="007504D4">
        <w:rPr>
          <w:lang w:val="mk-MK" w:eastAsia="zh-CN" w:bidi="hi-IN"/>
        </w:rPr>
        <w:t>правни лекови</w:t>
      </w:r>
      <w:r w:rsidRPr="00E03F3B">
        <w:rPr>
          <w:lang w:val="mk-MK" w:eastAsia="zh-CN" w:bidi="hi-IN"/>
        </w:rPr>
        <w:t xml:space="preserve"> и </w:t>
      </w:r>
      <w:r w:rsidR="00AB7931">
        <w:rPr>
          <w:lang w:val="mk-MK" w:eastAsia="zh-CN" w:bidi="hi-IN"/>
        </w:rPr>
        <w:t>надоместоци</w:t>
      </w:r>
      <w:r w:rsidRPr="00E03F3B">
        <w:rPr>
          <w:lang w:val="mk-MK" w:eastAsia="zh-CN" w:bidi="hi-IN"/>
        </w:rPr>
        <w:t xml:space="preserve"> за лицата чии права биле повредени како резултат на деловни активности.</w:t>
      </w:r>
      <w:r w:rsidR="00FB3862">
        <w:rPr>
          <w:rStyle w:val="FootnoteReference"/>
          <w:lang w:val="mk-MK" w:eastAsia="zh-CN" w:bidi="hi-IN"/>
        </w:rPr>
        <w:footnoteReference w:id="506"/>
      </w:r>
    </w:p>
    <w:p w14:paraId="756B69CB" w14:textId="1CE7D6A5" w:rsidR="007504D4" w:rsidRDefault="007620B1" w:rsidP="006C730B">
      <w:pPr>
        <w:pStyle w:val="BodyText"/>
        <w:spacing w:before="240"/>
        <w:ind w:firstLine="720"/>
        <w:jc w:val="both"/>
        <w:rPr>
          <w:lang w:val="en-US" w:eastAsia="zh-CN" w:bidi="hi-IN"/>
        </w:rPr>
      </w:pPr>
      <w:r w:rsidRPr="007620B1">
        <w:rPr>
          <w:lang w:val="mk-MK" w:eastAsia="zh-CN" w:bidi="hi-IN"/>
        </w:rPr>
        <w:t xml:space="preserve">Иако принципите не се правно обврзувачки, нивната сила произлегува од фактот што се глобално прифатени и се вградени во политиките на голем број држави, меѓународни организации и компании. Најголемиот дел од современите иницијативи за </w:t>
      </w:r>
      <w:r w:rsidRPr="007620B1">
        <w:rPr>
          <w:lang w:val="mk-MK" w:eastAsia="zh-CN" w:bidi="hi-IN"/>
        </w:rPr>
        <w:lastRenderedPageBreak/>
        <w:t xml:space="preserve">корпоративна одговорност, како што се националните акциски планови за бизнис и човекови права, европските иницијативи за </w:t>
      </w:r>
      <w:r w:rsidR="006971A0">
        <w:rPr>
          <w:lang w:val="en-US" w:eastAsia="zh-CN" w:bidi="hi-IN"/>
        </w:rPr>
        <w:t>due diligence</w:t>
      </w:r>
      <w:r w:rsidRPr="007620B1">
        <w:rPr>
          <w:lang w:val="mk-MK" w:eastAsia="zh-CN" w:bidi="hi-IN"/>
        </w:rPr>
        <w:t xml:space="preserve"> и стандардите за ESG известување, директно се повикуваат на UNGPs. Во пракса, тие создаваат рамка во која се очекува компаниите да бидат проактивни во спречување на негативни влијанија, што вклучува и обврски поврзани со работничките права, безбедноста при работа, недискриминацијата и учеството на работниците во процесите на одлучување</w:t>
      </w:r>
      <w:r w:rsidR="00A72A2F">
        <w:rPr>
          <w:lang w:val="en-US" w:eastAsia="zh-CN" w:bidi="hi-IN"/>
        </w:rPr>
        <w:t>.</w:t>
      </w:r>
    </w:p>
    <w:p w14:paraId="71E9BE4F" w14:textId="67A12EC2" w:rsidR="006C730B" w:rsidRDefault="00A72A2F" w:rsidP="00D465DD">
      <w:pPr>
        <w:pStyle w:val="BodyText"/>
        <w:spacing w:before="240"/>
        <w:ind w:firstLine="720"/>
        <w:jc w:val="both"/>
        <w:rPr>
          <w:lang w:val="en-US" w:eastAsia="zh-CN" w:bidi="hi-IN"/>
        </w:rPr>
      </w:pPr>
      <w:r w:rsidRPr="00A72A2F">
        <w:rPr>
          <w:lang w:val="mk-MK" w:eastAsia="zh-CN" w:bidi="hi-IN"/>
        </w:rPr>
        <w:t xml:space="preserve">UNGPs претставуваат документ што ја премостува празнината </w:t>
      </w:r>
      <w:r w:rsidR="00D465DD">
        <w:rPr>
          <w:lang w:val="mk-MK" w:eastAsia="zh-CN" w:bidi="hi-IN"/>
        </w:rPr>
        <w:t>по</w:t>
      </w:r>
      <w:r w:rsidRPr="00A72A2F">
        <w:rPr>
          <w:lang w:val="mk-MK" w:eastAsia="zh-CN" w:bidi="hi-IN"/>
        </w:rPr>
        <w:t>меѓу доброволните корпоративни иницијативи и обврзувачките меѓународни стандарди. Тие не пропишуваат конкретни модели за корпоративно управување, но поставуваат основа која силно го поддржува развојот на механизми за информирање, консултирање и вклучување на работниците. Во таа смисла, UNGPs се клучен дел од современиот развој на политиките за бизнис и човекови права и имаат значително влијание врз трансформацијата на корпоративниот сектор во насока на поголема отчетност и одговорност</w:t>
      </w:r>
      <w:r w:rsidR="00D465DD">
        <w:rPr>
          <w:lang w:val="mk-MK" w:eastAsia="zh-CN" w:bidi="hi-IN"/>
        </w:rPr>
        <w:t xml:space="preserve"> и директно на нив се надоградуваат целите за одржлив развој.</w:t>
      </w:r>
    </w:p>
    <w:p w14:paraId="57CEA250" w14:textId="474C42B5" w:rsidR="00D20FDE" w:rsidRPr="00F61452" w:rsidRDefault="00F61452" w:rsidP="009330C0">
      <w:pPr>
        <w:pStyle w:val="Heading2"/>
        <w:numPr>
          <w:ilvl w:val="1"/>
          <w:numId w:val="11"/>
        </w:numPr>
        <w:spacing w:after="240"/>
        <w:jc w:val="both"/>
        <w:rPr>
          <w:rFonts w:ascii="Times New Roman" w:hAnsi="Times New Roman" w:cs="Times New Roman"/>
          <w:b w:val="0"/>
          <w:bCs w:val="0"/>
          <w:color w:val="000000" w:themeColor="text1"/>
          <w:sz w:val="24"/>
          <w:szCs w:val="24"/>
          <w:lang w:val="mk-MK"/>
        </w:rPr>
      </w:pPr>
      <w:bookmarkStart w:id="63" w:name="_Toc230523916"/>
      <w:r w:rsidRPr="00F61452">
        <w:rPr>
          <w:rFonts w:ascii="Times New Roman" w:hAnsi="Times New Roman" w:cs="Times New Roman"/>
          <w:b w:val="0"/>
          <w:bCs w:val="0"/>
          <w:color w:val="000000" w:themeColor="text1"/>
          <w:sz w:val="24"/>
          <w:szCs w:val="24"/>
          <w:lang w:val="mk-MK"/>
        </w:rPr>
        <w:t>Целите за одржлив развој (SDGs)</w:t>
      </w:r>
      <w:bookmarkEnd w:id="63"/>
    </w:p>
    <w:p w14:paraId="7767ADA9" w14:textId="5AE2B7E9" w:rsidR="00D465DD" w:rsidRDefault="0047717F" w:rsidP="0047717F">
      <w:pPr>
        <w:pStyle w:val="BodyText"/>
        <w:spacing w:before="240"/>
        <w:ind w:firstLine="720"/>
        <w:jc w:val="both"/>
        <w:rPr>
          <w:lang w:val="mk-MK" w:eastAsia="zh-CN" w:bidi="hi-IN"/>
        </w:rPr>
      </w:pPr>
      <w:r w:rsidRPr="0047717F">
        <w:rPr>
          <w:lang w:val="mk-MK" w:eastAsia="zh-CN" w:bidi="hi-IN"/>
        </w:rPr>
        <w:t>Целите за одржлив развој се усвоени во 2015</w:t>
      </w:r>
      <w:r>
        <w:rPr>
          <w:lang w:val="mk-MK" w:eastAsia="zh-CN" w:bidi="hi-IN"/>
        </w:rPr>
        <w:t xml:space="preserve"> година</w:t>
      </w:r>
      <w:r w:rsidRPr="0047717F">
        <w:rPr>
          <w:lang w:val="mk-MK" w:eastAsia="zh-CN" w:bidi="hi-IN"/>
        </w:rPr>
        <w:t xml:space="preserve"> од Генералното собрание на Обединетите Нации како дел од Агендата 2030 за одржлив развој. Тие опфаќаат 17 меѓусебно поврзани цели кои имаат за цел да обезбедат економски развој, социјална инклузија и заштита на животната средина. SDGs претставуваат глобална рамка која ги насочува владите, бизнисите и граѓанското општество кон одржливи практики и посилна заштита на човековите права.</w:t>
      </w:r>
      <w:r w:rsidR="004732EB">
        <w:rPr>
          <w:rStyle w:val="FootnoteReference"/>
          <w:lang w:val="mk-MK" w:eastAsia="zh-CN" w:bidi="hi-IN"/>
        </w:rPr>
        <w:footnoteReference w:id="507"/>
      </w:r>
    </w:p>
    <w:p w14:paraId="27D2B8D1" w14:textId="15F53B9F" w:rsidR="00F204F3" w:rsidRDefault="00F204F3" w:rsidP="0047717F">
      <w:pPr>
        <w:pStyle w:val="BodyText"/>
        <w:spacing w:before="240"/>
        <w:ind w:firstLine="720"/>
        <w:jc w:val="both"/>
        <w:rPr>
          <w:lang w:val="mk-MK" w:eastAsia="zh-CN" w:bidi="hi-IN"/>
        </w:rPr>
      </w:pPr>
      <w:r w:rsidRPr="00F204F3">
        <w:rPr>
          <w:lang w:val="mk-MK" w:eastAsia="zh-CN" w:bidi="hi-IN"/>
        </w:rPr>
        <w:t>Во контекст на корпоративното управување и учеството на работниците, неколку SDGs имаат директна релевантност</w:t>
      </w:r>
      <w:r>
        <w:rPr>
          <w:lang w:val="mk-MK" w:eastAsia="zh-CN" w:bidi="hi-IN"/>
        </w:rPr>
        <w:t>.</w:t>
      </w:r>
      <w:r w:rsidRPr="00F204F3">
        <w:rPr>
          <w:lang w:val="mk-MK" w:eastAsia="zh-CN" w:bidi="hi-IN"/>
        </w:rPr>
        <w:t xml:space="preserve"> </w:t>
      </w:r>
      <w:r>
        <w:rPr>
          <w:lang w:val="mk-MK" w:eastAsia="zh-CN" w:bidi="hi-IN"/>
        </w:rPr>
        <w:t>Одржливата цел број</w:t>
      </w:r>
      <w:r w:rsidRPr="00F204F3">
        <w:rPr>
          <w:lang w:val="mk-MK" w:eastAsia="zh-CN" w:bidi="hi-IN"/>
        </w:rPr>
        <w:t xml:space="preserve"> 8</w:t>
      </w:r>
      <w:r w:rsidR="00421669">
        <w:rPr>
          <w:lang w:val="mk-MK" w:eastAsia="zh-CN" w:bidi="hi-IN"/>
        </w:rPr>
        <w:t>, односно п</w:t>
      </w:r>
      <w:r w:rsidRPr="00F204F3">
        <w:rPr>
          <w:lang w:val="mk-MK" w:eastAsia="zh-CN" w:bidi="hi-IN"/>
        </w:rPr>
        <w:t>оттикнување пристојна работа и економски раст, ја нагласува потребата од заштита на трудовите права, безбедни услови за работа и инклузивни бизнис практики.</w:t>
      </w:r>
      <w:r w:rsidR="00421669">
        <w:rPr>
          <w:lang w:val="mk-MK" w:eastAsia="zh-CN" w:bidi="hi-IN"/>
        </w:rPr>
        <w:t xml:space="preserve"> Одржливата цел број</w:t>
      </w:r>
      <w:r w:rsidRPr="00F204F3">
        <w:rPr>
          <w:lang w:val="mk-MK" w:eastAsia="zh-CN" w:bidi="hi-IN"/>
        </w:rPr>
        <w:t xml:space="preserve"> 9</w:t>
      </w:r>
      <w:r w:rsidR="00421669">
        <w:rPr>
          <w:lang w:val="mk-MK" w:eastAsia="zh-CN" w:bidi="hi-IN"/>
        </w:rPr>
        <w:t>, и</w:t>
      </w:r>
      <w:r w:rsidRPr="00F204F3">
        <w:rPr>
          <w:lang w:val="mk-MK" w:eastAsia="zh-CN" w:bidi="hi-IN"/>
        </w:rPr>
        <w:t xml:space="preserve">ндустрија, иновации и инфраструктура, ја поттикнува модернизацијата на индустриите преку одржлива и инклузивна индустријализација. </w:t>
      </w:r>
      <w:r w:rsidR="00AA7122">
        <w:rPr>
          <w:lang w:val="mk-MK" w:eastAsia="zh-CN" w:bidi="hi-IN"/>
        </w:rPr>
        <w:t xml:space="preserve">Одржливата цел број </w:t>
      </w:r>
      <w:r w:rsidRPr="00F204F3">
        <w:rPr>
          <w:lang w:val="mk-MK" w:eastAsia="zh-CN" w:bidi="hi-IN"/>
        </w:rPr>
        <w:t xml:space="preserve">10 </w:t>
      </w:r>
      <w:r w:rsidR="00AA7122">
        <w:rPr>
          <w:lang w:val="mk-MK" w:eastAsia="zh-CN" w:bidi="hi-IN"/>
        </w:rPr>
        <w:t>бара н</w:t>
      </w:r>
      <w:r w:rsidRPr="00F204F3">
        <w:rPr>
          <w:lang w:val="mk-MK" w:eastAsia="zh-CN" w:bidi="hi-IN"/>
        </w:rPr>
        <w:t>амалување на нееднаквостите</w:t>
      </w:r>
      <w:r w:rsidR="00AA7122">
        <w:rPr>
          <w:lang w:val="mk-MK" w:eastAsia="zh-CN" w:bidi="hi-IN"/>
        </w:rPr>
        <w:t xml:space="preserve"> и</w:t>
      </w:r>
      <w:r w:rsidRPr="00F204F3">
        <w:rPr>
          <w:lang w:val="mk-MK" w:eastAsia="zh-CN" w:bidi="hi-IN"/>
        </w:rPr>
        <w:t xml:space="preserve"> подразбира елиминирање на економската и работната нееднаквост, вклучително и преку поголемо учество на работниците во процесите на одлучување. </w:t>
      </w:r>
      <w:r w:rsidR="009F15DB">
        <w:rPr>
          <w:lang w:val="mk-MK" w:eastAsia="zh-CN" w:bidi="hi-IN"/>
        </w:rPr>
        <w:t>Одржливата цел број</w:t>
      </w:r>
      <w:r w:rsidRPr="00F204F3">
        <w:rPr>
          <w:lang w:val="mk-MK" w:eastAsia="zh-CN" w:bidi="hi-IN"/>
        </w:rPr>
        <w:t xml:space="preserve"> 16 </w:t>
      </w:r>
      <w:r w:rsidR="009F15DB">
        <w:rPr>
          <w:lang w:val="mk-MK" w:eastAsia="zh-CN" w:bidi="hi-IN"/>
        </w:rPr>
        <w:t>се залага за м</w:t>
      </w:r>
      <w:r w:rsidRPr="00F204F3">
        <w:rPr>
          <w:lang w:val="mk-MK" w:eastAsia="zh-CN" w:bidi="hi-IN"/>
        </w:rPr>
        <w:t>ир, правда и силни институции</w:t>
      </w:r>
      <w:r w:rsidR="009F15DB">
        <w:rPr>
          <w:lang w:val="mk-MK" w:eastAsia="zh-CN" w:bidi="hi-IN"/>
        </w:rPr>
        <w:t xml:space="preserve"> и е </w:t>
      </w:r>
      <w:r w:rsidRPr="00F204F3">
        <w:rPr>
          <w:lang w:val="mk-MK" w:eastAsia="zh-CN" w:bidi="hi-IN"/>
        </w:rPr>
        <w:t>релевант</w:t>
      </w:r>
      <w:r w:rsidR="009F15DB">
        <w:rPr>
          <w:lang w:val="mk-MK" w:eastAsia="zh-CN" w:bidi="hi-IN"/>
        </w:rPr>
        <w:t>на</w:t>
      </w:r>
      <w:r w:rsidRPr="00F204F3">
        <w:rPr>
          <w:lang w:val="mk-MK" w:eastAsia="zh-CN" w:bidi="hi-IN"/>
        </w:rPr>
        <w:t xml:space="preserve"> за развивање корпоративна култура заснована на отчетност, транспарентност и владеење на правото. </w:t>
      </w:r>
      <w:r w:rsidR="009F15DB">
        <w:rPr>
          <w:lang w:val="mk-MK" w:eastAsia="zh-CN" w:bidi="hi-IN"/>
        </w:rPr>
        <w:t xml:space="preserve">Одржливата цел број </w:t>
      </w:r>
      <w:r w:rsidRPr="00F204F3">
        <w:rPr>
          <w:lang w:val="mk-MK" w:eastAsia="zh-CN" w:bidi="hi-IN"/>
        </w:rPr>
        <w:t xml:space="preserve">17 </w:t>
      </w:r>
      <w:r w:rsidR="009F15DB">
        <w:rPr>
          <w:lang w:val="mk-MK" w:eastAsia="zh-CN" w:bidi="hi-IN"/>
        </w:rPr>
        <w:t>бара п</w:t>
      </w:r>
      <w:r w:rsidRPr="00F204F3">
        <w:rPr>
          <w:lang w:val="mk-MK" w:eastAsia="zh-CN" w:bidi="hi-IN"/>
        </w:rPr>
        <w:t>артнерства за целите</w:t>
      </w:r>
      <w:r w:rsidR="009F15DB">
        <w:rPr>
          <w:lang w:val="mk-MK" w:eastAsia="zh-CN" w:bidi="hi-IN"/>
        </w:rPr>
        <w:t xml:space="preserve"> и</w:t>
      </w:r>
      <w:r w:rsidRPr="00F204F3">
        <w:rPr>
          <w:lang w:val="mk-MK" w:eastAsia="zh-CN" w:bidi="hi-IN"/>
        </w:rPr>
        <w:t xml:space="preserve"> препознава дека остварувањето на одржливите цели бара колективна акција </w:t>
      </w:r>
      <w:r w:rsidR="009F15DB">
        <w:rPr>
          <w:lang w:val="mk-MK" w:eastAsia="zh-CN" w:bidi="hi-IN"/>
        </w:rPr>
        <w:t>по</w:t>
      </w:r>
      <w:r w:rsidRPr="00F204F3">
        <w:rPr>
          <w:lang w:val="mk-MK" w:eastAsia="zh-CN" w:bidi="hi-IN"/>
        </w:rPr>
        <w:t>меѓу владите, приватниот сектор и работниците.</w:t>
      </w:r>
      <w:r w:rsidR="009F15DB">
        <w:rPr>
          <w:rStyle w:val="FootnoteReference"/>
          <w:lang w:val="mk-MK" w:eastAsia="zh-CN" w:bidi="hi-IN"/>
        </w:rPr>
        <w:footnoteReference w:id="508"/>
      </w:r>
    </w:p>
    <w:p w14:paraId="05AFE4D9" w14:textId="346D26BF" w:rsidR="00D465DD" w:rsidRPr="00D465DD" w:rsidRDefault="00FC4501" w:rsidP="00803596">
      <w:pPr>
        <w:pStyle w:val="BodyText"/>
        <w:spacing w:before="240"/>
        <w:ind w:firstLine="720"/>
        <w:jc w:val="both"/>
        <w:rPr>
          <w:lang w:val="mk-MK" w:eastAsia="zh-CN" w:bidi="hi-IN"/>
        </w:rPr>
      </w:pPr>
      <w:r w:rsidRPr="00FC4501">
        <w:rPr>
          <w:lang w:val="mk-MK" w:eastAsia="zh-CN" w:bidi="hi-IN"/>
        </w:rPr>
        <w:t>Иако SDGs не воспоставуваат директни правно обврзувачки стандарди, тие имаат значајно влијание врз корпоративните стратегии и политиките на јавните институции. Целите промовираат модели на корпоративно управување кои се поинклузивни и повеќе ориентирани кон долгорочна одржливост. Особено нагласуваат дека почитувањето на трудовите права, намалувањето на нееднаквостите и промовирањето на транспарентност во компаниите се клучни елементи за одржливи економии.</w:t>
      </w:r>
      <w:r w:rsidR="004732EB">
        <w:rPr>
          <w:rStyle w:val="FootnoteReference"/>
          <w:lang w:val="mk-MK" w:eastAsia="zh-CN" w:bidi="hi-IN"/>
        </w:rPr>
        <w:footnoteReference w:id="509"/>
      </w:r>
    </w:p>
    <w:p w14:paraId="4862A1F7" w14:textId="6C3927BE" w:rsidR="00F61452" w:rsidRDefault="00F61452" w:rsidP="009330C0">
      <w:pPr>
        <w:pStyle w:val="Heading2"/>
        <w:numPr>
          <w:ilvl w:val="1"/>
          <w:numId w:val="11"/>
        </w:numPr>
        <w:spacing w:after="240"/>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lastRenderedPageBreak/>
        <w:t xml:space="preserve"> </w:t>
      </w:r>
      <w:bookmarkStart w:id="64" w:name="_Toc230523917"/>
      <w:r w:rsidRPr="00F61452">
        <w:rPr>
          <w:rFonts w:ascii="Times New Roman" w:hAnsi="Times New Roman" w:cs="Times New Roman"/>
          <w:b w:val="0"/>
          <w:bCs w:val="0"/>
          <w:color w:val="000000" w:themeColor="text1"/>
          <w:sz w:val="24"/>
          <w:szCs w:val="24"/>
          <w:lang w:val="mk-MK"/>
        </w:rPr>
        <w:t>Глобалниот компакт на ОН</w:t>
      </w:r>
      <w:bookmarkEnd w:id="64"/>
    </w:p>
    <w:p w14:paraId="36E39004" w14:textId="7A390F26" w:rsidR="00803596" w:rsidRDefault="004F34EF" w:rsidP="004F34EF">
      <w:pPr>
        <w:pStyle w:val="BodyText"/>
        <w:spacing w:before="240"/>
        <w:ind w:firstLine="720"/>
        <w:jc w:val="both"/>
        <w:rPr>
          <w:lang w:val="mk-MK" w:eastAsia="zh-CN" w:bidi="hi-IN"/>
        </w:rPr>
      </w:pPr>
      <w:r w:rsidRPr="004F34EF">
        <w:rPr>
          <w:lang w:val="mk-MK" w:eastAsia="zh-CN" w:bidi="hi-IN"/>
        </w:rPr>
        <w:t xml:space="preserve">Глобалниот компакт на Обединетите Нации </w:t>
      </w:r>
      <w:r w:rsidR="002F0F8C">
        <w:rPr>
          <w:lang w:val="mk-MK" w:eastAsia="zh-CN" w:bidi="hi-IN"/>
        </w:rPr>
        <w:t xml:space="preserve">ја </w:t>
      </w:r>
      <w:r w:rsidRPr="004F34EF">
        <w:rPr>
          <w:lang w:val="mk-MK" w:eastAsia="zh-CN" w:bidi="hi-IN"/>
        </w:rPr>
        <w:t xml:space="preserve">претставува најголемата доброволна иницијатива во светот за промовирање одговорно корпоративно однесување. </w:t>
      </w:r>
      <w:r w:rsidR="002F0F8C">
        <w:rPr>
          <w:lang w:val="mk-MK" w:eastAsia="zh-CN" w:bidi="hi-IN"/>
        </w:rPr>
        <w:t>Иако е л</w:t>
      </w:r>
      <w:r w:rsidRPr="004F34EF">
        <w:rPr>
          <w:lang w:val="mk-MK" w:eastAsia="zh-CN" w:bidi="hi-IN"/>
        </w:rPr>
        <w:t>ансиран во 2000</w:t>
      </w:r>
      <w:r w:rsidR="002F0F8C">
        <w:rPr>
          <w:lang w:val="mk-MK" w:eastAsia="zh-CN" w:bidi="hi-IN"/>
        </w:rPr>
        <w:t xml:space="preserve"> година</w:t>
      </w:r>
      <w:r w:rsidRPr="004F34EF">
        <w:rPr>
          <w:lang w:val="mk-MK" w:eastAsia="zh-CN" w:bidi="hi-IN"/>
        </w:rPr>
        <w:t xml:space="preserve"> од тогашниот Генерален секретар Кофи Анан со цел да ја поттикне деловната заедница да усвои одржливи и етички деловни практики</w:t>
      </w:r>
      <w:r w:rsidR="002F0F8C">
        <w:rPr>
          <w:lang w:val="mk-MK" w:eastAsia="zh-CN" w:bidi="hi-IN"/>
        </w:rPr>
        <w:t>, до скоро истиот беше релативно непознат во македонски контекст</w:t>
      </w:r>
      <w:r w:rsidRPr="004F34EF">
        <w:rPr>
          <w:lang w:val="mk-MK" w:eastAsia="zh-CN" w:bidi="hi-IN"/>
        </w:rPr>
        <w:t>. Иницијативата се темели на десет основни принципи во четири области: човекови права, труд, животна средина и борба против корупцијата.</w:t>
      </w:r>
    </w:p>
    <w:p w14:paraId="0A99AFB2" w14:textId="5E01A92B" w:rsidR="00CE3029" w:rsidRDefault="00CE3029" w:rsidP="004F34EF">
      <w:pPr>
        <w:pStyle w:val="BodyText"/>
        <w:spacing w:before="240"/>
        <w:ind w:firstLine="720"/>
        <w:jc w:val="both"/>
        <w:rPr>
          <w:lang w:val="mk-MK" w:eastAsia="zh-CN" w:bidi="hi-IN"/>
        </w:rPr>
      </w:pPr>
      <w:r w:rsidRPr="00CE3029">
        <w:rPr>
          <w:lang w:val="mk-MK" w:eastAsia="zh-CN" w:bidi="hi-IN"/>
        </w:rPr>
        <w:t>Десетте принципи бараат од компаниите: да ги почитуваат и поддржуваат меѓународно признатите човекови права</w:t>
      </w:r>
      <w:r>
        <w:rPr>
          <w:lang w:val="mk-MK" w:eastAsia="zh-CN" w:bidi="hi-IN"/>
        </w:rPr>
        <w:t>,</w:t>
      </w:r>
      <w:r w:rsidRPr="00CE3029">
        <w:rPr>
          <w:lang w:val="mk-MK" w:eastAsia="zh-CN" w:bidi="hi-IN"/>
        </w:rPr>
        <w:t xml:space="preserve"> да гарантираат слобода на здружување и ефективно колективно договарање</w:t>
      </w:r>
      <w:r>
        <w:rPr>
          <w:lang w:val="mk-MK" w:eastAsia="zh-CN" w:bidi="hi-IN"/>
        </w:rPr>
        <w:t>,</w:t>
      </w:r>
      <w:r w:rsidRPr="00CE3029">
        <w:rPr>
          <w:lang w:val="mk-MK" w:eastAsia="zh-CN" w:bidi="hi-IN"/>
        </w:rPr>
        <w:t xml:space="preserve"> да </w:t>
      </w:r>
      <w:r>
        <w:rPr>
          <w:lang w:val="mk-MK" w:eastAsia="zh-CN" w:bidi="hi-IN"/>
        </w:rPr>
        <w:t xml:space="preserve">ги </w:t>
      </w:r>
      <w:r w:rsidRPr="00CE3029">
        <w:rPr>
          <w:lang w:val="mk-MK" w:eastAsia="zh-CN" w:bidi="hi-IN"/>
        </w:rPr>
        <w:t>елиминираат сите форми на присилна и детска работа</w:t>
      </w:r>
      <w:r>
        <w:rPr>
          <w:lang w:val="mk-MK" w:eastAsia="zh-CN" w:bidi="hi-IN"/>
        </w:rPr>
        <w:t>,</w:t>
      </w:r>
      <w:r w:rsidRPr="00CE3029">
        <w:rPr>
          <w:lang w:val="mk-MK" w:eastAsia="zh-CN" w:bidi="hi-IN"/>
        </w:rPr>
        <w:t xml:space="preserve"> да ја поддржуваат еднаквоста и недискриминацијата во работните односи</w:t>
      </w:r>
      <w:r>
        <w:rPr>
          <w:lang w:val="mk-MK" w:eastAsia="zh-CN" w:bidi="hi-IN"/>
        </w:rPr>
        <w:t>,</w:t>
      </w:r>
      <w:r w:rsidRPr="00CE3029">
        <w:rPr>
          <w:lang w:val="mk-MK" w:eastAsia="zh-CN" w:bidi="hi-IN"/>
        </w:rPr>
        <w:t xml:space="preserve"> да применуваат превентивни мерки и повнимателно управување со еколошките ризици </w:t>
      </w:r>
      <w:r>
        <w:rPr>
          <w:lang w:val="mk-MK" w:eastAsia="zh-CN" w:bidi="hi-IN"/>
        </w:rPr>
        <w:t>и</w:t>
      </w:r>
      <w:r w:rsidRPr="00CE3029">
        <w:rPr>
          <w:lang w:val="mk-MK" w:eastAsia="zh-CN" w:bidi="hi-IN"/>
        </w:rPr>
        <w:t xml:space="preserve"> активно да се борат против корупцијата, вклучувајќи мито и изнуда</w:t>
      </w:r>
      <w:r>
        <w:rPr>
          <w:lang w:val="mk-MK" w:eastAsia="zh-CN" w:bidi="hi-IN"/>
        </w:rPr>
        <w:t>.</w:t>
      </w:r>
      <w:r w:rsidR="00E65A08">
        <w:rPr>
          <w:lang w:val="mk-MK" w:eastAsia="zh-CN" w:bidi="hi-IN"/>
        </w:rPr>
        <w:t xml:space="preserve"> Покрај тоа што г</w:t>
      </w:r>
      <w:r w:rsidR="00E65A08" w:rsidRPr="00E65A08">
        <w:rPr>
          <w:lang w:val="mk-MK" w:eastAsia="zh-CN" w:bidi="hi-IN"/>
        </w:rPr>
        <w:t>лобалниот компакт нема правно обврзувачки карактер, тој има силна норма</w:t>
      </w:r>
      <w:r w:rsidR="00E65A08">
        <w:rPr>
          <w:lang w:val="mk-MK" w:eastAsia="zh-CN" w:bidi="hi-IN"/>
        </w:rPr>
        <w:t>тивна</w:t>
      </w:r>
      <w:r w:rsidR="00E65A08" w:rsidRPr="00E65A08">
        <w:rPr>
          <w:lang w:val="mk-MK" w:eastAsia="zh-CN" w:bidi="hi-IN"/>
        </w:rPr>
        <w:t xml:space="preserve"> тежина. Компаниите што се приклучуваат преземаат обврска: да ги интегрираат принципите во своите стратегии и операции</w:t>
      </w:r>
      <w:r w:rsidR="00E65A08">
        <w:rPr>
          <w:lang w:val="mk-MK" w:eastAsia="zh-CN" w:bidi="hi-IN"/>
        </w:rPr>
        <w:t>,</w:t>
      </w:r>
      <w:r w:rsidR="00E65A08" w:rsidRPr="00E65A08">
        <w:rPr>
          <w:lang w:val="mk-MK" w:eastAsia="zh-CN" w:bidi="hi-IN"/>
        </w:rPr>
        <w:t xml:space="preserve"> редовно да поднесуваат </w:t>
      </w:r>
      <w:r w:rsidR="00E65A08">
        <w:rPr>
          <w:lang w:val="mk-MK" w:eastAsia="zh-CN" w:bidi="hi-IN"/>
        </w:rPr>
        <w:t xml:space="preserve"> извештаи за напредокот</w:t>
      </w:r>
      <w:r w:rsidR="00F01EF2">
        <w:rPr>
          <w:lang w:val="mk-MK" w:eastAsia="zh-CN" w:bidi="hi-IN"/>
        </w:rPr>
        <w:t>,</w:t>
      </w:r>
      <w:r w:rsidR="00F01EF2">
        <w:rPr>
          <w:rStyle w:val="FootnoteReference"/>
          <w:lang w:val="mk-MK" w:eastAsia="zh-CN" w:bidi="hi-IN"/>
        </w:rPr>
        <w:footnoteReference w:id="510"/>
      </w:r>
      <w:r w:rsidR="00E65A08" w:rsidRPr="00E65A08">
        <w:rPr>
          <w:lang w:val="mk-MK" w:eastAsia="zh-CN" w:bidi="hi-IN"/>
        </w:rPr>
        <w:t xml:space="preserve"> </w:t>
      </w:r>
      <w:r w:rsidR="00F01EF2">
        <w:rPr>
          <w:lang w:val="mk-MK" w:eastAsia="zh-CN" w:bidi="hi-IN"/>
        </w:rPr>
        <w:t>и</w:t>
      </w:r>
      <w:r w:rsidR="00E65A08" w:rsidRPr="00E65A08">
        <w:rPr>
          <w:lang w:val="mk-MK" w:eastAsia="zh-CN" w:bidi="hi-IN"/>
        </w:rPr>
        <w:t xml:space="preserve"> да демонстрираат транспарентност и континуирано подобрување</w:t>
      </w:r>
      <w:r w:rsidR="00F01EF2">
        <w:rPr>
          <w:lang w:val="mk-MK" w:eastAsia="zh-CN" w:bidi="hi-IN"/>
        </w:rPr>
        <w:t>.</w:t>
      </w:r>
    </w:p>
    <w:p w14:paraId="74E6E9FF" w14:textId="310D84D3" w:rsidR="00803596" w:rsidRDefault="00F01EF2" w:rsidP="00F01EF2">
      <w:pPr>
        <w:pStyle w:val="BodyText"/>
        <w:spacing w:before="240"/>
        <w:ind w:firstLine="720"/>
        <w:jc w:val="both"/>
        <w:rPr>
          <w:lang w:val="mk-MK" w:eastAsia="zh-CN" w:bidi="hi-IN"/>
        </w:rPr>
      </w:pPr>
      <w:r w:rsidRPr="00F01EF2">
        <w:rPr>
          <w:lang w:val="mk-MK" w:eastAsia="zh-CN" w:bidi="hi-IN"/>
        </w:rPr>
        <w:t>Во контекст на корпоративното управување и учеството на работниците, Глобалниот компакт е релевантен затоа што посочените принципи директно ја зајакнуваат идејата за инклузивно и одговорно управување. Особено важни се трудовите принципи, кои промовираат учество на работниците, почитување на нивните права и создавање рамка за конструктивни индустриски односи. Дополнително, иницијативата помага да се подигне свеста кај компаниите дека долгорочната одржливост не може да се постигне без транспарентност, отчетност и интеграција на социјалните и еколошките ризици во процесите на одлучување.</w:t>
      </w:r>
    </w:p>
    <w:p w14:paraId="3D97F69E" w14:textId="6EEE5B4A" w:rsidR="00F61452" w:rsidRDefault="00F61452" w:rsidP="009330C0">
      <w:pPr>
        <w:pStyle w:val="Heading2"/>
        <w:numPr>
          <w:ilvl w:val="1"/>
          <w:numId w:val="11"/>
        </w:numPr>
        <w:spacing w:after="240"/>
        <w:jc w:val="both"/>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65" w:name="_Toc230523918"/>
      <w:r w:rsidRPr="00F61452">
        <w:rPr>
          <w:rFonts w:ascii="Times New Roman" w:hAnsi="Times New Roman" w:cs="Times New Roman"/>
          <w:b w:val="0"/>
          <w:bCs w:val="0"/>
          <w:color w:val="000000" w:themeColor="text1"/>
          <w:sz w:val="24"/>
          <w:szCs w:val="24"/>
          <w:lang w:val="mk-MK"/>
        </w:rPr>
        <w:t>Македонија во Обединетите Нации</w:t>
      </w:r>
      <w:bookmarkEnd w:id="65"/>
    </w:p>
    <w:p w14:paraId="62F6072A" w14:textId="77777777" w:rsidR="00533D66" w:rsidRDefault="00392696" w:rsidP="00392696">
      <w:pPr>
        <w:pStyle w:val="BodyText"/>
        <w:spacing w:before="240"/>
        <w:ind w:firstLine="720"/>
        <w:jc w:val="both"/>
        <w:rPr>
          <w:lang w:val="mk-MK"/>
        </w:rPr>
      </w:pPr>
      <w:r w:rsidRPr="00392696">
        <w:rPr>
          <w:lang w:val="mk-MK"/>
        </w:rPr>
        <w:t xml:space="preserve">Македонија не е официјален „Local Network“ член во рамките на </w:t>
      </w:r>
      <w:r w:rsidR="00F56E37">
        <w:rPr>
          <w:lang w:val="mk-MK"/>
        </w:rPr>
        <w:t>г</w:t>
      </w:r>
      <w:r w:rsidRPr="00392696">
        <w:rPr>
          <w:lang w:val="mk-MK"/>
        </w:rPr>
        <w:t xml:space="preserve">лобалниот компакт, но </w:t>
      </w:r>
      <w:r w:rsidR="00867065">
        <w:rPr>
          <w:lang w:val="en-US"/>
        </w:rPr>
        <w:t>12</w:t>
      </w:r>
      <w:r w:rsidRPr="00392696">
        <w:rPr>
          <w:lang w:val="mk-MK"/>
        </w:rPr>
        <w:t xml:space="preserve"> компании и организации од земјата се приклучиле на иницијативата и редовно известуваат за активностите поврзани со десетте принципи.</w:t>
      </w:r>
      <w:r w:rsidR="00BA2D12">
        <w:rPr>
          <w:lang w:val="en-US"/>
        </w:rPr>
        <w:t xml:space="preserve"> </w:t>
      </w:r>
      <w:r w:rsidR="00BA2D12">
        <w:rPr>
          <w:lang w:val="mk-MK"/>
        </w:rPr>
        <w:t xml:space="preserve">Станува збор за: </w:t>
      </w:r>
      <w:r w:rsidR="00BA2D12" w:rsidRPr="00BA2D12">
        <w:rPr>
          <w:lang w:val="mk-MK"/>
        </w:rPr>
        <w:t>ЕВН Македонија АД Скопје</w:t>
      </w:r>
      <w:r w:rsidR="00BA2D12">
        <w:rPr>
          <w:lang w:val="mk-MK"/>
        </w:rPr>
        <w:t xml:space="preserve">, </w:t>
      </w:r>
      <w:r w:rsidR="00BA2D12" w:rsidRPr="00BA2D12">
        <w:rPr>
          <w:lang w:val="mk-MK"/>
        </w:rPr>
        <w:t>iVote</w:t>
      </w:r>
      <w:r w:rsidR="00BA2D12">
        <w:rPr>
          <w:lang w:val="mk-MK"/>
        </w:rPr>
        <w:t>,</w:t>
      </w:r>
      <w:r w:rsidR="00BA2D12" w:rsidRPr="00BA2D12">
        <w:rPr>
          <w:lang w:val="mk-MK"/>
        </w:rPr>
        <w:t xml:space="preserve"> ЕОС Матрикс Македонија ДООЕЛ</w:t>
      </w:r>
      <w:r w:rsidR="00BA2D12">
        <w:rPr>
          <w:lang w:val="mk-MK"/>
        </w:rPr>
        <w:t>,</w:t>
      </w:r>
      <w:r w:rsidR="00BA2D12" w:rsidRPr="00BA2D12">
        <w:rPr>
          <w:lang w:val="mk-MK"/>
        </w:rPr>
        <w:t xml:space="preserve"> Конгрес сервис центар</w:t>
      </w:r>
      <w:r w:rsidR="00BA2D12">
        <w:rPr>
          <w:lang w:val="mk-MK"/>
        </w:rPr>
        <w:t>,</w:t>
      </w:r>
      <w:r w:rsidR="00BA2D12" w:rsidRPr="00BA2D12">
        <w:rPr>
          <w:lang w:val="mk-MK"/>
        </w:rPr>
        <w:t xml:space="preserve"> Институт за истражување во животна средина, градежништво и енергетика</w:t>
      </w:r>
      <w:r w:rsidR="00BA2D12">
        <w:rPr>
          <w:lang w:val="mk-MK"/>
        </w:rPr>
        <w:t>,</w:t>
      </w:r>
      <w:r w:rsidR="00BA2D12" w:rsidRPr="00BA2D12">
        <w:rPr>
          <w:lang w:val="mk-MK"/>
        </w:rPr>
        <w:t xml:space="preserve"> Бизнис конфедерација на Македонија</w:t>
      </w:r>
      <w:r w:rsidR="00BA2D12">
        <w:rPr>
          <w:lang w:val="mk-MK"/>
        </w:rPr>
        <w:t>,</w:t>
      </w:r>
      <w:r w:rsidR="00BA2D12" w:rsidRPr="00BA2D12">
        <w:rPr>
          <w:lang w:val="mk-MK"/>
        </w:rPr>
        <w:t xml:space="preserve"> Фармахем</w:t>
      </w:r>
      <w:r w:rsidR="00DA78FC">
        <w:rPr>
          <w:lang w:val="mk-MK"/>
        </w:rPr>
        <w:t>,</w:t>
      </w:r>
      <w:r w:rsidR="00BA2D12" w:rsidRPr="00BA2D12">
        <w:rPr>
          <w:lang w:val="mk-MK"/>
        </w:rPr>
        <w:t xml:space="preserve"> Адора Инженеринг Скопје ДОО</w:t>
      </w:r>
      <w:r w:rsidR="00DA78FC">
        <w:rPr>
          <w:lang w:val="mk-MK"/>
        </w:rPr>
        <w:t xml:space="preserve">, </w:t>
      </w:r>
      <w:r w:rsidR="00BA2D12" w:rsidRPr="00BA2D12">
        <w:rPr>
          <w:lang w:val="mk-MK"/>
        </w:rPr>
        <w:t>Конект</w:t>
      </w:r>
      <w:r w:rsidR="00DA78FC">
        <w:rPr>
          <w:lang w:val="mk-MK"/>
        </w:rPr>
        <w:t>,</w:t>
      </w:r>
      <w:r w:rsidR="00BA2D12" w:rsidRPr="00BA2D12">
        <w:rPr>
          <w:lang w:val="mk-MK"/>
        </w:rPr>
        <w:t xml:space="preserve"> ТИТАН Цементарница Усје АД Скопје</w:t>
      </w:r>
      <w:r w:rsidR="00DA78FC">
        <w:rPr>
          <w:lang w:val="mk-MK"/>
        </w:rPr>
        <w:t>,</w:t>
      </w:r>
      <w:r w:rsidR="00BA2D12" w:rsidRPr="00BA2D12">
        <w:rPr>
          <w:lang w:val="mk-MK"/>
        </w:rPr>
        <w:t xml:space="preserve"> Макстил АД Скопје</w:t>
      </w:r>
      <w:r w:rsidR="00DA78FC">
        <w:rPr>
          <w:lang w:val="mk-MK"/>
        </w:rPr>
        <w:t xml:space="preserve"> и</w:t>
      </w:r>
      <w:r w:rsidR="00BA2D12" w:rsidRPr="00BA2D12">
        <w:rPr>
          <w:lang w:val="mk-MK"/>
        </w:rPr>
        <w:t xml:space="preserve"> Алкалоид АД Скопје</w:t>
      </w:r>
      <w:r w:rsidR="00DA78FC">
        <w:rPr>
          <w:lang w:val="mk-MK"/>
        </w:rPr>
        <w:t>.</w:t>
      </w:r>
      <w:r w:rsidRPr="00392696">
        <w:rPr>
          <w:lang w:val="mk-MK"/>
        </w:rPr>
        <w:t xml:space="preserve"> Иако ова приклучување е доброволно, присуството на национални претпријатија во иницијативата покажува зголемена свест за одговорно корпоративно однесување и за интеграцијата на меѓународните стандарди во деловната практика. На нормативно ниво, законодавството во областа на работните односи, антидискриминацијата и борбата против корупцијата е во голема мера усогласено со клучните вредности на Глобалниот компакт бидејќи се темели на меѓународни инструменти, вклучително и конвенциите на Меѓународната организација на трудот и стандардите на Обединетите нации.</w:t>
      </w:r>
    </w:p>
    <w:p w14:paraId="7B4E2C3F" w14:textId="7ED56500" w:rsidR="00411FC4" w:rsidRDefault="00533D66" w:rsidP="00392696">
      <w:pPr>
        <w:pStyle w:val="BodyText"/>
        <w:spacing w:before="240"/>
        <w:ind w:firstLine="720"/>
        <w:jc w:val="both"/>
        <w:rPr>
          <w:lang w:val="mk-MK"/>
        </w:rPr>
      </w:pPr>
      <w:r w:rsidRPr="00533D66">
        <w:rPr>
          <w:lang w:val="mk-MK"/>
        </w:rPr>
        <w:t xml:space="preserve">Постојат и значајни јавно достапни политики што ја рефлектираат оваа </w:t>
      </w:r>
      <w:r w:rsidRPr="00533D66">
        <w:rPr>
          <w:lang w:val="mk-MK"/>
        </w:rPr>
        <w:lastRenderedPageBreak/>
        <w:t xml:space="preserve">ориентација, како </w:t>
      </w:r>
      <w:r w:rsidR="0096434F" w:rsidRPr="0096434F">
        <w:rPr>
          <w:lang w:val="mk-MK"/>
        </w:rPr>
        <w:t>Националната развојна стратегија 2023-2041</w:t>
      </w:r>
      <w:r w:rsidR="0096434F">
        <w:rPr>
          <w:lang w:val="mk-MK"/>
        </w:rPr>
        <w:t xml:space="preserve">, </w:t>
      </w:r>
      <w:r w:rsidR="0096434F" w:rsidRPr="0096434F">
        <w:rPr>
          <w:lang w:val="mk-MK"/>
        </w:rPr>
        <w:t>Програмата на Владата</w:t>
      </w:r>
      <w:r w:rsidR="00512682">
        <w:rPr>
          <w:lang w:val="mk-MK"/>
        </w:rPr>
        <w:t xml:space="preserve">, </w:t>
      </w:r>
      <w:r w:rsidR="0096434F" w:rsidRPr="0096434F">
        <w:rPr>
          <w:lang w:val="mk-MK"/>
        </w:rPr>
        <w:t>Националната стратегија за родова еднаквост 2021-2026, Националната стратегија за демографија, Националната стратегија за регионален развој 2021-2031, Стратегијата за млади,</w:t>
      </w:r>
      <w:r w:rsidR="00512682">
        <w:rPr>
          <w:rStyle w:val="FootnoteReference"/>
          <w:lang w:val="mk-MK"/>
        </w:rPr>
        <w:footnoteReference w:id="511"/>
      </w:r>
      <w:r w:rsidR="00512682">
        <w:rPr>
          <w:lang w:val="mk-MK"/>
        </w:rPr>
        <w:t xml:space="preserve"> и</w:t>
      </w:r>
      <w:r w:rsidR="0096434F" w:rsidRPr="0096434F">
        <w:rPr>
          <w:lang w:val="mk-MK"/>
        </w:rPr>
        <w:t xml:space="preserve"> Стратегијата за човечкиот капитал</w:t>
      </w:r>
      <w:r w:rsidR="00512682">
        <w:rPr>
          <w:lang w:val="mk-MK"/>
        </w:rPr>
        <w:t>.</w:t>
      </w:r>
      <w:r w:rsidR="00512682">
        <w:rPr>
          <w:rStyle w:val="FootnoteReference"/>
          <w:lang w:val="mk-MK"/>
        </w:rPr>
        <w:footnoteReference w:id="512"/>
      </w:r>
      <w:r w:rsidR="00512682">
        <w:rPr>
          <w:lang w:val="mk-MK"/>
        </w:rPr>
        <w:t xml:space="preserve"> </w:t>
      </w:r>
      <w:r w:rsidRPr="00533D66">
        <w:rPr>
          <w:lang w:val="mk-MK"/>
        </w:rPr>
        <w:t>Во пракса, степенот на усогласеност е нерамномерен и зависи од секторот и големината на компаниите. Големите компании и претпријатијата со странски капитал по правило применуваат повисоки стандарди на етичко управување, трудови практики и корпоративна отчетност, додека кај малите и средни претпријатија имплементацијата е ограничена. Ова ја покажува потребата од пошироко институционално поттикнување на принципите на Глобалниот компакт, посебно во делот на транспарентност, еколошки критериуми и ефективни механизми против корупција.</w:t>
      </w:r>
      <w:r w:rsidR="00392696">
        <w:rPr>
          <w:lang w:val="en-US"/>
        </w:rPr>
        <w:t xml:space="preserve"> </w:t>
      </w:r>
    </w:p>
    <w:p w14:paraId="72A02A57" w14:textId="5CD455BD" w:rsidR="00015C33" w:rsidRDefault="007C6BF3" w:rsidP="00392696">
      <w:pPr>
        <w:pStyle w:val="BodyText"/>
        <w:spacing w:before="240"/>
        <w:ind w:firstLine="720"/>
        <w:jc w:val="both"/>
        <w:rPr>
          <w:lang w:val="mk-MK"/>
        </w:rPr>
      </w:pPr>
      <w:r>
        <w:rPr>
          <w:lang w:val="mk-MK"/>
        </w:rPr>
        <w:t>Македонија е член</w:t>
      </w:r>
      <w:r w:rsidR="00BA4AC6">
        <w:rPr>
          <w:lang w:val="mk-MK"/>
        </w:rPr>
        <w:t>к</w:t>
      </w:r>
      <w:r>
        <w:rPr>
          <w:lang w:val="mk-MK"/>
        </w:rPr>
        <w:t xml:space="preserve">а на ОН од </w:t>
      </w:r>
      <w:r w:rsidRPr="007C6BF3">
        <w:rPr>
          <w:lang w:val="mk-MK"/>
        </w:rPr>
        <w:t>8 април 1993 година</w:t>
      </w:r>
      <w:r>
        <w:rPr>
          <w:lang w:val="mk-MK"/>
        </w:rPr>
        <w:t xml:space="preserve"> и </w:t>
      </w:r>
      <w:r w:rsidR="00643736">
        <w:rPr>
          <w:lang w:val="mk-MK"/>
        </w:rPr>
        <w:t xml:space="preserve">претставниците на инститцуиите </w:t>
      </w:r>
      <w:r>
        <w:rPr>
          <w:lang w:val="mk-MK"/>
        </w:rPr>
        <w:t xml:space="preserve">во јавни настапи </w:t>
      </w:r>
      <w:r w:rsidR="00643736">
        <w:rPr>
          <w:lang w:val="mk-MK"/>
        </w:rPr>
        <w:t>континуирано даваат поддршка на в</w:t>
      </w:r>
      <w:r w:rsidR="00643736" w:rsidRPr="00643736">
        <w:rPr>
          <w:lang w:val="mk-MK"/>
        </w:rPr>
        <w:t xml:space="preserve">одечките принципи на ОН за бизнис и човекови права (UNGPs) и </w:t>
      </w:r>
      <w:r w:rsidR="00643736">
        <w:rPr>
          <w:lang w:val="mk-MK"/>
        </w:rPr>
        <w:t>ц</w:t>
      </w:r>
      <w:r w:rsidR="00643736" w:rsidRPr="00643736">
        <w:rPr>
          <w:lang w:val="mk-MK"/>
        </w:rPr>
        <w:t>елите за одржлив развој (SDGs)</w:t>
      </w:r>
      <w:r w:rsidR="00643736">
        <w:rPr>
          <w:lang w:val="mk-MK"/>
        </w:rPr>
        <w:t>.</w:t>
      </w:r>
      <w:r w:rsidR="004765A6">
        <w:rPr>
          <w:rStyle w:val="FootnoteReference"/>
          <w:lang w:val="mk-MK"/>
        </w:rPr>
        <w:footnoteReference w:id="513"/>
      </w:r>
      <w:r>
        <w:rPr>
          <w:lang w:val="mk-MK"/>
        </w:rPr>
        <w:t xml:space="preserve"> </w:t>
      </w:r>
      <w:r w:rsidRPr="007C6BF3">
        <w:rPr>
          <w:lang w:val="mk-MK"/>
        </w:rPr>
        <w:t xml:space="preserve"> </w:t>
      </w:r>
      <w:r w:rsidR="00015C33" w:rsidRPr="00015C33">
        <w:rPr>
          <w:lang w:val="mk-MK"/>
        </w:rPr>
        <w:t>Во поглед на правата на работниците, националното законодавство обезбедува формални гаранции за слобода на здружување, колективно договарање и недискриминација. Сепак, ефикасноста на спроведувањето и понатаму претставува предизвик, што ја намалува реалната усогласеност со трудовите принципи на Глобалниот компакт. Во областа на животната средина постојат позитивни поместувања, особено како дел од процесот на приближување кон Европската унија, но корпоративниот сектор генерално заостанува со воведување еколошки стандарди поврзани со управување со ризици, зелени инвестиции и јавна отчетност. Ова укажува дека усогласеноста со Глобалниот компакт е делумна</w:t>
      </w:r>
      <w:r w:rsidR="0093156E">
        <w:rPr>
          <w:lang w:val="mk-MK"/>
        </w:rPr>
        <w:t xml:space="preserve"> и</w:t>
      </w:r>
      <w:r w:rsidR="00015C33" w:rsidRPr="00015C33">
        <w:rPr>
          <w:lang w:val="mk-MK"/>
        </w:rPr>
        <w:t xml:space="preserve"> формално поддржана, но практично слабо развиена, со потреба од системска поддршка и поголема вклученост на деловната заедница.</w:t>
      </w:r>
    </w:p>
    <w:p w14:paraId="1F03CF84" w14:textId="5B27EF78" w:rsidR="005A6102" w:rsidRPr="00AA0800" w:rsidRDefault="00BA4AC6" w:rsidP="00FC1E5C">
      <w:pPr>
        <w:pStyle w:val="BodyText"/>
        <w:spacing w:before="240" w:after="240"/>
        <w:ind w:firstLine="720"/>
        <w:jc w:val="both"/>
        <w:rPr>
          <w:lang w:val="mk-MK"/>
        </w:rPr>
      </w:pPr>
      <w:r>
        <w:rPr>
          <w:lang w:val="mk-MK"/>
        </w:rPr>
        <w:t>Конечно, с</w:t>
      </w:r>
      <w:r w:rsidRPr="00BA4AC6">
        <w:rPr>
          <w:lang w:val="mk-MK"/>
        </w:rPr>
        <w:t>тандардите и иницијативите на Обединетите Нации претставуваат клучн</w:t>
      </w:r>
      <w:r w:rsidR="000430D3">
        <w:rPr>
          <w:lang w:val="mk-MK"/>
        </w:rPr>
        <w:t>а</w:t>
      </w:r>
      <w:r w:rsidRPr="00BA4AC6">
        <w:rPr>
          <w:lang w:val="mk-MK"/>
        </w:rPr>
        <w:t xml:space="preserve"> ориентациск</w:t>
      </w:r>
      <w:r w:rsidR="000430D3">
        <w:rPr>
          <w:lang w:val="mk-MK"/>
        </w:rPr>
        <w:t>а</w:t>
      </w:r>
      <w:r w:rsidRPr="00BA4AC6">
        <w:rPr>
          <w:lang w:val="mk-MK"/>
        </w:rPr>
        <w:t xml:space="preserve"> рамк</w:t>
      </w:r>
      <w:r w:rsidR="000430D3">
        <w:rPr>
          <w:lang w:val="mk-MK"/>
        </w:rPr>
        <w:t>а</w:t>
      </w:r>
      <w:r w:rsidRPr="00BA4AC6">
        <w:rPr>
          <w:lang w:val="mk-MK"/>
        </w:rPr>
        <w:t xml:space="preserve"> за регулирањето на корпоративното управување и заштитата на човековите права во деловниот сектор. Водечките принципи за бизнис и човекови права обезбедуваат јасен модел за одговорност на државата и компаниите, Целите за одржлив развој поставуваат глобална агенда за економски, социјален и еколошки напредок, а Глобалниот компакт ја поврзува оваа нормативна структура со доброволни обврски на деловните субјекти. Македонија во значителна мера ги прифаќа овие стандарди во своите закони и стратегии, но имплементацијата останува делумна и зависи од институционалниот капацитет и зрелоста на деловниот сектор. Овој напредок покажува дека земјата е поставена во јасна насока на усогласување со глобалните очекувања за одговорно корпоративно управување, но истовремено дека се потребни појасни механизми за следење, транспарентност и практична примена на меѓународните стандарди.</w:t>
      </w:r>
    </w:p>
    <w:p w14:paraId="668680A3" w14:textId="0F3B62B2" w:rsidR="00457A3D" w:rsidRPr="006377B2" w:rsidRDefault="00457A3D" w:rsidP="009330C0">
      <w:pPr>
        <w:pStyle w:val="Heading1"/>
        <w:numPr>
          <w:ilvl w:val="0"/>
          <w:numId w:val="10"/>
        </w:numPr>
        <w:jc w:val="both"/>
      </w:pPr>
      <w:bookmarkStart w:id="66" w:name="_Toc230523919"/>
      <w:r>
        <w:rPr>
          <w:lang w:val="mk-MK"/>
        </w:rPr>
        <w:t>Заклуч</w:t>
      </w:r>
      <w:r w:rsidR="0087719A">
        <w:rPr>
          <w:lang w:val="mk-MK"/>
        </w:rPr>
        <w:t>ни согледувања</w:t>
      </w:r>
      <w:bookmarkEnd w:id="66"/>
    </w:p>
    <w:p w14:paraId="407C62FD" w14:textId="2F32B5A2" w:rsidR="00786C1B" w:rsidRDefault="004D1D41" w:rsidP="00786C1B">
      <w:pPr>
        <w:pStyle w:val="BodyText"/>
        <w:spacing w:before="240"/>
        <w:ind w:firstLine="720"/>
        <w:jc w:val="both"/>
        <w:rPr>
          <w:lang w:val="mk-MK"/>
        </w:rPr>
      </w:pPr>
      <w:r w:rsidRPr="004D1D41">
        <w:rPr>
          <w:lang w:val="mk-MK"/>
        </w:rPr>
        <w:t>Корпоративното управување во Македонија се развива во контекст на повеќеслојни и преклопени норми</w:t>
      </w:r>
      <w:r w:rsidR="00670B36">
        <w:rPr>
          <w:lang w:val="mk-MK"/>
        </w:rPr>
        <w:t>, водејќи се од</w:t>
      </w:r>
      <w:r w:rsidRPr="004D1D41">
        <w:rPr>
          <w:lang w:val="mk-MK"/>
        </w:rPr>
        <w:t xml:space="preserve"> европски директиви, меѓународни конвенции, глобални иницијативи, регионални политики и локални институционални ограничувања. Овој напластен нормативен пејзаж создава динамична, но и потенцијално </w:t>
      </w:r>
      <w:r w:rsidRPr="004D1D41">
        <w:rPr>
          <w:lang w:val="mk-MK"/>
        </w:rPr>
        <w:lastRenderedPageBreak/>
        <w:t>фрагментирана рамка за реформи. Клучниот заклучок е дека современото корпоративно управување не може да се разбере само како техничка или правна категорија, туку како дел од пошироката архитектура на економска демократија, владеење на правото и институционална консолидација.</w:t>
      </w:r>
    </w:p>
    <w:p w14:paraId="4E111C30" w14:textId="08EB8B1B" w:rsidR="000720B1" w:rsidRDefault="00B612F2" w:rsidP="00786C1B">
      <w:pPr>
        <w:pStyle w:val="BodyText"/>
        <w:spacing w:before="240"/>
        <w:ind w:firstLine="720"/>
        <w:jc w:val="both"/>
        <w:rPr>
          <w:lang w:val="mk-MK"/>
        </w:rPr>
      </w:pPr>
      <w:r w:rsidRPr="00B612F2">
        <w:rPr>
          <w:lang w:val="mk-MK"/>
        </w:rPr>
        <w:t xml:space="preserve">Европската правна рамка, предводена од директивите за акционерски права, нефинансиско известување, корпоративна отчетност и </w:t>
      </w:r>
      <w:r w:rsidRPr="00677A93">
        <w:rPr>
          <w:i/>
          <w:iCs/>
          <w:lang w:val="mk-MK"/>
        </w:rPr>
        <w:t>due diligence</w:t>
      </w:r>
      <w:r w:rsidRPr="00B612F2">
        <w:rPr>
          <w:lang w:val="mk-MK"/>
        </w:rPr>
        <w:t xml:space="preserve">, создава јасен пат за европеизација на корпоративното управување во Македонија. </w:t>
      </w:r>
      <w:r w:rsidR="00677A93">
        <w:rPr>
          <w:lang w:val="mk-MK"/>
        </w:rPr>
        <w:t>Сепак,</w:t>
      </w:r>
      <w:r w:rsidRPr="00B612F2">
        <w:rPr>
          <w:lang w:val="mk-MK"/>
        </w:rPr>
        <w:t xml:space="preserve"> усогласувањето </w:t>
      </w:r>
      <w:r w:rsidR="00677A93">
        <w:rPr>
          <w:lang w:val="mk-MK"/>
        </w:rPr>
        <w:t>како</w:t>
      </w:r>
      <w:r w:rsidRPr="00B612F2">
        <w:rPr>
          <w:lang w:val="mk-MK"/>
        </w:rPr>
        <w:t xml:space="preserve"> правен</w:t>
      </w:r>
      <w:r w:rsidR="00677A93">
        <w:rPr>
          <w:lang w:val="mk-MK"/>
        </w:rPr>
        <w:t>,</w:t>
      </w:r>
      <w:r w:rsidRPr="00B612F2">
        <w:rPr>
          <w:lang w:val="mk-MK"/>
        </w:rPr>
        <w:t xml:space="preserve"> политички и институционален</w:t>
      </w:r>
      <w:r w:rsidR="00677A93">
        <w:rPr>
          <w:lang w:val="mk-MK"/>
        </w:rPr>
        <w:t xml:space="preserve"> процес, </w:t>
      </w:r>
      <w:r w:rsidRPr="00B612F2">
        <w:rPr>
          <w:lang w:val="mk-MK"/>
        </w:rPr>
        <w:t>бара стабилни регулатори, независни органи за надзор, судска практика што може да ги интернализира европските стандарди, како и економски актери што имаат капацитет и интерес да ги применат. Ова ја отвора клучната точка</w:t>
      </w:r>
      <w:r w:rsidR="00B3770D">
        <w:rPr>
          <w:lang w:val="mk-MK"/>
        </w:rPr>
        <w:t xml:space="preserve"> која Македонија постојано ја потценува, а тоа е дека </w:t>
      </w:r>
      <w:r w:rsidRPr="00B612F2">
        <w:rPr>
          <w:lang w:val="mk-MK"/>
        </w:rPr>
        <w:t>европеизацијата не е механичко транспонирање на норми, туку преговарачки процес на адаптација во кој локалните институционални слабости, корпоративните структури и политичките динамики играат еднакво важна улога како и правните обврски.</w:t>
      </w:r>
    </w:p>
    <w:p w14:paraId="0AED877A" w14:textId="295466CF" w:rsidR="00B3770D" w:rsidRDefault="00852AC9" w:rsidP="00786C1B">
      <w:pPr>
        <w:pStyle w:val="BodyText"/>
        <w:spacing w:before="240"/>
        <w:ind w:firstLine="720"/>
        <w:jc w:val="both"/>
        <w:rPr>
          <w:lang w:val="mk-MK"/>
        </w:rPr>
      </w:pPr>
      <w:r w:rsidRPr="00852AC9">
        <w:rPr>
          <w:lang w:val="mk-MK"/>
        </w:rPr>
        <w:t xml:space="preserve">Во овој контекст, глобалните иницијативи како ОЕЦД Принципите, GRI, принципите за одговорно инвестирање и ISO стандардите немаат формален правен статус, но функционираат како неопходни комплементи. </w:t>
      </w:r>
      <w:r>
        <w:rPr>
          <w:lang w:val="mk-MK"/>
        </w:rPr>
        <w:t>Н</w:t>
      </w:r>
      <w:r w:rsidRPr="00852AC9">
        <w:rPr>
          <w:lang w:val="mk-MK"/>
        </w:rPr>
        <w:t>ивната улога е трансформациска</w:t>
      </w:r>
      <w:r>
        <w:rPr>
          <w:lang w:val="mk-MK"/>
        </w:rPr>
        <w:t xml:space="preserve"> затоа што</w:t>
      </w:r>
      <w:r w:rsidRPr="00852AC9">
        <w:rPr>
          <w:lang w:val="mk-MK"/>
        </w:rPr>
        <w:t xml:space="preserve"> тие ги решаваат празнините каде европското или националното право сè уште не создаваат доволен притисок, или каде институционалните капацитети се ограничени. Овие стандарди исто така создаваат платформа за врзување на македонските компании со глобалните економски процеси и инвеститорски очекувања, што ја зголемува веројатноста за реална имплементација на реформите.</w:t>
      </w:r>
      <w:r w:rsidR="00794D34">
        <w:rPr>
          <w:lang w:val="mk-MK"/>
        </w:rPr>
        <w:t xml:space="preserve"> Имајќи предвид дека овие стандарди се од типот на „меко право“, истите не будат речиси никаков интерес во македонскиот контекст. </w:t>
      </w:r>
    </w:p>
    <w:p w14:paraId="6D050867" w14:textId="1BEAF2AB" w:rsidR="00AC4ED3" w:rsidRDefault="00AC4ED3" w:rsidP="00786C1B">
      <w:pPr>
        <w:pStyle w:val="BodyText"/>
        <w:spacing w:before="240"/>
        <w:ind w:firstLine="720"/>
        <w:jc w:val="both"/>
        <w:rPr>
          <w:lang w:val="mk-MK"/>
        </w:rPr>
      </w:pPr>
      <w:r w:rsidRPr="00AC4ED3">
        <w:rPr>
          <w:lang w:val="mk-MK"/>
        </w:rPr>
        <w:t xml:space="preserve">Но за успешноста на оваа архитектура, од суштинско значење е критичкото препознавање на институционалните слабости кои </w:t>
      </w:r>
      <w:r>
        <w:rPr>
          <w:lang w:val="mk-MK"/>
        </w:rPr>
        <w:t xml:space="preserve">на пример </w:t>
      </w:r>
      <w:r w:rsidRPr="00AC4ED3">
        <w:rPr>
          <w:lang w:val="mk-MK"/>
        </w:rPr>
        <w:t xml:space="preserve">Варуфакис </w:t>
      </w:r>
      <w:r>
        <w:rPr>
          <w:lang w:val="mk-MK"/>
        </w:rPr>
        <w:t xml:space="preserve">еднакво </w:t>
      </w:r>
      <w:r w:rsidRPr="00AC4ED3">
        <w:rPr>
          <w:lang w:val="mk-MK"/>
        </w:rPr>
        <w:t>ги опишува во контекст на европските економски институции, а кои со различна форма се репродуцираат и на национално ниво.</w:t>
      </w:r>
      <w:r w:rsidR="00860C0E">
        <w:rPr>
          <w:rStyle w:val="FootnoteReference"/>
          <w:lang w:val="mk-MK"/>
        </w:rPr>
        <w:footnoteReference w:id="514"/>
      </w:r>
      <w:r w:rsidRPr="00AC4ED3">
        <w:rPr>
          <w:lang w:val="mk-MK"/>
        </w:rPr>
        <w:t xml:space="preserve"> Неговата критика за непрозирните процеси, неформалните одлучувачки клубови и асиметријата на моќ во Унијата е и аналитичка лекција за Македонија: реформите во корпоративното управување не можат да успеат доколку се спроведуваат во средина каде одлучувањето е затворено, каде надзорот е слаб, а формата го заменува суштинското владеење на правото.</w:t>
      </w:r>
    </w:p>
    <w:p w14:paraId="00AA5D3A" w14:textId="56C5460B" w:rsidR="00396B00" w:rsidRDefault="00086CBB" w:rsidP="00786C1B">
      <w:pPr>
        <w:pStyle w:val="BodyText"/>
        <w:spacing w:before="240"/>
        <w:ind w:firstLine="720"/>
        <w:jc w:val="both"/>
        <w:rPr>
          <w:lang w:val="mk-MK"/>
        </w:rPr>
      </w:pPr>
      <w:r w:rsidRPr="00086CBB">
        <w:rPr>
          <w:lang w:val="mk-MK"/>
        </w:rPr>
        <w:t xml:space="preserve">Паралелата со неговите описи на Евро групата како „институционален вакум“ е корисна и во корпоративното управување, празнините </w:t>
      </w:r>
      <w:r>
        <w:rPr>
          <w:lang w:val="mk-MK"/>
        </w:rPr>
        <w:t>по</w:t>
      </w:r>
      <w:r w:rsidRPr="00086CBB">
        <w:rPr>
          <w:lang w:val="mk-MK"/>
        </w:rPr>
        <w:t xml:space="preserve">меѓу правото и практиката создаваат </w:t>
      </w:r>
      <w:r>
        <w:rPr>
          <w:lang w:val="mk-MK"/>
        </w:rPr>
        <w:t>своевидни</w:t>
      </w:r>
      <w:r w:rsidRPr="00086CBB">
        <w:rPr>
          <w:lang w:val="mk-MK"/>
        </w:rPr>
        <w:t xml:space="preserve"> </w:t>
      </w:r>
      <w:r w:rsidR="00B84F34">
        <w:rPr>
          <w:lang w:val="mk-MK"/>
        </w:rPr>
        <w:t>празни простори</w:t>
      </w:r>
      <w:r w:rsidRPr="00086CBB">
        <w:rPr>
          <w:lang w:val="mk-MK"/>
        </w:rPr>
        <w:t>, во кои одлучувањето се пренесува во неформални сфери, а јавната отчетност се намалува. Ова е особено изразено во компании со концентрирана сопственост, семејни структури или политички поврзани управувачки елити, каде што недостигот од транспарентност и слабата внатрешна контрола создаваат системски ризици</w:t>
      </w:r>
      <w:r w:rsidR="00B84F34">
        <w:rPr>
          <w:lang w:val="mk-MK"/>
        </w:rPr>
        <w:t xml:space="preserve">, каква што е ситуацијата во Македонија. </w:t>
      </w:r>
    </w:p>
    <w:p w14:paraId="19DF2E3F" w14:textId="46A92C3A" w:rsidR="00B84F34" w:rsidRDefault="003726FC" w:rsidP="00786C1B">
      <w:pPr>
        <w:pStyle w:val="BodyText"/>
        <w:spacing w:before="240"/>
        <w:ind w:firstLine="720"/>
        <w:jc w:val="both"/>
        <w:rPr>
          <w:lang w:val="mk-MK"/>
        </w:rPr>
      </w:pPr>
      <w:r w:rsidRPr="003726FC">
        <w:rPr>
          <w:lang w:val="mk-MK"/>
        </w:rPr>
        <w:t xml:space="preserve">Заклучокот од ова </w:t>
      </w:r>
      <w:r>
        <w:rPr>
          <w:lang w:val="mk-MK"/>
        </w:rPr>
        <w:t>е дека</w:t>
      </w:r>
      <w:r w:rsidRPr="003726FC">
        <w:rPr>
          <w:lang w:val="mk-MK"/>
        </w:rPr>
        <w:t xml:space="preserve"> европеизацијата на корпоративното управување во Македонија ќе биде успешна само доколку опфаќа истовремена трансформација на формалните правила, институционалните практики и корпоративната култура. Тоа бара </w:t>
      </w:r>
      <w:r w:rsidRPr="003726FC">
        <w:rPr>
          <w:lang w:val="mk-MK"/>
        </w:rPr>
        <w:lastRenderedPageBreak/>
        <w:t>три клучни предуслови: функционален и автономен регулатор, судови способн</w:t>
      </w:r>
      <w:r w:rsidR="006E70E3">
        <w:rPr>
          <w:lang w:val="mk-MK"/>
        </w:rPr>
        <w:t>и</w:t>
      </w:r>
      <w:r w:rsidRPr="003726FC">
        <w:rPr>
          <w:lang w:val="mk-MK"/>
        </w:rPr>
        <w:t xml:space="preserve"> да интернализира</w:t>
      </w:r>
      <w:r w:rsidR="006E70E3">
        <w:rPr>
          <w:lang w:val="mk-MK"/>
        </w:rPr>
        <w:t>ат</w:t>
      </w:r>
      <w:r w:rsidRPr="003726FC">
        <w:rPr>
          <w:lang w:val="mk-MK"/>
        </w:rPr>
        <w:t xml:space="preserve"> европски стандарди и компании кои ја сфаќаат одговорноста како дел од долгорочната конкурентност и легитимност.</w:t>
      </w:r>
    </w:p>
    <w:p w14:paraId="09D8FD64" w14:textId="52DCEBB5" w:rsidR="00794B74" w:rsidRDefault="00794B74" w:rsidP="00786C1B">
      <w:pPr>
        <w:pStyle w:val="BodyText"/>
        <w:spacing w:before="240"/>
        <w:ind w:firstLine="720"/>
        <w:jc w:val="both"/>
        <w:rPr>
          <w:lang w:val="mk-MK"/>
        </w:rPr>
      </w:pPr>
      <w:r w:rsidRPr="00794B74">
        <w:rPr>
          <w:lang w:val="mk-MK"/>
        </w:rPr>
        <w:t>Глобалните иницијативи, европското право и локалните имплементациски политики не треба да се гледаат како паралелни, туку како меѓусебно зависни слоеви на една поширока архитектура на економска демократија.</w:t>
      </w:r>
      <w:r w:rsidR="00D73D2E">
        <w:rPr>
          <w:rStyle w:val="FootnoteReference"/>
          <w:lang w:val="mk-MK"/>
        </w:rPr>
        <w:footnoteReference w:id="515"/>
      </w:r>
      <w:r w:rsidRPr="00794B74">
        <w:rPr>
          <w:lang w:val="mk-MK"/>
        </w:rPr>
        <w:t xml:space="preserve"> </w:t>
      </w:r>
      <w:r w:rsidR="00AD3E79">
        <w:rPr>
          <w:lang w:val="mk-MK"/>
        </w:rPr>
        <w:t xml:space="preserve">Корпорациите и вработените знаат </w:t>
      </w:r>
      <w:r w:rsidRPr="00794B74">
        <w:rPr>
          <w:lang w:val="mk-MK"/>
        </w:rPr>
        <w:t>дека институционалните реформи без вистинска транспарентност и отчетност остануваат површни. Ова е директно применливо и на корпоративното управување</w:t>
      </w:r>
      <w:r w:rsidR="00AD3E79">
        <w:rPr>
          <w:lang w:val="mk-MK"/>
        </w:rPr>
        <w:t xml:space="preserve"> затоа што</w:t>
      </w:r>
      <w:r w:rsidRPr="00794B74">
        <w:rPr>
          <w:lang w:val="mk-MK"/>
        </w:rPr>
        <w:t xml:space="preserve"> без суштинско спроведување, секој нормативен напредок ризикува да остане декоративен.</w:t>
      </w:r>
    </w:p>
    <w:p w14:paraId="1C5E5813" w14:textId="67E1E736" w:rsidR="00CD6FF8" w:rsidRPr="00B612F2" w:rsidRDefault="00CD6FF8" w:rsidP="00786C1B">
      <w:pPr>
        <w:pStyle w:val="BodyText"/>
        <w:spacing w:before="240"/>
        <w:ind w:firstLine="720"/>
        <w:jc w:val="both"/>
        <w:rPr>
          <w:lang w:val="mk-MK"/>
        </w:rPr>
      </w:pPr>
      <w:r w:rsidRPr="00CD6FF8">
        <w:rPr>
          <w:lang w:val="mk-MK"/>
        </w:rPr>
        <w:t xml:space="preserve">Со тоа, корпоративното управување станува огледало на институционалната зрелост и демократскиот капацитет на Македонија. </w:t>
      </w:r>
      <w:r w:rsidR="001D6286">
        <w:rPr>
          <w:lang w:val="mk-MK"/>
        </w:rPr>
        <w:t>Во тој поглед,</w:t>
      </w:r>
      <w:r w:rsidRPr="00CD6FF8">
        <w:rPr>
          <w:lang w:val="mk-MK"/>
        </w:rPr>
        <w:t xml:space="preserve"> успешната европеизација е мерлива преку реалните практики на транспарентност, вклучување на работниците, одговорност на директорите и интегритет на корпоративните структури.</w:t>
      </w:r>
    </w:p>
    <w:p w14:paraId="3C245279" w14:textId="77777777" w:rsidR="004F7CF4" w:rsidRDefault="004F7CF4" w:rsidP="004F7CF4">
      <w:pPr>
        <w:pStyle w:val="BodyText"/>
        <w:rPr>
          <w:lang w:val="en-US"/>
        </w:rPr>
      </w:pPr>
    </w:p>
    <w:p w14:paraId="454FB9B2" w14:textId="77777777" w:rsidR="004F7CF4" w:rsidRDefault="004F7CF4" w:rsidP="004F7CF4">
      <w:pPr>
        <w:pStyle w:val="BodyText"/>
        <w:rPr>
          <w:lang w:val="en-US"/>
        </w:rPr>
      </w:pPr>
    </w:p>
    <w:p w14:paraId="24F490E2" w14:textId="77777777" w:rsidR="004F7CF4" w:rsidRDefault="004F7CF4" w:rsidP="00E93E93">
      <w:pPr>
        <w:pStyle w:val="BodyText"/>
        <w:rPr>
          <w:lang w:val="en-US"/>
        </w:rPr>
      </w:pPr>
    </w:p>
    <w:p w14:paraId="679AF46B" w14:textId="77777777" w:rsidR="004F7CF4" w:rsidRDefault="004F7CF4" w:rsidP="00E93E93">
      <w:pPr>
        <w:pStyle w:val="BodyText"/>
        <w:rPr>
          <w:lang w:val="en-US"/>
        </w:rPr>
      </w:pPr>
    </w:p>
    <w:p w14:paraId="0AE2B011" w14:textId="77777777" w:rsidR="004F7CF4" w:rsidRDefault="004F7CF4" w:rsidP="00E93E93">
      <w:pPr>
        <w:pStyle w:val="BodyText"/>
        <w:rPr>
          <w:lang w:val="en-US"/>
        </w:rPr>
      </w:pPr>
    </w:p>
    <w:p w14:paraId="6A9FAF38" w14:textId="77777777" w:rsidR="004F7CF4" w:rsidRDefault="004F7CF4" w:rsidP="00E93E93">
      <w:pPr>
        <w:pStyle w:val="BodyText"/>
        <w:rPr>
          <w:lang w:val="en-US"/>
        </w:rPr>
      </w:pPr>
    </w:p>
    <w:p w14:paraId="5A8F5B7C" w14:textId="77777777" w:rsidR="004F7CF4" w:rsidRDefault="004F7CF4" w:rsidP="00E93E93">
      <w:pPr>
        <w:pStyle w:val="BodyText"/>
        <w:rPr>
          <w:lang w:val="en-US"/>
        </w:rPr>
      </w:pPr>
    </w:p>
    <w:p w14:paraId="0C37D3F2" w14:textId="77777777" w:rsidR="00E93E93" w:rsidRDefault="00E93E93" w:rsidP="00E93E93">
      <w:pPr>
        <w:pStyle w:val="BodyText"/>
        <w:rPr>
          <w:lang w:val="en-US"/>
        </w:rPr>
      </w:pPr>
    </w:p>
    <w:p w14:paraId="5E354865" w14:textId="77777777" w:rsidR="007C2DC0" w:rsidRDefault="007C2DC0" w:rsidP="00E93E93">
      <w:pPr>
        <w:pStyle w:val="BodyText"/>
        <w:rPr>
          <w:lang w:val="mk-MK"/>
        </w:rPr>
      </w:pPr>
    </w:p>
    <w:p w14:paraId="22D0BA26" w14:textId="77777777" w:rsidR="007C2DC0" w:rsidRDefault="007C2DC0" w:rsidP="00E93E93">
      <w:pPr>
        <w:pStyle w:val="BodyText"/>
        <w:rPr>
          <w:lang w:val="mk-MK"/>
        </w:rPr>
      </w:pPr>
    </w:p>
    <w:p w14:paraId="62628688" w14:textId="77777777" w:rsidR="007C2DC0" w:rsidRPr="009E0EBE" w:rsidRDefault="007C2DC0" w:rsidP="00924E7A">
      <w:pPr>
        <w:pStyle w:val="BodyText"/>
        <w:spacing w:before="240"/>
        <w:ind w:firstLine="720"/>
        <w:jc w:val="both"/>
        <w:rPr>
          <w:lang w:val="mk-MK"/>
        </w:rPr>
      </w:pPr>
    </w:p>
    <w:p w14:paraId="2B728499" w14:textId="77777777" w:rsidR="00D1170E" w:rsidRDefault="00D1170E" w:rsidP="00D1170E">
      <w:pPr>
        <w:pStyle w:val="BodyText"/>
        <w:rPr>
          <w:lang w:val="mk-MK"/>
        </w:rPr>
      </w:pPr>
    </w:p>
    <w:p w14:paraId="0C556762" w14:textId="77777777" w:rsidR="001D6286" w:rsidRDefault="001D6286" w:rsidP="00D1170E">
      <w:pPr>
        <w:pStyle w:val="BodyText"/>
        <w:rPr>
          <w:lang w:val="mk-MK"/>
        </w:rPr>
      </w:pPr>
    </w:p>
    <w:p w14:paraId="18DF11AD" w14:textId="77777777" w:rsidR="001D6286" w:rsidRDefault="001D6286" w:rsidP="00D1170E">
      <w:pPr>
        <w:pStyle w:val="BodyText"/>
        <w:rPr>
          <w:lang w:val="mk-MK"/>
        </w:rPr>
      </w:pPr>
    </w:p>
    <w:p w14:paraId="1905E12A" w14:textId="77777777" w:rsidR="001D6286" w:rsidRDefault="001D6286" w:rsidP="00D1170E">
      <w:pPr>
        <w:pStyle w:val="BodyText"/>
        <w:rPr>
          <w:lang w:val="mk-MK"/>
        </w:rPr>
      </w:pPr>
    </w:p>
    <w:p w14:paraId="1FF0BC4A" w14:textId="77777777" w:rsidR="001D6286" w:rsidRDefault="001D6286" w:rsidP="00D1170E">
      <w:pPr>
        <w:pStyle w:val="BodyText"/>
        <w:rPr>
          <w:lang w:val="mk-MK"/>
        </w:rPr>
      </w:pPr>
    </w:p>
    <w:p w14:paraId="0E4B306F" w14:textId="77777777" w:rsidR="001D6286" w:rsidRDefault="001D6286" w:rsidP="00D1170E">
      <w:pPr>
        <w:pStyle w:val="BodyText"/>
        <w:rPr>
          <w:lang w:val="mk-MK"/>
        </w:rPr>
      </w:pPr>
    </w:p>
    <w:p w14:paraId="1AA1F1D6" w14:textId="77777777" w:rsidR="000E04A3" w:rsidRDefault="000E04A3" w:rsidP="00D1170E">
      <w:pPr>
        <w:pStyle w:val="BodyText"/>
        <w:rPr>
          <w:lang w:val="mk-MK"/>
        </w:rPr>
      </w:pPr>
    </w:p>
    <w:p w14:paraId="69F719FE" w14:textId="77777777" w:rsidR="000E04A3" w:rsidRDefault="000E04A3" w:rsidP="00D1170E">
      <w:pPr>
        <w:pStyle w:val="BodyText"/>
        <w:rPr>
          <w:lang w:val="mk-MK"/>
        </w:rPr>
      </w:pPr>
    </w:p>
    <w:p w14:paraId="5519B24E" w14:textId="77777777" w:rsidR="000E04A3" w:rsidRDefault="000E04A3" w:rsidP="00D1170E">
      <w:pPr>
        <w:pStyle w:val="BodyText"/>
        <w:rPr>
          <w:lang w:val="mk-MK"/>
        </w:rPr>
      </w:pPr>
    </w:p>
    <w:p w14:paraId="32C50958" w14:textId="77777777" w:rsidR="000E04A3" w:rsidRDefault="000E04A3" w:rsidP="00D1170E">
      <w:pPr>
        <w:pStyle w:val="BodyText"/>
        <w:rPr>
          <w:lang w:val="en-US"/>
        </w:rPr>
      </w:pPr>
    </w:p>
    <w:p w14:paraId="077566DF" w14:textId="77777777" w:rsidR="00E93E93" w:rsidRDefault="00E93E93" w:rsidP="00D1170E">
      <w:pPr>
        <w:pStyle w:val="BodyText"/>
        <w:rPr>
          <w:lang w:val="en-US"/>
        </w:rPr>
      </w:pPr>
    </w:p>
    <w:p w14:paraId="74932BCC" w14:textId="77777777" w:rsidR="00E93E93" w:rsidRPr="00E93E93" w:rsidRDefault="00E93E93" w:rsidP="00D1170E">
      <w:pPr>
        <w:pStyle w:val="BodyText"/>
        <w:rPr>
          <w:lang w:val="en-US"/>
        </w:rPr>
      </w:pPr>
    </w:p>
    <w:p w14:paraId="59A9CB64" w14:textId="77777777" w:rsidR="000E04A3" w:rsidRDefault="000E04A3" w:rsidP="00D1170E">
      <w:pPr>
        <w:pStyle w:val="BodyText"/>
        <w:rPr>
          <w:lang w:val="mk-MK"/>
        </w:rPr>
      </w:pPr>
    </w:p>
    <w:p w14:paraId="4E178DCA" w14:textId="77777777" w:rsidR="000E04A3" w:rsidRDefault="000E04A3" w:rsidP="00D1170E">
      <w:pPr>
        <w:pStyle w:val="BodyText"/>
        <w:rPr>
          <w:lang w:val="mk-MK"/>
        </w:rPr>
      </w:pPr>
    </w:p>
    <w:p w14:paraId="48A540B9" w14:textId="77777777" w:rsidR="000E04A3" w:rsidRDefault="000E04A3" w:rsidP="00D1170E">
      <w:pPr>
        <w:pStyle w:val="BodyText"/>
        <w:rPr>
          <w:lang w:val="mk-MK"/>
        </w:rPr>
      </w:pPr>
    </w:p>
    <w:p w14:paraId="46AEDB46" w14:textId="77777777" w:rsidR="000E04A3" w:rsidRDefault="000E04A3" w:rsidP="00D1170E">
      <w:pPr>
        <w:pStyle w:val="BodyText"/>
        <w:rPr>
          <w:lang w:val="mk-MK"/>
        </w:rPr>
      </w:pPr>
    </w:p>
    <w:p w14:paraId="6820D7F5" w14:textId="77777777" w:rsidR="000E04A3" w:rsidRDefault="000E04A3" w:rsidP="00D1170E">
      <w:pPr>
        <w:pStyle w:val="BodyText"/>
        <w:rPr>
          <w:lang w:val="mk-MK"/>
        </w:rPr>
      </w:pPr>
    </w:p>
    <w:p w14:paraId="54D756AD" w14:textId="77777777" w:rsidR="000F243C" w:rsidRPr="00D73D2E" w:rsidRDefault="000F243C" w:rsidP="00D1170E">
      <w:pPr>
        <w:pStyle w:val="BodyText"/>
        <w:rPr>
          <w:lang w:val="en-US"/>
        </w:rPr>
      </w:pPr>
    </w:p>
    <w:p w14:paraId="366D10CD" w14:textId="7BBE24CB" w:rsidR="000A5384" w:rsidRPr="00AD1385" w:rsidRDefault="00AD1385" w:rsidP="00B70D6B">
      <w:pPr>
        <w:pStyle w:val="Heading1"/>
        <w:ind w:left="0"/>
        <w:jc w:val="both"/>
        <w:rPr>
          <w:sz w:val="26"/>
          <w:szCs w:val="26"/>
          <w:lang w:val="en-US"/>
        </w:rPr>
      </w:pPr>
      <w:bookmarkStart w:id="67" w:name="_Toc230523920"/>
      <w:r>
        <w:rPr>
          <w:sz w:val="26"/>
          <w:szCs w:val="26"/>
          <w:lang w:val="mk-MK"/>
        </w:rPr>
        <w:lastRenderedPageBreak/>
        <w:t>В</w:t>
      </w:r>
      <w:r w:rsidR="003B7099">
        <w:rPr>
          <w:sz w:val="26"/>
          <w:szCs w:val="26"/>
          <w:lang w:val="mk-MK"/>
        </w:rPr>
        <w:t xml:space="preserve">. </w:t>
      </w:r>
      <w:r w:rsidR="0017047C">
        <w:rPr>
          <w:sz w:val="26"/>
          <w:szCs w:val="26"/>
          <w:lang w:val="mk-MK"/>
        </w:rPr>
        <w:t>Компаративни н</w:t>
      </w:r>
      <w:r w:rsidR="00830E2B" w:rsidRPr="00830E2B">
        <w:rPr>
          <w:sz w:val="26"/>
          <w:szCs w:val="26"/>
          <w:lang w:val="mk-MK"/>
        </w:rPr>
        <w:t>ормативни рамки</w:t>
      </w:r>
      <w:r w:rsidR="00F418B6">
        <w:rPr>
          <w:sz w:val="26"/>
          <w:szCs w:val="26"/>
          <w:lang w:val="mk-MK"/>
        </w:rPr>
        <w:t xml:space="preserve"> </w:t>
      </w:r>
      <w:r w:rsidR="00830E2B" w:rsidRPr="00830E2B">
        <w:rPr>
          <w:sz w:val="26"/>
          <w:szCs w:val="26"/>
          <w:lang w:val="mk-MK"/>
        </w:rPr>
        <w:t>за учество на вработени</w:t>
      </w:r>
      <w:r w:rsidR="00386C05">
        <w:rPr>
          <w:sz w:val="26"/>
          <w:szCs w:val="26"/>
          <w:lang w:val="mk-MK"/>
        </w:rPr>
        <w:t>те</w:t>
      </w:r>
      <w:bookmarkEnd w:id="67"/>
      <w:r w:rsidR="00CE43DF">
        <w:rPr>
          <w:sz w:val="26"/>
          <w:szCs w:val="26"/>
          <w:lang w:val="mk-MK"/>
        </w:rPr>
        <w:t xml:space="preserve"> </w:t>
      </w:r>
    </w:p>
    <w:p w14:paraId="7AA286C3" w14:textId="77777777" w:rsidR="00F418B6" w:rsidRDefault="00F418B6" w:rsidP="00F418B6">
      <w:pPr>
        <w:rPr>
          <w:lang w:val="mk-MK"/>
        </w:rPr>
      </w:pPr>
    </w:p>
    <w:p w14:paraId="13C904C9" w14:textId="22F4EF65" w:rsidR="00B06CDD" w:rsidRDefault="008D3B2D" w:rsidP="00E93727">
      <w:pPr>
        <w:ind w:firstLine="478"/>
        <w:jc w:val="both"/>
        <w:rPr>
          <w:sz w:val="24"/>
          <w:szCs w:val="24"/>
          <w:lang w:val="en-US"/>
        </w:rPr>
      </w:pPr>
      <w:r>
        <w:rPr>
          <w:sz w:val="24"/>
          <w:szCs w:val="24"/>
          <w:lang w:val="mk-MK"/>
        </w:rPr>
        <w:t>Заклучо</w:t>
      </w:r>
      <w:r w:rsidR="001D5A75">
        <w:rPr>
          <w:sz w:val="24"/>
          <w:szCs w:val="24"/>
          <w:lang w:val="mk-MK"/>
        </w:rPr>
        <w:t>ците од првите два дела</w:t>
      </w:r>
      <w:r>
        <w:rPr>
          <w:sz w:val="24"/>
          <w:szCs w:val="24"/>
          <w:lang w:val="mk-MK"/>
        </w:rPr>
        <w:t xml:space="preserve"> јасно посочува</w:t>
      </w:r>
      <w:r w:rsidR="001D5A75">
        <w:rPr>
          <w:sz w:val="24"/>
          <w:szCs w:val="24"/>
          <w:lang w:val="mk-MK"/>
        </w:rPr>
        <w:t>ат</w:t>
      </w:r>
      <w:r>
        <w:rPr>
          <w:sz w:val="24"/>
          <w:szCs w:val="24"/>
          <w:lang w:val="mk-MK"/>
        </w:rPr>
        <w:t xml:space="preserve"> дека в</w:t>
      </w:r>
      <w:r w:rsidR="007D75AE" w:rsidRPr="00E93727">
        <w:rPr>
          <w:sz w:val="24"/>
          <w:szCs w:val="24"/>
          <w:lang w:val="mk-MK"/>
        </w:rPr>
        <w:t>о современите корпорации</w:t>
      </w:r>
      <w:r w:rsidR="008D2918">
        <w:rPr>
          <w:sz w:val="24"/>
          <w:szCs w:val="24"/>
          <w:lang w:val="mk-MK"/>
        </w:rPr>
        <w:t xml:space="preserve"> и постоечките стандарди</w:t>
      </w:r>
      <w:r w:rsidR="007D75AE" w:rsidRPr="00E93727">
        <w:rPr>
          <w:sz w:val="24"/>
          <w:szCs w:val="24"/>
          <w:lang w:val="mk-MK"/>
        </w:rPr>
        <w:t>,</w:t>
      </w:r>
      <w:r>
        <w:rPr>
          <w:sz w:val="24"/>
          <w:szCs w:val="24"/>
          <w:lang w:val="mk-MK"/>
        </w:rPr>
        <w:t xml:space="preserve"> нема ед</w:t>
      </w:r>
      <w:r w:rsidR="003B40BD">
        <w:rPr>
          <w:sz w:val="24"/>
          <w:szCs w:val="24"/>
          <w:lang w:val="mk-MK"/>
        </w:rPr>
        <w:t>инствен</w:t>
      </w:r>
      <w:r>
        <w:rPr>
          <w:sz w:val="24"/>
          <w:szCs w:val="24"/>
          <w:lang w:val="mk-MK"/>
        </w:rPr>
        <w:t xml:space="preserve"> одговор на</w:t>
      </w:r>
      <w:r w:rsidR="00E93727">
        <w:rPr>
          <w:sz w:val="24"/>
          <w:szCs w:val="24"/>
          <w:lang w:val="en-US"/>
        </w:rPr>
        <w:t xml:space="preserve"> </w:t>
      </w:r>
      <w:r w:rsidR="007D75AE" w:rsidRPr="00E93727">
        <w:rPr>
          <w:sz w:val="24"/>
          <w:szCs w:val="24"/>
          <w:lang w:val="mk-MK"/>
        </w:rPr>
        <w:t>прашањето кој треба да влијае врз клучните одлуки</w:t>
      </w:r>
      <w:r>
        <w:rPr>
          <w:sz w:val="24"/>
          <w:szCs w:val="24"/>
          <w:lang w:val="mk-MK"/>
        </w:rPr>
        <w:t>.</w:t>
      </w:r>
      <w:r w:rsidR="007D75AE" w:rsidRPr="00E93727">
        <w:rPr>
          <w:sz w:val="24"/>
          <w:szCs w:val="24"/>
          <w:lang w:val="mk-MK"/>
        </w:rPr>
        <w:t xml:space="preserve"> </w:t>
      </w:r>
      <w:r w:rsidR="003B40BD">
        <w:rPr>
          <w:sz w:val="24"/>
          <w:szCs w:val="24"/>
          <w:lang w:val="mk-MK"/>
        </w:rPr>
        <w:t>Дилемите д</w:t>
      </w:r>
      <w:r w:rsidR="007D75AE" w:rsidRPr="00E93727">
        <w:rPr>
          <w:sz w:val="24"/>
          <w:szCs w:val="24"/>
          <w:lang w:val="mk-MK"/>
        </w:rPr>
        <w:t>али тоа се единствено акционерите, вработените кои ја одржуваат организацијата, некаков баланс меѓу двете страни или дури и новите технологии како што е вештачката интелигенција</w:t>
      </w:r>
      <w:r w:rsidR="003B40BD">
        <w:rPr>
          <w:sz w:val="24"/>
          <w:szCs w:val="24"/>
          <w:lang w:val="mk-MK"/>
        </w:rPr>
        <w:t xml:space="preserve"> </w:t>
      </w:r>
      <w:r w:rsidR="00877D07">
        <w:rPr>
          <w:sz w:val="24"/>
          <w:szCs w:val="24"/>
          <w:lang w:val="mk-MK"/>
        </w:rPr>
        <w:t xml:space="preserve">се решаваат на национално ниво </w:t>
      </w:r>
      <w:r w:rsidR="00631AE5">
        <w:rPr>
          <w:sz w:val="24"/>
          <w:szCs w:val="24"/>
          <w:lang w:val="mk-MK"/>
        </w:rPr>
        <w:t>поради</w:t>
      </w:r>
      <w:r w:rsidR="00336060">
        <w:rPr>
          <w:sz w:val="24"/>
          <w:szCs w:val="24"/>
          <w:lang w:val="mk-MK"/>
        </w:rPr>
        <w:t xml:space="preserve"> што</w:t>
      </w:r>
      <w:r w:rsidR="00877D07">
        <w:rPr>
          <w:sz w:val="24"/>
          <w:szCs w:val="24"/>
          <w:lang w:val="mk-MK"/>
        </w:rPr>
        <w:t xml:space="preserve"> у</w:t>
      </w:r>
      <w:r w:rsidR="007D75AE" w:rsidRPr="00E93727">
        <w:rPr>
          <w:sz w:val="24"/>
          <w:szCs w:val="24"/>
          <w:lang w:val="mk-MK"/>
        </w:rPr>
        <w:t xml:space="preserve">логата на вработените во корпоративното управување </w:t>
      </w:r>
      <w:r w:rsidR="00877D07">
        <w:rPr>
          <w:sz w:val="24"/>
          <w:szCs w:val="24"/>
          <w:lang w:val="mk-MK"/>
        </w:rPr>
        <w:t>с</w:t>
      </w:r>
      <w:r w:rsidR="00066E82" w:rsidRPr="00E93727">
        <w:rPr>
          <w:sz w:val="24"/>
          <w:szCs w:val="24"/>
          <w:lang w:val="mk-MK"/>
        </w:rPr>
        <w:t>ѐ</w:t>
      </w:r>
      <w:r w:rsidR="00877D07">
        <w:rPr>
          <w:sz w:val="24"/>
          <w:szCs w:val="24"/>
          <w:lang w:val="mk-MK"/>
        </w:rPr>
        <w:t xml:space="preserve"> уште останува</w:t>
      </w:r>
      <w:r w:rsidR="007D75AE" w:rsidRPr="00E93727">
        <w:rPr>
          <w:sz w:val="24"/>
          <w:szCs w:val="24"/>
          <w:lang w:val="mk-MK"/>
        </w:rPr>
        <w:t xml:space="preserve"> предмет на обемна дискусија во правото, економијата и политичките наук</w:t>
      </w:r>
      <w:r w:rsidR="00336060">
        <w:rPr>
          <w:sz w:val="24"/>
          <w:szCs w:val="24"/>
          <w:lang w:val="mk-MK"/>
        </w:rPr>
        <w:t>и.</w:t>
      </w:r>
      <w:r w:rsidR="00336060">
        <w:rPr>
          <w:rStyle w:val="FootnoteReference"/>
          <w:sz w:val="24"/>
          <w:szCs w:val="24"/>
          <w:lang w:val="mk-MK"/>
        </w:rPr>
        <w:footnoteReference w:id="516"/>
      </w:r>
      <w:r w:rsidR="007D75AE" w:rsidRPr="00E93727">
        <w:rPr>
          <w:sz w:val="24"/>
          <w:szCs w:val="24"/>
          <w:lang w:val="mk-MK"/>
        </w:rPr>
        <w:t xml:space="preserve"> </w:t>
      </w:r>
    </w:p>
    <w:p w14:paraId="146159FD" w14:textId="1475CA0B" w:rsidR="00B06CDD" w:rsidRDefault="00E90F28" w:rsidP="00B06CDD">
      <w:pPr>
        <w:spacing w:before="240"/>
        <w:ind w:firstLine="478"/>
        <w:jc w:val="both"/>
        <w:rPr>
          <w:sz w:val="24"/>
          <w:szCs w:val="24"/>
          <w:lang w:val="en-US"/>
        </w:rPr>
      </w:pPr>
      <w:r>
        <w:rPr>
          <w:sz w:val="24"/>
          <w:szCs w:val="24"/>
          <w:lang w:val="mk-MK"/>
        </w:rPr>
        <w:t>Како</w:t>
      </w:r>
      <w:r w:rsidR="00DC2A5E">
        <w:rPr>
          <w:sz w:val="24"/>
          <w:szCs w:val="24"/>
          <w:lang w:val="en-US"/>
        </w:rPr>
        <w:t xml:space="preserve"> </w:t>
      </w:r>
      <w:r w:rsidR="00DC2A5E">
        <w:rPr>
          <w:sz w:val="24"/>
          <w:szCs w:val="24"/>
          <w:lang w:val="mk-MK"/>
        </w:rPr>
        <w:t>што</w:t>
      </w:r>
      <w:r>
        <w:rPr>
          <w:sz w:val="24"/>
          <w:szCs w:val="24"/>
          <w:lang w:val="mk-MK"/>
        </w:rPr>
        <w:t xml:space="preserve"> </w:t>
      </w:r>
      <w:r w:rsidR="001D0EA1">
        <w:rPr>
          <w:sz w:val="24"/>
          <w:szCs w:val="24"/>
          <w:lang w:val="mk-MK"/>
        </w:rPr>
        <w:t>видовме во историскиот приказ</w:t>
      </w:r>
      <w:r>
        <w:rPr>
          <w:sz w:val="24"/>
          <w:szCs w:val="24"/>
          <w:lang w:val="mk-MK"/>
        </w:rPr>
        <w:t>, така и денес, в</w:t>
      </w:r>
      <w:r w:rsidR="007D75AE" w:rsidRPr="00E93727">
        <w:rPr>
          <w:sz w:val="24"/>
          <w:szCs w:val="24"/>
          <w:lang w:val="mk-MK"/>
        </w:rPr>
        <w:t xml:space="preserve">о срцето на оваа дебата </w:t>
      </w:r>
      <w:r>
        <w:rPr>
          <w:sz w:val="24"/>
          <w:szCs w:val="24"/>
          <w:lang w:val="mk-MK"/>
        </w:rPr>
        <w:t>останува</w:t>
      </w:r>
      <w:r w:rsidR="007D75AE" w:rsidRPr="00E93727">
        <w:rPr>
          <w:sz w:val="24"/>
          <w:szCs w:val="24"/>
          <w:lang w:val="mk-MK"/>
        </w:rPr>
        <w:t xml:space="preserve"> прашањето за легитимитетот: кои засегнати страни треба да бидат овластени да го обликуваат долгорочниот правец на фирмата и врз која основа? Дали тоа се </w:t>
      </w:r>
      <w:r w:rsidR="00CB4099">
        <w:rPr>
          <w:sz w:val="24"/>
          <w:szCs w:val="24"/>
          <w:lang w:val="mk-MK"/>
        </w:rPr>
        <w:t>сопствениците</w:t>
      </w:r>
      <w:r w:rsidR="007D75AE" w:rsidRPr="00E93727">
        <w:rPr>
          <w:sz w:val="24"/>
          <w:szCs w:val="24"/>
          <w:lang w:val="mk-MK"/>
        </w:rPr>
        <w:t xml:space="preserve"> на капитал</w:t>
      </w:r>
      <w:r w:rsidR="00CB4099">
        <w:rPr>
          <w:sz w:val="24"/>
          <w:szCs w:val="24"/>
          <w:lang w:val="mk-MK"/>
        </w:rPr>
        <w:t>от</w:t>
      </w:r>
      <w:r w:rsidR="007D75AE" w:rsidRPr="00E93727">
        <w:rPr>
          <w:sz w:val="24"/>
          <w:szCs w:val="24"/>
          <w:lang w:val="mk-MK"/>
        </w:rPr>
        <w:t xml:space="preserve">, традиционално претставени преку акционерите, или давателите на труд, чии колективни придонеси ја одржуваат производствената способност на претпријатието. </w:t>
      </w:r>
      <w:r w:rsidR="00855EEF">
        <w:rPr>
          <w:sz w:val="24"/>
          <w:szCs w:val="24"/>
          <w:lang w:val="mk-MK"/>
        </w:rPr>
        <w:t>Јасно е дека с</w:t>
      </w:r>
      <w:r w:rsidR="007D75AE" w:rsidRPr="00E93727">
        <w:rPr>
          <w:sz w:val="24"/>
          <w:szCs w:val="24"/>
          <w:lang w:val="mk-MK"/>
        </w:rPr>
        <w:t>ѐ повеќе, вештачката интелигенција (AI) станува фактор, но во ова истражување фокусот ќе остане на рамките на корпоративното управување низ светот, кои нудат различни одговори на ова прашање, обликувани од историски текови, институционал</w:t>
      </w:r>
      <w:r w:rsidR="00066E82">
        <w:rPr>
          <w:sz w:val="24"/>
          <w:szCs w:val="24"/>
          <w:lang w:val="mk-MK"/>
        </w:rPr>
        <w:t>ен</w:t>
      </w:r>
      <w:r w:rsidR="007D75AE" w:rsidRPr="00E93727">
        <w:rPr>
          <w:sz w:val="24"/>
          <w:szCs w:val="24"/>
          <w:lang w:val="mk-MK"/>
        </w:rPr>
        <w:t xml:space="preserve"> дизајн и доминантни социо-економски идеологии. </w:t>
      </w:r>
    </w:p>
    <w:p w14:paraId="479D7185" w14:textId="7E18C830" w:rsidR="0022202C" w:rsidRDefault="007D75AE" w:rsidP="00B06CDD">
      <w:pPr>
        <w:spacing w:before="240"/>
        <w:ind w:firstLine="478"/>
        <w:jc w:val="both"/>
        <w:rPr>
          <w:sz w:val="24"/>
          <w:szCs w:val="24"/>
          <w:lang w:val="mk-MK"/>
        </w:rPr>
      </w:pPr>
      <w:r w:rsidRPr="00E93727">
        <w:rPr>
          <w:sz w:val="24"/>
          <w:szCs w:val="24"/>
          <w:lang w:val="mk-MK"/>
        </w:rPr>
        <w:t xml:space="preserve">Споредбеното проучување на учеството на вработените е особено значајно бидејќи ја истакнува разновидноста на институционалните уредувања кои можат да се појават за да се балансираат конкурирачките барања на капиталот и трудот. Од силните системи на кодетерминација, како </w:t>
      </w:r>
      <w:r w:rsidR="0019375F">
        <w:rPr>
          <w:sz w:val="24"/>
          <w:szCs w:val="24"/>
          <w:lang w:val="mk-MK"/>
        </w:rPr>
        <w:t>што видовме преку примерот на</w:t>
      </w:r>
      <w:r w:rsidRPr="00E93727">
        <w:rPr>
          <w:sz w:val="24"/>
          <w:szCs w:val="24"/>
          <w:lang w:val="mk-MK"/>
        </w:rPr>
        <w:t xml:space="preserve"> Германија, до акционерски ориентираните системи типични за САД и Обединетото Кралство, пејзажот на корпоративното управување се одликува со длабоки разлики. Сепак, овие модели не се статични: тие постојано се преосмислуваат како одговор на притисоците од глобализацијата, технолошките промени, реструктурирањето на пазарот на труд и подемот на нови парадигми на управување кои нагласуваат одржливост и ангажман на засегнатите страни.</w:t>
      </w:r>
      <w:r w:rsidR="0022202C">
        <w:rPr>
          <w:rStyle w:val="FootnoteReference"/>
          <w:sz w:val="24"/>
          <w:szCs w:val="24"/>
          <w:lang w:val="mk-MK"/>
        </w:rPr>
        <w:footnoteReference w:id="517"/>
      </w:r>
      <w:r w:rsidRPr="00E93727">
        <w:rPr>
          <w:sz w:val="24"/>
          <w:szCs w:val="24"/>
          <w:lang w:val="mk-MK"/>
        </w:rPr>
        <w:t xml:space="preserve"> </w:t>
      </w:r>
    </w:p>
    <w:p w14:paraId="71F0FF1F" w14:textId="6A4D2126" w:rsidR="00AD3E99" w:rsidRDefault="005B5558" w:rsidP="00B06CDD">
      <w:pPr>
        <w:spacing w:before="240"/>
        <w:ind w:firstLine="478"/>
        <w:jc w:val="both"/>
        <w:rPr>
          <w:sz w:val="24"/>
          <w:szCs w:val="24"/>
          <w:lang w:val="mk-MK"/>
        </w:rPr>
      </w:pPr>
      <w:r>
        <w:rPr>
          <w:sz w:val="24"/>
          <w:szCs w:val="24"/>
          <w:lang w:val="mk-MK"/>
        </w:rPr>
        <w:t>Токму заради овие причини</w:t>
      </w:r>
      <w:r w:rsidR="00C07DCE">
        <w:rPr>
          <w:sz w:val="24"/>
          <w:szCs w:val="24"/>
          <w:lang w:val="mk-MK"/>
        </w:rPr>
        <w:t xml:space="preserve"> и имајќи го предвид историјатот на</w:t>
      </w:r>
      <w:r w:rsidR="007D75AE" w:rsidRPr="00E93727">
        <w:rPr>
          <w:sz w:val="24"/>
          <w:szCs w:val="24"/>
          <w:lang w:val="mk-MK"/>
        </w:rPr>
        <w:t xml:space="preserve"> учеството на вработените </w:t>
      </w:r>
      <w:r w:rsidR="00C07DCE">
        <w:rPr>
          <w:sz w:val="24"/>
          <w:szCs w:val="24"/>
          <w:lang w:val="mk-MK"/>
        </w:rPr>
        <w:t xml:space="preserve">кое </w:t>
      </w:r>
      <w:r w:rsidR="007D75AE" w:rsidRPr="00E93727">
        <w:rPr>
          <w:sz w:val="24"/>
          <w:szCs w:val="24"/>
          <w:lang w:val="mk-MK"/>
        </w:rPr>
        <w:t>произлегло од борбите за индустриска демократија и стремежот кон поправедна распределба на моќта во рамки на претпријатието</w:t>
      </w:r>
      <w:r w:rsidR="00C07DCE">
        <w:rPr>
          <w:sz w:val="24"/>
          <w:szCs w:val="24"/>
          <w:lang w:val="mk-MK"/>
        </w:rPr>
        <w:t>,</w:t>
      </w:r>
      <w:r w:rsidR="00AC6F3B">
        <w:rPr>
          <w:rStyle w:val="FootnoteReference"/>
          <w:sz w:val="24"/>
          <w:szCs w:val="24"/>
          <w:lang w:val="mk-MK"/>
        </w:rPr>
        <w:footnoteReference w:id="518"/>
      </w:r>
      <w:r w:rsidR="00C07DCE">
        <w:rPr>
          <w:sz w:val="24"/>
          <w:szCs w:val="24"/>
          <w:lang w:val="mk-MK"/>
        </w:rPr>
        <w:t xml:space="preserve"> важно е да се направи споредба на сите наведени системи и да се извлечат корисни паралели</w:t>
      </w:r>
      <w:r w:rsidR="007D75AE" w:rsidRPr="00E93727">
        <w:rPr>
          <w:sz w:val="24"/>
          <w:szCs w:val="24"/>
          <w:lang w:val="mk-MK"/>
        </w:rPr>
        <w:t xml:space="preserve">. </w:t>
      </w:r>
      <w:r w:rsidR="00B71423">
        <w:rPr>
          <w:sz w:val="24"/>
          <w:szCs w:val="24"/>
          <w:lang w:val="mk-MK"/>
        </w:rPr>
        <w:t>На пример, тоа што в</w:t>
      </w:r>
      <w:r w:rsidR="007D75AE" w:rsidRPr="00E93727">
        <w:rPr>
          <w:sz w:val="24"/>
          <w:szCs w:val="24"/>
          <w:lang w:val="mk-MK"/>
        </w:rPr>
        <w:t xml:space="preserve">о Централна и </w:t>
      </w:r>
      <w:r w:rsidR="00FE0746">
        <w:rPr>
          <w:sz w:val="24"/>
          <w:szCs w:val="24"/>
          <w:lang w:val="mk-MK"/>
        </w:rPr>
        <w:t>Југои</w:t>
      </w:r>
      <w:r w:rsidR="007D75AE" w:rsidRPr="00E93727">
        <w:rPr>
          <w:sz w:val="24"/>
          <w:szCs w:val="24"/>
          <w:lang w:val="mk-MK"/>
        </w:rPr>
        <w:t xml:space="preserve">сточна Европа, постсоцијалистичките држави како </w:t>
      </w:r>
      <w:r w:rsidR="00FE0746">
        <w:rPr>
          <w:sz w:val="24"/>
          <w:szCs w:val="24"/>
          <w:lang w:val="mk-MK"/>
        </w:rPr>
        <w:t xml:space="preserve">Полска, </w:t>
      </w:r>
      <w:r w:rsidR="007D75AE" w:rsidRPr="00E93727">
        <w:rPr>
          <w:sz w:val="24"/>
          <w:szCs w:val="24"/>
          <w:lang w:val="mk-MK"/>
        </w:rPr>
        <w:t xml:space="preserve">Србија, </w:t>
      </w:r>
      <w:r w:rsidR="001E4BA9">
        <w:rPr>
          <w:sz w:val="24"/>
          <w:szCs w:val="24"/>
          <w:lang w:val="mk-MK"/>
        </w:rPr>
        <w:t xml:space="preserve">Босна и Херцеговина, </w:t>
      </w:r>
      <w:r w:rsidR="007D75AE" w:rsidRPr="00E93727">
        <w:rPr>
          <w:sz w:val="24"/>
          <w:szCs w:val="24"/>
          <w:lang w:val="mk-MK"/>
        </w:rPr>
        <w:t>Хрватска и Словенија минале низ комплексни транзиции, преминувајќи од системи на општествена сопственост и самоуправување</w:t>
      </w:r>
      <w:r w:rsidR="009D7A9C">
        <w:rPr>
          <w:sz w:val="24"/>
          <w:szCs w:val="24"/>
          <w:lang w:val="mk-MK"/>
        </w:rPr>
        <w:t>, во случајот на поранешна Југославија,</w:t>
      </w:r>
      <w:r w:rsidR="007D75AE" w:rsidRPr="00E93727">
        <w:rPr>
          <w:sz w:val="24"/>
          <w:szCs w:val="24"/>
          <w:lang w:val="mk-MK"/>
        </w:rPr>
        <w:t xml:space="preserve"> кон структури на корпоративно управување засновани врз акционери, задржувајќи притоа одредени елементи на влијание на вработените</w:t>
      </w:r>
      <w:r w:rsidR="00B71423">
        <w:rPr>
          <w:sz w:val="24"/>
          <w:szCs w:val="24"/>
          <w:lang w:val="mk-MK"/>
        </w:rPr>
        <w:t xml:space="preserve"> може да послужи како добар пример за Македонија</w:t>
      </w:r>
      <w:r w:rsidR="007D75AE" w:rsidRPr="00E93727">
        <w:rPr>
          <w:sz w:val="24"/>
          <w:szCs w:val="24"/>
          <w:lang w:val="mk-MK"/>
        </w:rPr>
        <w:t xml:space="preserve">. </w:t>
      </w:r>
    </w:p>
    <w:p w14:paraId="009B85E7" w14:textId="64B1EEB2" w:rsidR="009768C6" w:rsidRDefault="00DB594F" w:rsidP="00E101B6">
      <w:pPr>
        <w:spacing w:before="240"/>
        <w:ind w:firstLine="478"/>
        <w:jc w:val="both"/>
        <w:rPr>
          <w:sz w:val="24"/>
          <w:szCs w:val="24"/>
          <w:lang w:val="mk-MK"/>
        </w:rPr>
      </w:pPr>
      <w:r>
        <w:rPr>
          <w:sz w:val="24"/>
          <w:szCs w:val="24"/>
          <w:lang w:val="mk-MK"/>
        </w:rPr>
        <w:t>Од друга страна</w:t>
      </w:r>
      <w:r w:rsidR="007D75AE" w:rsidRPr="00E93727">
        <w:rPr>
          <w:sz w:val="24"/>
          <w:szCs w:val="24"/>
          <w:lang w:val="mk-MK"/>
        </w:rPr>
        <w:t xml:space="preserve">, </w:t>
      </w:r>
      <w:r>
        <w:rPr>
          <w:sz w:val="24"/>
          <w:szCs w:val="24"/>
          <w:lang w:val="mk-MK"/>
        </w:rPr>
        <w:t>треба да се согледа</w:t>
      </w:r>
      <w:r w:rsidR="0077109A">
        <w:rPr>
          <w:sz w:val="24"/>
          <w:szCs w:val="24"/>
          <w:lang w:val="mk-MK"/>
        </w:rPr>
        <w:t>ат</w:t>
      </w:r>
      <w:r>
        <w:rPr>
          <w:sz w:val="24"/>
          <w:szCs w:val="24"/>
          <w:lang w:val="mk-MK"/>
        </w:rPr>
        <w:t xml:space="preserve"> и</w:t>
      </w:r>
      <w:r w:rsidR="0077109A">
        <w:rPr>
          <w:sz w:val="24"/>
          <w:szCs w:val="24"/>
          <w:lang w:val="mk-MK"/>
        </w:rPr>
        <w:t xml:space="preserve"> придобивките и проблемите на</w:t>
      </w:r>
      <w:r>
        <w:rPr>
          <w:sz w:val="24"/>
          <w:szCs w:val="24"/>
          <w:lang w:val="mk-MK"/>
        </w:rPr>
        <w:t xml:space="preserve"> моделот на</w:t>
      </w:r>
      <w:r w:rsidR="007D75AE" w:rsidRPr="00E93727">
        <w:rPr>
          <w:sz w:val="24"/>
          <w:szCs w:val="24"/>
          <w:lang w:val="mk-MK"/>
        </w:rPr>
        <w:t xml:space="preserve"> </w:t>
      </w:r>
      <w:r w:rsidR="007D75AE" w:rsidRPr="00E93727">
        <w:rPr>
          <w:sz w:val="24"/>
          <w:szCs w:val="24"/>
          <w:lang w:val="mk-MK"/>
        </w:rPr>
        <w:lastRenderedPageBreak/>
        <w:t>државната сопственост и влијанието на партијата</w:t>
      </w:r>
      <w:r>
        <w:rPr>
          <w:sz w:val="24"/>
          <w:szCs w:val="24"/>
          <w:lang w:val="mk-MK"/>
        </w:rPr>
        <w:t xml:space="preserve"> во Кина кои</w:t>
      </w:r>
      <w:r w:rsidR="007D75AE" w:rsidRPr="00E93727">
        <w:rPr>
          <w:sz w:val="24"/>
          <w:szCs w:val="24"/>
          <w:lang w:val="mk-MK"/>
        </w:rPr>
        <w:t xml:space="preserve"> создадоа специфичен модел каде формалните механизми за глас на вработените коегзистираат со политички надзор, одразувајќи го приматот на државните цели над приватните интереси.</w:t>
      </w:r>
      <w:r w:rsidR="00AD3E99">
        <w:rPr>
          <w:rStyle w:val="FootnoteReference"/>
          <w:sz w:val="24"/>
          <w:szCs w:val="24"/>
          <w:lang w:val="mk-MK"/>
        </w:rPr>
        <w:footnoteReference w:id="519"/>
      </w:r>
      <w:r w:rsidR="00E101B6">
        <w:rPr>
          <w:sz w:val="24"/>
          <w:szCs w:val="24"/>
          <w:lang w:val="en-US"/>
        </w:rPr>
        <w:t xml:space="preserve"> </w:t>
      </w:r>
      <w:r w:rsidR="007D75AE" w:rsidRPr="00E93727">
        <w:rPr>
          <w:sz w:val="24"/>
          <w:szCs w:val="24"/>
          <w:lang w:val="mk-MK"/>
        </w:rPr>
        <w:t xml:space="preserve">Западните јурисдикции нудат дополнителни контрасти </w:t>
      </w:r>
      <w:r w:rsidR="00983974">
        <w:rPr>
          <w:sz w:val="24"/>
          <w:szCs w:val="24"/>
          <w:lang w:val="mk-MK"/>
        </w:rPr>
        <w:t>и како што видовме</w:t>
      </w:r>
      <w:r w:rsidR="007D75AE" w:rsidRPr="00E93727">
        <w:rPr>
          <w:sz w:val="24"/>
          <w:szCs w:val="24"/>
          <w:lang w:val="mk-MK"/>
        </w:rPr>
        <w:t xml:space="preserve"> Германија се издвојува како архетип на кодетерминација, каде претставниците на вработените уживаат вградени права и на ниво на управен</w:t>
      </w:r>
      <w:r w:rsidR="00622384">
        <w:rPr>
          <w:sz w:val="24"/>
          <w:szCs w:val="24"/>
          <w:lang w:val="mk-MK"/>
        </w:rPr>
        <w:t>/надзорен</w:t>
      </w:r>
      <w:r w:rsidR="007D75AE" w:rsidRPr="00E93727">
        <w:rPr>
          <w:sz w:val="24"/>
          <w:szCs w:val="24"/>
          <w:lang w:val="mk-MK"/>
        </w:rPr>
        <w:t xml:space="preserve"> одбор и на ниво на работното место, олицетворувајќи филозофија на соработка </w:t>
      </w:r>
      <w:r w:rsidR="008630DE">
        <w:rPr>
          <w:sz w:val="24"/>
          <w:szCs w:val="24"/>
          <w:lang w:val="mk-MK"/>
        </w:rPr>
        <w:t>по</w:t>
      </w:r>
      <w:r w:rsidR="007D75AE" w:rsidRPr="00E93727">
        <w:rPr>
          <w:sz w:val="24"/>
          <w:szCs w:val="24"/>
          <w:lang w:val="mk-MK"/>
        </w:rPr>
        <w:t>меѓу капиталот и трудот.</w:t>
      </w:r>
      <w:r w:rsidR="006521ED">
        <w:rPr>
          <w:rStyle w:val="FootnoteReference"/>
          <w:sz w:val="24"/>
          <w:szCs w:val="24"/>
          <w:lang w:val="mk-MK"/>
        </w:rPr>
        <w:footnoteReference w:id="520"/>
      </w:r>
      <w:r w:rsidR="007D75AE" w:rsidRPr="00E93727">
        <w:rPr>
          <w:sz w:val="24"/>
          <w:szCs w:val="24"/>
          <w:lang w:val="mk-MK"/>
        </w:rPr>
        <w:t xml:space="preserve"> Спротивно, англо-американскиот модел, распространет во САД и Обединетото Кралство, го приоритизира приматот на акционерите и пазарните механизми, оставајќи го учеството на вработените во голема мера надвор од формалните структури на корпоративното управување, иако притисоците од ESG нормите и политичките дебати </w:t>
      </w:r>
      <w:r w:rsidR="00C365F5">
        <w:rPr>
          <w:sz w:val="24"/>
          <w:szCs w:val="24"/>
          <w:lang w:val="mk-MK"/>
        </w:rPr>
        <w:t>отвораат</w:t>
      </w:r>
      <w:r w:rsidR="007D75AE" w:rsidRPr="00E93727">
        <w:rPr>
          <w:sz w:val="24"/>
          <w:szCs w:val="24"/>
          <w:lang w:val="mk-MK"/>
        </w:rPr>
        <w:t xml:space="preserve"> нови можности за дискусија.</w:t>
      </w:r>
      <w:r w:rsidR="00B70955">
        <w:rPr>
          <w:rStyle w:val="FootnoteReference"/>
          <w:sz w:val="24"/>
          <w:szCs w:val="24"/>
          <w:lang w:val="mk-MK"/>
        </w:rPr>
        <w:footnoteReference w:id="521"/>
      </w:r>
      <w:r w:rsidR="007D75AE" w:rsidRPr="00E93727">
        <w:rPr>
          <w:sz w:val="24"/>
          <w:szCs w:val="24"/>
          <w:lang w:val="mk-MK"/>
        </w:rPr>
        <w:t xml:space="preserve"> </w:t>
      </w:r>
    </w:p>
    <w:p w14:paraId="456456FB" w14:textId="53E008A1" w:rsidR="00CD0674" w:rsidRDefault="00CD0674" w:rsidP="00E101B6">
      <w:pPr>
        <w:spacing w:before="240"/>
        <w:ind w:firstLine="478"/>
        <w:jc w:val="both"/>
        <w:rPr>
          <w:sz w:val="24"/>
          <w:szCs w:val="24"/>
          <w:lang w:val="en-US"/>
        </w:rPr>
      </w:pPr>
      <w:r>
        <w:rPr>
          <w:sz w:val="24"/>
          <w:szCs w:val="24"/>
          <w:lang w:val="mk-MK"/>
        </w:rPr>
        <w:t xml:space="preserve">Во слична линија, </w:t>
      </w:r>
      <w:r w:rsidR="00006A48" w:rsidRPr="00006A48">
        <w:rPr>
          <w:sz w:val="24"/>
          <w:szCs w:val="24"/>
          <w:lang w:val="mk-MK"/>
        </w:rPr>
        <w:t>Италија</w:t>
      </w:r>
      <w:r w:rsidR="00397037">
        <w:rPr>
          <w:sz w:val="24"/>
          <w:szCs w:val="24"/>
          <w:lang w:val="mk-MK"/>
        </w:rPr>
        <w:t>, Холандија</w:t>
      </w:r>
      <w:r w:rsidR="00006A48" w:rsidRPr="00006A48">
        <w:rPr>
          <w:sz w:val="24"/>
          <w:szCs w:val="24"/>
          <w:lang w:val="mk-MK"/>
        </w:rPr>
        <w:t xml:space="preserve"> и Полска се избрани како примери на континенталноевропски системи кои формално припаѓаат на европскиот социјален модел, но покажуваат значајни разлики во однос на степенот и квалитетот на учеството на вработените. Италија се карактеризира со силна традиција на синдикално претставување и колективно договарање, но со ограничена институционализација на учеството во органите на управување.</w:t>
      </w:r>
      <w:r w:rsidR="00E8473A">
        <w:rPr>
          <w:rStyle w:val="FootnoteReference"/>
          <w:sz w:val="24"/>
          <w:szCs w:val="24"/>
          <w:lang w:val="mk-MK"/>
        </w:rPr>
        <w:footnoteReference w:id="522"/>
      </w:r>
      <w:r w:rsidR="0069671A">
        <w:rPr>
          <w:sz w:val="24"/>
          <w:szCs w:val="24"/>
          <w:lang w:val="mk-MK"/>
        </w:rPr>
        <w:t xml:space="preserve"> </w:t>
      </w:r>
      <w:r w:rsidR="0069671A" w:rsidRPr="0069671A">
        <w:rPr>
          <w:sz w:val="24"/>
          <w:szCs w:val="24"/>
          <w:lang w:val="mk-MK"/>
        </w:rPr>
        <w:t>Холандија е релевантна за споредба со Македонија затоа што покажува како високо ниво на учество на вработените може да се постигне без задолжително присуство на работници во управните или надзорните одбори. За разлика од германскиот модел, холандскиот систем се потпира н</w:t>
      </w:r>
      <w:r w:rsidR="00DA77A4">
        <w:rPr>
          <w:sz w:val="24"/>
          <w:szCs w:val="24"/>
          <w:lang w:val="mk-MK"/>
        </w:rPr>
        <w:t>а</w:t>
      </w:r>
      <w:r w:rsidR="0069671A" w:rsidRPr="0069671A">
        <w:rPr>
          <w:sz w:val="24"/>
          <w:szCs w:val="24"/>
          <w:lang w:val="mk-MK"/>
        </w:rPr>
        <w:t xml:space="preserve"> законски силни работнички совети со права на информирање, консултација и согласност</w:t>
      </w:r>
      <w:r w:rsidR="00DA77A4">
        <w:rPr>
          <w:sz w:val="24"/>
          <w:szCs w:val="24"/>
          <w:lang w:val="mk-MK"/>
        </w:rPr>
        <w:t>;</w:t>
      </w:r>
      <w:r w:rsidR="0069671A" w:rsidRPr="0069671A">
        <w:rPr>
          <w:sz w:val="24"/>
          <w:szCs w:val="24"/>
          <w:lang w:val="mk-MK"/>
        </w:rPr>
        <w:t xml:space="preserve"> судска заштита преку специјализирани институции</w:t>
      </w:r>
      <w:r w:rsidR="00DA77A4">
        <w:rPr>
          <w:sz w:val="24"/>
          <w:szCs w:val="24"/>
          <w:lang w:val="mk-MK"/>
        </w:rPr>
        <w:t xml:space="preserve"> и</w:t>
      </w:r>
      <w:r w:rsidR="0069671A" w:rsidRPr="0069671A">
        <w:rPr>
          <w:sz w:val="24"/>
          <w:szCs w:val="24"/>
          <w:lang w:val="mk-MK"/>
        </w:rPr>
        <w:t xml:space="preserve"> интеграција на работничкиот глас во корпоративното управување преку индиректни механизми, како што е правото на номинација во надзорните одбори кај големите компании</w:t>
      </w:r>
      <w:r w:rsidR="00235162">
        <w:rPr>
          <w:sz w:val="24"/>
          <w:szCs w:val="24"/>
          <w:lang w:val="mk-MK"/>
        </w:rPr>
        <w:t>.</w:t>
      </w:r>
      <w:r w:rsidR="00235162">
        <w:rPr>
          <w:rStyle w:val="FootnoteReference"/>
          <w:sz w:val="24"/>
          <w:szCs w:val="24"/>
          <w:lang w:val="mk-MK"/>
        </w:rPr>
        <w:footnoteReference w:id="523"/>
      </w:r>
      <w:r w:rsidR="00006A48" w:rsidRPr="00006A48">
        <w:rPr>
          <w:sz w:val="24"/>
          <w:szCs w:val="24"/>
          <w:lang w:val="mk-MK"/>
        </w:rPr>
        <w:t xml:space="preserve"> Полска, пак, како постсоцијалистичка држава членка на ЕУ, нуди увид во процесите на институционална трансформација и селективна европеизација, при што формалните правни механизми на работничко учество често остануваат слабо применети во пракса.</w:t>
      </w:r>
      <w:r w:rsidR="008F2881">
        <w:rPr>
          <w:rStyle w:val="FootnoteReference"/>
          <w:sz w:val="24"/>
          <w:szCs w:val="24"/>
          <w:lang w:val="mk-MK"/>
        </w:rPr>
        <w:footnoteReference w:id="524"/>
      </w:r>
    </w:p>
    <w:p w14:paraId="12E46321" w14:textId="702E9FE9" w:rsidR="0009720C" w:rsidRPr="0009720C" w:rsidRDefault="0009720C" w:rsidP="00E101B6">
      <w:pPr>
        <w:spacing w:before="240"/>
        <w:ind w:firstLine="478"/>
        <w:jc w:val="both"/>
        <w:rPr>
          <w:sz w:val="24"/>
          <w:szCs w:val="24"/>
          <w:lang w:val="mk-MK"/>
        </w:rPr>
      </w:pPr>
      <w:r>
        <w:rPr>
          <w:sz w:val="24"/>
          <w:szCs w:val="24"/>
          <w:lang w:val="mk-MK"/>
        </w:rPr>
        <w:t xml:space="preserve">Конечно, </w:t>
      </w:r>
      <w:r w:rsidRPr="0009720C">
        <w:rPr>
          <w:sz w:val="24"/>
          <w:szCs w:val="24"/>
          <w:lang w:val="mk-MK"/>
        </w:rPr>
        <w:t xml:space="preserve">Кина и Јапонија се вклучени како </w:t>
      </w:r>
      <w:r w:rsidR="004B4180">
        <w:rPr>
          <w:sz w:val="24"/>
          <w:szCs w:val="24"/>
          <w:lang w:val="mk-MK"/>
        </w:rPr>
        <w:t>нај</w:t>
      </w:r>
      <w:r w:rsidRPr="0009720C">
        <w:rPr>
          <w:sz w:val="24"/>
          <w:szCs w:val="24"/>
          <w:lang w:val="mk-MK"/>
        </w:rPr>
        <w:t>значајни неевропски примери кои демонстрираат алтернативни начини на интеграција на трудот во корпоративното управување. Кина претставува специфичен модел во кој учеството на вработените е формално присутно, но тесно поврзано со партиско-државната структура и со целите на социјална стабилност и контрола, наместо со автономна работничка репрезентација.</w:t>
      </w:r>
      <w:r w:rsidR="00314586">
        <w:rPr>
          <w:rStyle w:val="FootnoteReference"/>
          <w:sz w:val="24"/>
          <w:szCs w:val="24"/>
          <w:lang w:val="mk-MK"/>
        </w:rPr>
        <w:footnoteReference w:id="525"/>
      </w:r>
      <w:r w:rsidRPr="0009720C">
        <w:rPr>
          <w:sz w:val="24"/>
          <w:szCs w:val="24"/>
          <w:lang w:val="mk-MK"/>
        </w:rPr>
        <w:t xml:space="preserve"> Јапонија, пак, нуди пример на имплицитно и културно вкоренето учество на вработените, базирано на долгорочна вработеност, интерни механизми на консултација и корпоративен консензус, без силна правна формализација на работничките права во </w:t>
      </w:r>
      <w:r w:rsidRPr="0009720C">
        <w:rPr>
          <w:sz w:val="24"/>
          <w:szCs w:val="24"/>
          <w:lang w:val="mk-MK"/>
        </w:rPr>
        <w:lastRenderedPageBreak/>
        <w:t>управните органи.</w:t>
      </w:r>
      <w:r w:rsidR="00314586">
        <w:rPr>
          <w:rStyle w:val="FootnoteReference"/>
          <w:sz w:val="24"/>
          <w:szCs w:val="24"/>
          <w:lang w:val="mk-MK"/>
        </w:rPr>
        <w:footnoteReference w:id="526"/>
      </w:r>
      <w:r w:rsidRPr="0009720C">
        <w:rPr>
          <w:sz w:val="24"/>
          <w:szCs w:val="24"/>
          <w:lang w:val="mk-MK"/>
        </w:rPr>
        <w:t xml:space="preserve"> </w:t>
      </w:r>
    </w:p>
    <w:p w14:paraId="1ADD841C" w14:textId="3C718A96" w:rsidR="00FF5FF9" w:rsidRDefault="007D75AE" w:rsidP="00E101B6">
      <w:pPr>
        <w:spacing w:before="240"/>
        <w:ind w:firstLine="478"/>
        <w:jc w:val="both"/>
        <w:rPr>
          <w:sz w:val="24"/>
          <w:szCs w:val="24"/>
          <w:lang w:val="mk-MK"/>
        </w:rPr>
      </w:pPr>
      <w:r w:rsidRPr="00E93727">
        <w:rPr>
          <w:sz w:val="24"/>
          <w:szCs w:val="24"/>
          <w:lang w:val="mk-MK"/>
        </w:rPr>
        <w:t xml:space="preserve">Оваа споредбена анализа не е само </w:t>
      </w:r>
      <w:r w:rsidR="00CD0674">
        <w:rPr>
          <w:sz w:val="24"/>
          <w:szCs w:val="24"/>
          <w:lang w:val="mk-MK"/>
        </w:rPr>
        <w:t>описно дополнување</w:t>
      </w:r>
      <w:r w:rsidR="009768C6">
        <w:rPr>
          <w:sz w:val="24"/>
          <w:szCs w:val="24"/>
          <w:lang w:val="mk-MK"/>
        </w:rPr>
        <w:t xml:space="preserve"> на првиот дел</w:t>
      </w:r>
      <w:r w:rsidRPr="00E93727">
        <w:rPr>
          <w:sz w:val="24"/>
          <w:szCs w:val="24"/>
          <w:lang w:val="mk-MK"/>
        </w:rPr>
        <w:t xml:space="preserve">, туку има за цел да го осветли нормативниот темел на различните системи на управување. Секој модел подразбира имплицитни претпоставки за улогата на корпорацијата во општеството, природата на индустриските односи и балансот </w:t>
      </w:r>
      <w:r w:rsidR="0059009D">
        <w:rPr>
          <w:sz w:val="24"/>
          <w:szCs w:val="24"/>
          <w:lang w:val="mk-MK"/>
        </w:rPr>
        <w:t>по</w:t>
      </w:r>
      <w:r w:rsidRPr="00E93727">
        <w:rPr>
          <w:sz w:val="24"/>
          <w:szCs w:val="24"/>
          <w:lang w:val="mk-MK"/>
        </w:rPr>
        <w:t>меѓу ефикасноста, отчетноста и правичноста.</w:t>
      </w:r>
      <w:r w:rsidR="00C365F5">
        <w:rPr>
          <w:rStyle w:val="FootnoteReference"/>
          <w:sz w:val="24"/>
          <w:szCs w:val="24"/>
          <w:lang w:val="mk-MK"/>
        </w:rPr>
        <w:footnoteReference w:id="527"/>
      </w:r>
      <w:r w:rsidRPr="00E93727">
        <w:rPr>
          <w:sz w:val="24"/>
          <w:szCs w:val="24"/>
          <w:lang w:val="mk-MK"/>
        </w:rPr>
        <w:t xml:space="preserve"> Споредувањето на разновидните правни режими</w:t>
      </w:r>
      <w:r w:rsidR="0059009D">
        <w:rPr>
          <w:sz w:val="24"/>
          <w:szCs w:val="24"/>
          <w:lang w:val="mk-MK"/>
        </w:rPr>
        <w:t>,</w:t>
      </w:r>
      <w:r w:rsidRPr="00E93727">
        <w:rPr>
          <w:sz w:val="24"/>
          <w:szCs w:val="24"/>
          <w:lang w:val="mk-MK"/>
        </w:rPr>
        <w:t xml:space="preserve"> од постсоцијалистичка Европа до либерални пазарни економии</w:t>
      </w:r>
      <w:r w:rsidR="003B5F5C">
        <w:rPr>
          <w:sz w:val="24"/>
          <w:szCs w:val="24"/>
          <w:lang w:val="en-US"/>
        </w:rPr>
        <w:t xml:space="preserve"> </w:t>
      </w:r>
      <w:r w:rsidR="003B5F5C">
        <w:rPr>
          <w:sz w:val="24"/>
          <w:szCs w:val="24"/>
          <w:lang w:val="mk-MK"/>
        </w:rPr>
        <w:t>и</w:t>
      </w:r>
      <w:r w:rsidRPr="00E93727">
        <w:rPr>
          <w:sz w:val="24"/>
          <w:szCs w:val="24"/>
          <w:lang w:val="mk-MK"/>
        </w:rPr>
        <w:t xml:space="preserve"> од координирани пазарни економии до државно-капиталистички системи</w:t>
      </w:r>
      <w:r w:rsidR="0059009D">
        <w:rPr>
          <w:sz w:val="24"/>
          <w:szCs w:val="24"/>
          <w:lang w:val="mk-MK"/>
        </w:rPr>
        <w:t xml:space="preserve">, </w:t>
      </w:r>
      <w:r w:rsidRPr="00E93727">
        <w:rPr>
          <w:sz w:val="24"/>
          <w:szCs w:val="24"/>
          <w:lang w:val="mk-MK"/>
        </w:rPr>
        <w:t>овозможува подлабоко разбирање на можностите и границите на вградувањето на учеството на вработените во корпоративното управување.</w:t>
      </w:r>
      <w:r w:rsidR="00FE0CA9">
        <w:rPr>
          <w:rStyle w:val="FootnoteReference"/>
          <w:sz w:val="24"/>
          <w:szCs w:val="24"/>
          <w:lang w:val="mk-MK"/>
        </w:rPr>
        <w:footnoteReference w:id="528"/>
      </w:r>
      <w:r w:rsidRPr="00E93727">
        <w:rPr>
          <w:sz w:val="24"/>
          <w:szCs w:val="24"/>
          <w:lang w:val="mk-MK"/>
        </w:rPr>
        <w:t xml:space="preserve"> </w:t>
      </w:r>
      <w:r w:rsidR="005117BC">
        <w:rPr>
          <w:sz w:val="24"/>
          <w:szCs w:val="24"/>
          <w:lang w:val="mk-MK"/>
        </w:rPr>
        <w:t xml:space="preserve">Оттука, овој </w:t>
      </w:r>
      <w:r w:rsidR="006B770B">
        <w:rPr>
          <w:sz w:val="24"/>
          <w:szCs w:val="24"/>
          <w:lang w:val="mk-MK"/>
        </w:rPr>
        <w:t>трет</w:t>
      </w:r>
      <w:r w:rsidR="005117BC">
        <w:rPr>
          <w:sz w:val="24"/>
          <w:szCs w:val="24"/>
          <w:lang w:val="mk-MK"/>
        </w:rPr>
        <w:t xml:space="preserve"> дел ќе се фокусира стриктно на нормативно-правната рамка и регулираноста на </w:t>
      </w:r>
      <w:r w:rsidR="00981258">
        <w:rPr>
          <w:sz w:val="24"/>
          <w:szCs w:val="24"/>
          <w:lang w:val="mk-MK"/>
        </w:rPr>
        <w:t xml:space="preserve">националните модели во овој контест. </w:t>
      </w:r>
    </w:p>
    <w:p w14:paraId="7CC2D987" w14:textId="0A02312A" w:rsidR="004B4180" w:rsidRPr="00E453AB" w:rsidRDefault="006B770B" w:rsidP="00E453AB">
      <w:pPr>
        <w:spacing w:before="240"/>
        <w:ind w:firstLine="478"/>
        <w:jc w:val="both"/>
        <w:rPr>
          <w:sz w:val="24"/>
          <w:szCs w:val="24"/>
          <w:lang w:val="mk-MK"/>
        </w:rPr>
      </w:pPr>
      <w:r>
        <w:rPr>
          <w:sz w:val="24"/>
          <w:szCs w:val="24"/>
          <w:lang w:val="mk-MK"/>
        </w:rPr>
        <w:t>Т</w:t>
      </w:r>
      <w:r w:rsidR="004B4180" w:rsidRPr="0009720C">
        <w:rPr>
          <w:sz w:val="24"/>
          <w:szCs w:val="24"/>
          <w:lang w:val="mk-MK"/>
        </w:rPr>
        <w:t>окму оваа комбинација на</w:t>
      </w:r>
      <w:r>
        <w:rPr>
          <w:sz w:val="24"/>
          <w:szCs w:val="24"/>
          <w:lang w:val="mk-MK"/>
        </w:rPr>
        <w:t xml:space="preserve"> наведените</w:t>
      </w:r>
      <w:r w:rsidR="004B4180" w:rsidRPr="0009720C">
        <w:rPr>
          <w:sz w:val="24"/>
          <w:szCs w:val="24"/>
          <w:lang w:val="mk-MK"/>
        </w:rPr>
        <w:t xml:space="preserve"> држави овозможува компаративна анализа која ги опфаќа</w:t>
      </w:r>
      <w:r>
        <w:rPr>
          <w:sz w:val="24"/>
          <w:szCs w:val="24"/>
          <w:lang w:val="mk-MK"/>
        </w:rPr>
        <w:t xml:space="preserve"> </w:t>
      </w:r>
      <w:r w:rsidR="004B4180" w:rsidRPr="0009720C">
        <w:rPr>
          <w:sz w:val="24"/>
          <w:szCs w:val="24"/>
          <w:lang w:val="mk-MK"/>
        </w:rPr>
        <w:t>различните правни модели на корпоративно управување, различните улоги на државата, пазарот и трудот и различните историски и политички контексти во кои се развива учеството на вработените. Со тоа, изборот на случаи овозможува не само дескриптивна споредба, туку и нормативна проценка на тоа кои институционални решенија се релевантни и применливи за реформскиот контекст на Македонија.</w:t>
      </w:r>
    </w:p>
    <w:p w14:paraId="2445B25C" w14:textId="125A9AC0" w:rsidR="001945E0" w:rsidRDefault="007D75AE" w:rsidP="003249EF">
      <w:pPr>
        <w:spacing w:before="240" w:after="240"/>
        <w:ind w:firstLine="478"/>
        <w:jc w:val="both"/>
        <w:rPr>
          <w:sz w:val="24"/>
          <w:szCs w:val="24"/>
          <w:lang w:val="mk-MK"/>
        </w:rPr>
      </w:pPr>
      <w:r w:rsidRPr="00E93727">
        <w:rPr>
          <w:sz w:val="24"/>
          <w:szCs w:val="24"/>
          <w:lang w:val="mk-MK"/>
        </w:rPr>
        <w:t xml:space="preserve">На крајот, ова испитување </w:t>
      </w:r>
      <w:r w:rsidR="00981258">
        <w:rPr>
          <w:sz w:val="24"/>
          <w:szCs w:val="24"/>
          <w:lang w:val="mk-MK"/>
        </w:rPr>
        <w:t xml:space="preserve">на теренот </w:t>
      </w:r>
      <w:r w:rsidRPr="00E93727">
        <w:rPr>
          <w:sz w:val="24"/>
          <w:szCs w:val="24"/>
          <w:lang w:val="mk-MK"/>
        </w:rPr>
        <w:t>се однесува на пошироките дебати за демократизацијата на економскиот живот и потрагата по модели на управување кои можат да ја помират конкурентноста со социјалната правда.</w:t>
      </w:r>
      <w:r w:rsidR="005829CB">
        <w:rPr>
          <w:rStyle w:val="FootnoteReference"/>
          <w:sz w:val="24"/>
          <w:szCs w:val="24"/>
          <w:lang w:val="mk-MK"/>
        </w:rPr>
        <w:footnoteReference w:id="529"/>
      </w:r>
      <w:r w:rsidRPr="00E93727">
        <w:rPr>
          <w:sz w:val="24"/>
          <w:szCs w:val="24"/>
          <w:lang w:val="mk-MK"/>
        </w:rPr>
        <w:t xml:space="preserve"> Во време кога корпорациите се соочуваат со зголемено внимание заради нивните социјални и еколошки влијанија, прашањето за учеството на вработените добива нова релевантност. Преку анализа на тоа како различни јурисдикции го регулираат и практикуваат учеството на работниците во управувањето, ова поглавје има за цел да придонесе кон теоретскиот и практичниот дискурс за тоа како корпоративното право може да се развива за да одговори на предизвиците на дваесет и првиот век. Така, се споредуваат институционалните рамки и практичните реалности на учеството на вработените </w:t>
      </w:r>
      <w:r w:rsidR="00D129E8">
        <w:rPr>
          <w:sz w:val="24"/>
          <w:szCs w:val="24"/>
          <w:lang w:val="mk-MK"/>
        </w:rPr>
        <w:t>во дванаесет</w:t>
      </w:r>
      <w:r w:rsidRPr="00E93727">
        <w:rPr>
          <w:sz w:val="24"/>
          <w:szCs w:val="24"/>
          <w:lang w:val="mk-MK"/>
        </w:rPr>
        <w:t xml:space="preserve"> клучни земји, истакнувајќи ги и конвергенциите и дивергенциите во нивните пристапи и извлекувајќи заклучоци.</w:t>
      </w:r>
    </w:p>
    <w:p w14:paraId="2820DE7A" w14:textId="4D8AB4B2" w:rsidR="007516B7" w:rsidRPr="00812225" w:rsidRDefault="007516B7" w:rsidP="003249EF">
      <w:pPr>
        <w:spacing w:before="240" w:after="240"/>
        <w:ind w:firstLine="478"/>
        <w:jc w:val="both"/>
        <w:rPr>
          <w:sz w:val="24"/>
          <w:szCs w:val="24"/>
          <w:lang w:val="en-US"/>
        </w:rPr>
      </w:pPr>
      <w:r w:rsidRPr="007516B7">
        <w:rPr>
          <w:sz w:val="24"/>
          <w:szCs w:val="24"/>
          <w:lang w:val="mk-MK"/>
        </w:rPr>
        <w:t xml:space="preserve">Како најголема држава на Западен Балкан и со најдлабоко развиени институционални структури </w:t>
      </w:r>
      <w:r>
        <w:rPr>
          <w:sz w:val="24"/>
          <w:szCs w:val="24"/>
          <w:lang w:val="mk-MK"/>
        </w:rPr>
        <w:t>по</w:t>
      </w:r>
      <w:r w:rsidRPr="007516B7">
        <w:rPr>
          <w:sz w:val="24"/>
          <w:szCs w:val="24"/>
          <w:lang w:val="mk-MK"/>
        </w:rPr>
        <w:t>меѓу земјите што ги анализира</w:t>
      </w:r>
      <w:r>
        <w:rPr>
          <w:sz w:val="24"/>
          <w:szCs w:val="24"/>
          <w:lang w:val="mk-MK"/>
        </w:rPr>
        <w:t xml:space="preserve"> оваа докторска дисертација</w:t>
      </w:r>
      <w:r w:rsidRPr="007516B7">
        <w:rPr>
          <w:sz w:val="24"/>
          <w:szCs w:val="24"/>
          <w:lang w:val="mk-MK"/>
        </w:rPr>
        <w:t>, Србија е природ</w:t>
      </w:r>
      <w:r>
        <w:rPr>
          <w:sz w:val="24"/>
          <w:szCs w:val="24"/>
          <w:lang w:val="mk-MK"/>
        </w:rPr>
        <w:t>на референтна точка за</w:t>
      </w:r>
      <w:r w:rsidRPr="007516B7">
        <w:rPr>
          <w:sz w:val="24"/>
          <w:szCs w:val="24"/>
          <w:lang w:val="mk-MK"/>
        </w:rPr>
        <w:t xml:space="preserve"> </w:t>
      </w:r>
      <w:r>
        <w:rPr>
          <w:sz w:val="24"/>
          <w:szCs w:val="24"/>
          <w:lang w:val="mk-MK"/>
        </w:rPr>
        <w:t>с</w:t>
      </w:r>
      <w:r w:rsidRPr="007516B7">
        <w:rPr>
          <w:sz w:val="24"/>
          <w:szCs w:val="24"/>
          <w:lang w:val="mk-MK"/>
        </w:rPr>
        <w:t>опствен правен и институционален развој што е споредлив со македонскиот контекст</w:t>
      </w:r>
      <w:r>
        <w:rPr>
          <w:sz w:val="24"/>
          <w:szCs w:val="24"/>
          <w:lang w:val="mk-MK"/>
        </w:rPr>
        <w:t>.</w:t>
      </w:r>
      <w:r w:rsidR="001B16F1">
        <w:rPr>
          <w:sz w:val="24"/>
          <w:szCs w:val="24"/>
          <w:lang w:val="mk-MK"/>
        </w:rPr>
        <w:t xml:space="preserve"> Двете земји делат</w:t>
      </w:r>
      <w:r w:rsidRPr="007516B7">
        <w:rPr>
          <w:sz w:val="24"/>
          <w:szCs w:val="24"/>
          <w:lang w:val="mk-MK"/>
        </w:rPr>
        <w:t xml:space="preserve"> </w:t>
      </w:r>
      <w:r w:rsidR="001B16F1">
        <w:rPr>
          <w:sz w:val="24"/>
          <w:szCs w:val="24"/>
          <w:lang w:val="mk-MK"/>
        </w:rPr>
        <w:t>и</w:t>
      </w:r>
      <w:r w:rsidRPr="007516B7">
        <w:rPr>
          <w:sz w:val="24"/>
          <w:szCs w:val="24"/>
          <w:lang w:val="mk-MK"/>
        </w:rPr>
        <w:t>сториск</w:t>
      </w:r>
      <w:r w:rsidR="001B16F1">
        <w:rPr>
          <w:sz w:val="24"/>
          <w:szCs w:val="24"/>
          <w:lang w:val="mk-MK"/>
        </w:rPr>
        <w:t>о</w:t>
      </w:r>
      <w:r w:rsidRPr="007516B7">
        <w:rPr>
          <w:sz w:val="24"/>
          <w:szCs w:val="24"/>
          <w:lang w:val="mk-MK"/>
        </w:rPr>
        <w:t xml:space="preserve"> и правно наследство на самоуправниот социјализам и транзициските реформи</w:t>
      </w:r>
      <w:r w:rsidR="001B16F1">
        <w:rPr>
          <w:sz w:val="24"/>
          <w:szCs w:val="24"/>
          <w:lang w:val="mk-MK"/>
        </w:rPr>
        <w:t xml:space="preserve"> и воочливи се ј</w:t>
      </w:r>
      <w:r w:rsidRPr="007516B7">
        <w:rPr>
          <w:sz w:val="24"/>
          <w:szCs w:val="24"/>
          <w:lang w:val="mk-MK"/>
        </w:rPr>
        <w:t xml:space="preserve">асни примери на реформи, институционализација на корпоративно управување и законски рамки кои директно влијаат на учеството на вработените. Започнувањето со Србија овозможува да се постават основните концептуални, правни и институционални параметри на анализа, пред да се премине кон </w:t>
      </w:r>
      <w:r w:rsidR="00C806C6">
        <w:rPr>
          <w:sz w:val="24"/>
          <w:szCs w:val="24"/>
          <w:lang w:val="mk-MK"/>
        </w:rPr>
        <w:t xml:space="preserve">други </w:t>
      </w:r>
      <w:r w:rsidRPr="007516B7">
        <w:rPr>
          <w:sz w:val="24"/>
          <w:szCs w:val="24"/>
          <w:lang w:val="mk-MK"/>
        </w:rPr>
        <w:t xml:space="preserve">случаи со поразлични модели </w:t>
      </w:r>
      <w:r w:rsidR="00C806C6">
        <w:rPr>
          <w:sz w:val="24"/>
          <w:szCs w:val="24"/>
          <w:lang w:val="mk-MK"/>
        </w:rPr>
        <w:t xml:space="preserve">од регионот. </w:t>
      </w:r>
    </w:p>
    <w:p w14:paraId="20D82A0C" w14:textId="0CCD3C86" w:rsidR="001945E0" w:rsidRPr="00D22054" w:rsidRDefault="0074232E" w:rsidP="009330C0">
      <w:pPr>
        <w:pStyle w:val="Heading1"/>
        <w:numPr>
          <w:ilvl w:val="0"/>
          <w:numId w:val="7"/>
        </w:numPr>
        <w:jc w:val="both"/>
      </w:pPr>
      <w:bookmarkStart w:id="68" w:name="_Toc230523921"/>
      <w:r>
        <w:rPr>
          <w:lang w:val="mk-MK"/>
        </w:rPr>
        <w:lastRenderedPageBreak/>
        <w:t>„</w:t>
      </w:r>
      <w:r w:rsidRPr="0074232E">
        <w:rPr>
          <w:lang w:val="mk-MK"/>
        </w:rPr>
        <w:t>Закон о привредним друштвима</w:t>
      </w:r>
      <w:r>
        <w:rPr>
          <w:lang w:val="mk-MK"/>
        </w:rPr>
        <w:t>“ и практиката во Република Србија</w:t>
      </w:r>
      <w:bookmarkEnd w:id="68"/>
    </w:p>
    <w:p w14:paraId="2FA29E4B" w14:textId="69097089" w:rsidR="00B0526A" w:rsidRDefault="00812225" w:rsidP="0074232E">
      <w:pPr>
        <w:spacing w:before="240"/>
        <w:ind w:firstLine="478"/>
        <w:jc w:val="both"/>
        <w:rPr>
          <w:sz w:val="24"/>
          <w:szCs w:val="24"/>
          <w:lang w:val="mk-MK"/>
        </w:rPr>
      </w:pPr>
      <w:r w:rsidRPr="00812225">
        <w:rPr>
          <w:sz w:val="24"/>
          <w:szCs w:val="24"/>
          <w:lang w:val="mk-MK"/>
        </w:rPr>
        <w:t>Акционерските друштва</w:t>
      </w:r>
      <w:r>
        <w:rPr>
          <w:sz w:val="24"/>
          <w:szCs w:val="24"/>
          <w:lang w:val="en-US"/>
        </w:rPr>
        <w:t xml:space="preserve"> </w:t>
      </w:r>
      <w:r>
        <w:rPr>
          <w:sz w:val="24"/>
          <w:szCs w:val="24"/>
          <w:lang w:val="mk-MK"/>
        </w:rPr>
        <w:t>во Србија, како и во Македонија,</w:t>
      </w:r>
      <w:r w:rsidRPr="00812225">
        <w:rPr>
          <w:sz w:val="24"/>
          <w:szCs w:val="24"/>
          <w:lang w:val="mk-MK"/>
        </w:rPr>
        <w:t xml:space="preserve"> претставуваат форма на капитал</w:t>
      </w:r>
      <w:r w:rsidR="007D456D">
        <w:rPr>
          <w:sz w:val="24"/>
          <w:szCs w:val="24"/>
          <w:lang w:val="mk-MK"/>
        </w:rPr>
        <w:t>н</w:t>
      </w:r>
      <w:r w:rsidRPr="00812225">
        <w:rPr>
          <w:sz w:val="24"/>
          <w:szCs w:val="24"/>
          <w:lang w:val="mk-MK"/>
        </w:rPr>
        <w:t>о трговско друштво во која основната главнина е поделена на акции. Ваквата структура овозможува флексибилен модел на сопственост и потенцијален пристап до пазарите на капитал</w:t>
      </w:r>
      <w:r w:rsidR="00FD1E66">
        <w:rPr>
          <w:sz w:val="24"/>
          <w:szCs w:val="24"/>
          <w:lang w:val="mk-MK"/>
        </w:rPr>
        <w:t xml:space="preserve"> и берзата</w:t>
      </w:r>
      <w:r w:rsidRPr="00812225">
        <w:rPr>
          <w:sz w:val="24"/>
          <w:szCs w:val="24"/>
          <w:lang w:val="mk-MK"/>
        </w:rPr>
        <w:t xml:space="preserve">. </w:t>
      </w:r>
      <w:r w:rsidR="00F818DC">
        <w:rPr>
          <w:sz w:val="24"/>
          <w:szCs w:val="24"/>
          <w:lang w:val="mk-MK"/>
        </w:rPr>
        <w:t>Иако</w:t>
      </w:r>
      <w:r w:rsidRPr="00812225">
        <w:rPr>
          <w:sz w:val="24"/>
          <w:szCs w:val="24"/>
          <w:lang w:val="mk-MK"/>
        </w:rPr>
        <w:t xml:space="preserve"> застапеноста на акционерските друштва во Србија </w:t>
      </w:r>
      <w:r w:rsidR="00F818DC">
        <w:rPr>
          <w:sz w:val="24"/>
          <w:szCs w:val="24"/>
          <w:lang w:val="mk-MK"/>
        </w:rPr>
        <w:t xml:space="preserve">и Македонија </w:t>
      </w:r>
      <w:r w:rsidRPr="00812225">
        <w:rPr>
          <w:sz w:val="24"/>
          <w:szCs w:val="24"/>
          <w:lang w:val="mk-MK"/>
        </w:rPr>
        <w:t>останува релативно ниска</w:t>
      </w:r>
      <w:r w:rsidR="00F818DC">
        <w:rPr>
          <w:sz w:val="24"/>
          <w:szCs w:val="24"/>
          <w:lang w:val="mk-MK"/>
        </w:rPr>
        <w:t>,</w:t>
      </w:r>
      <w:r w:rsidRPr="00812225">
        <w:rPr>
          <w:sz w:val="24"/>
          <w:szCs w:val="24"/>
          <w:lang w:val="mk-MK"/>
        </w:rPr>
        <w:t xml:space="preserve"> околу 1% од активните деловни субјекти во Србија</w:t>
      </w:r>
      <w:r w:rsidR="00662F9C">
        <w:rPr>
          <w:sz w:val="24"/>
          <w:szCs w:val="24"/>
          <w:lang w:val="en-US"/>
        </w:rPr>
        <w:t>,</w:t>
      </w:r>
      <w:r w:rsidR="00662F9C">
        <w:rPr>
          <w:rStyle w:val="FootnoteReference"/>
          <w:sz w:val="24"/>
          <w:szCs w:val="24"/>
          <w:lang w:val="en-US"/>
        </w:rPr>
        <w:footnoteReference w:id="530"/>
      </w:r>
      <w:r w:rsidR="00423F82">
        <w:rPr>
          <w:sz w:val="24"/>
          <w:szCs w:val="24"/>
          <w:lang w:val="en-US"/>
        </w:rPr>
        <w:t xml:space="preserve"> </w:t>
      </w:r>
      <w:r w:rsidR="00423F82">
        <w:rPr>
          <w:sz w:val="24"/>
          <w:szCs w:val="24"/>
          <w:lang w:val="mk-MK"/>
        </w:rPr>
        <w:t>и под 1% во Македонија</w:t>
      </w:r>
      <w:r w:rsidR="006D25FD">
        <w:rPr>
          <w:sz w:val="24"/>
          <w:szCs w:val="24"/>
          <w:lang w:val="mk-MK"/>
        </w:rPr>
        <w:t>,</w:t>
      </w:r>
      <w:r w:rsidR="006D25FD">
        <w:rPr>
          <w:rStyle w:val="FootnoteReference"/>
          <w:sz w:val="24"/>
          <w:szCs w:val="24"/>
          <w:lang w:val="mk-MK"/>
        </w:rPr>
        <w:footnoteReference w:id="531"/>
      </w:r>
      <w:r w:rsidRPr="00812225">
        <w:rPr>
          <w:sz w:val="24"/>
          <w:szCs w:val="24"/>
          <w:lang w:val="mk-MK"/>
        </w:rPr>
        <w:t xml:space="preserve"> </w:t>
      </w:r>
      <w:r w:rsidR="006255D1" w:rsidRPr="006255D1">
        <w:rPr>
          <w:sz w:val="24"/>
          <w:szCs w:val="24"/>
          <w:lang w:val="mk-MK"/>
        </w:rPr>
        <w:t>нивната мала застапеност</w:t>
      </w:r>
      <w:r w:rsidR="00A119CE">
        <w:rPr>
          <w:sz w:val="24"/>
          <w:szCs w:val="24"/>
          <w:lang w:val="mk-MK"/>
        </w:rPr>
        <w:t xml:space="preserve"> го прикрива фактот дека тие</w:t>
      </w:r>
      <w:r w:rsidR="006255D1" w:rsidRPr="006255D1">
        <w:rPr>
          <w:sz w:val="24"/>
          <w:szCs w:val="24"/>
          <w:lang w:val="mk-MK"/>
        </w:rPr>
        <w:t xml:space="preserve"> имаат диспропорционално големо економско, институционално и социјално значење.</w:t>
      </w:r>
      <w:r w:rsidR="00A3110A">
        <w:rPr>
          <w:rStyle w:val="FootnoteReference"/>
          <w:sz w:val="24"/>
          <w:szCs w:val="24"/>
          <w:lang w:val="mk-MK"/>
        </w:rPr>
        <w:footnoteReference w:id="532"/>
      </w:r>
      <w:r w:rsidR="006255D1" w:rsidRPr="006255D1">
        <w:rPr>
          <w:sz w:val="24"/>
          <w:szCs w:val="24"/>
          <w:lang w:val="mk-MK"/>
        </w:rPr>
        <w:t xml:space="preserve"> </w:t>
      </w:r>
      <w:r w:rsidR="00A119CE" w:rsidRPr="00A119CE">
        <w:rPr>
          <w:sz w:val="24"/>
          <w:szCs w:val="24"/>
          <w:lang w:val="mk-MK"/>
        </w:rPr>
        <w:t>Прво, во однос на богатството и економската моќ, акционерските друштва во двете земји во просек располагаат со значително поголема актива, капитал и приходи во споредба со доминантните правни форми, особено друштвата со ограничена одговорност. Најголемите компании по приходи, профит и пазарна капитализација најчесто се организирани како акционерски друштва, особено во секторите на енергетика, телекомуникации, финансии, транспорт и тешка индустрија. Причината не е само историска, туку и структурна</w:t>
      </w:r>
      <w:r w:rsidR="00973D8C">
        <w:rPr>
          <w:sz w:val="24"/>
          <w:szCs w:val="24"/>
          <w:lang w:val="mk-MK"/>
        </w:rPr>
        <w:t xml:space="preserve"> затоа што</w:t>
      </w:r>
      <w:r w:rsidR="00A119CE" w:rsidRPr="00A119CE">
        <w:rPr>
          <w:sz w:val="24"/>
          <w:szCs w:val="24"/>
          <w:lang w:val="mk-MK"/>
        </w:rPr>
        <w:t xml:space="preserve"> акционерската форма е предуслов за пристап до пазарите на капитал, за концентрација на значителни финансиски ресурси и за сложени сопственички аранжмани, вклучително и државна и странска сопственост.</w:t>
      </w:r>
      <w:r w:rsidR="004D7D83">
        <w:rPr>
          <w:rStyle w:val="FootnoteReference"/>
          <w:sz w:val="24"/>
          <w:szCs w:val="24"/>
          <w:lang w:val="mk-MK"/>
        </w:rPr>
        <w:footnoteReference w:id="533"/>
      </w:r>
    </w:p>
    <w:p w14:paraId="4EA4C773" w14:textId="048F07EC" w:rsidR="00E03A77" w:rsidRDefault="00E03A77" w:rsidP="0074232E">
      <w:pPr>
        <w:spacing w:before="240"/>
        <w:ind w:firstLine="478"/>
        <w:jc w:val="both"/>
        <w:rPr>
          <w:sz w:val="24"/>
          <w:szCs w:val="24"/>
          <w:lang w:val="mk-MK"/>
        </w:rPr>
      </w:pPr>
      <w:r w:rsidRPr="00E03A77">
        <w:rPr>
          <w:sz w:val="24"/>
          <w:szCs w:val="24"/>
          <w:lang w:val="mk-MK"/>
        </w:rPr>
        <w:t>Второ, во однос на влијанието, акционерските друштва имаат централна улога во економската политика и во институционалната архитектура на двете држави. Во Србија, државните и мешовитите акционерски друштва, како оние во енергетиката, телекомуникациите и инфраструктурата, имаат стратешко значење и се тесно поврзани со јавните политики, фискалната стабилност и меѓународните економски односи. Слично, во Македонија, иако бројот на акционерски друштва е мал,</w:t>
      </w:r>
      <w:r w:rsidR="003A1253">
        <w:rPr>
          <w:rStyle w:val="FootnoteReference"/>
          <w:sz w:val="24"/>
          <w:szCs w:val="24"/>
          <w:lang w:val="mk-MK"/>
        </w:rPr>
        <w:footnoteReference w:id="534"/>
      </w:r>
      <w:r w:rsidRPr="00E03A77">
        <w:rPr>
          <w:sz w:val="24"/>
          <w:szCs w:val="24"/>
          <w:lang w:val="mk-MK"/>
        </w:rPr>
        <w:t xml:space="preserve"> тие често се носители на системски важни функции, како што се банкарството, осигурувањето, енергетските капацитети и јавните услуги. Оттука, нивното влијание далеку ја надминува нивната статистичка застапеност и се манифестира преку регулаторна привилегираност, засилен надзор и директно учество во процесите на креирање политики.</w:t>
      </w:r>
      <w:r w:rsidR="00761A60">
        <w:rPr>
          <w:rStyle w:val="FootnoteReference"/>
          <w:sz w:val="24"/>
          <w:szCs w:val="24"/>
          <w:lang w:val="mk-MK"/>
        </w:rPr>
        <w:footnoteReference w:id="535"/>
      </w:r>
    </w:p>
    <w:p w14:paraId="3DC2689E" w14:textId="2A5FBB12" w:rsidR="00DC1A3D" w:rsidRDefault="001E34B9" w:rsidP="0074232E">
      <w:pPr>
        <w:spacing w:before="240"/>
        <w:ind w:firstLine="478"/>
        <w:jc w:val="both"/>
        <w:rPr>
          <w:sz w:val="24"/>
          <w:szCs w:val="24"/>
          <w:lang w:val="mk-MK"/>
        </w:rPr>
      </w:pPr>
      <w:r w:rsidRPr="001E34B9">
        <w:rPr>
          <w:sz w:val="24"/>
          <w:szCs w:val="24"/>
          <w:lang w:val="mk-MK"/>
        </w:rPr>
        <w:lastRenderedPageBreak/>
        <w:t>Трето, во однос на вработувањето, акционерските друштва во просек вработуваат значително поголем број лица по субјект во споредба со микро, малите и средните друштва, кои доминираат во вкупната деловна структура. Додека мнозинството активни деловни субјекти во Србија и Македонија се микро-компании со еден до неколку вработени, акционерските друштва често се големи работодавачи со стотици или илјадници вработени. Оттука, иако сочинуваат под 1% од сите субјекти, нивниот удел во вкупната вработеност е значително повисок од нивниот удел во бројноста.</w:t>
      </w:r>
      <w:r w:rsidR="00F75EF2" w:rsidRPr="00F75EF2">
        <w:rPr>
          <w:sz w:val="24"/>
          <w:szCs w:val="24"/>
          <w:lang w:val="mk-MK"/>
        </w:rPr>
        <w:t xml:space="preserve"> Според податоците од Државниот завод за статистика, во 2023 година имало 72.181 активни деловни субјекти во Македонија</w:t>
      </w:r>
      <w:r w:rsidR="00F75EF2">
        <w:rPr>
          <w:sz w:val="24"/>
          <w:szCs w:val="24"/>
          <w:lang w:val="mk-MK"/>
        </w:rPr>
        <w:t xml:space="preserve"> и о</w:t>
      </w:r>
      <w:r w:rsidR="00F75EF2" w:rsidRPr="00F75EF2">
        <w:rPr>
          <w:sz w:val="24"/>
          <w:szCs w:val="24"/>
          <w:lang w:val="mk-MK"/>
        </w:rPr>
        <w:t>д нив</w:t>
      </w:r>
      <w:r w:rsidR="001179D5">
        <w:rPr>
          <w:sz w:val="24"/>
          <w:szCs w:val="24"/>
          <w:lang w:val="mk-MK"/>
        </w:rPr>
        <w:t xml:space="preserve">, </w:t>
      </w:r>
      <w:r w:rsidR="00F75EF2" w:rsidRPr="00F75EF2">
        <w:rPr>
          <w:sz w:val="24"/>
          <w:szCs w:val="24"/>
          <w:lang w:val="mk-MK"/>
        </w:rPr>
        <w:t xml:space="preserve">над 80% се </w:t>
      </w:r>
      <w:r w:rsidR="001179D5">
        <w:rPr>
          <w:sz w:val="24"/>
          <w:szCs w:val="24"/>
          <w:lang w:val="mk-MK"/>
        </w:rPr>
        <w:t xml:space="preserve">друштва со </w:t>
      </w:r>
      <w:r w:rsidR="00F75EF2" w:rsidRPr="00F75EF2">
        <w:rPr>
          <w:sz w:val="24"/>
          <w:szCs w:val="24"/>
          <w:lang w:val="mk-MK"/>
        </w:rPr>
        <w:t>ограничен</w:t>
      </w:r>
      <w:r w:rsidR="001179D5">
        <w:rPr>
          <w:sz w:val="24"/>
          <w:szCs w:val="24"/>
          <w:lang w:val="mk-MK"/>
        </w:rPr>
        <w:t>а одговорност</w:t>
      </w:r>
      <w:r w:rsidR="00F75EF2" w:rsidRPr="00F75EF2">
        <w:rPr>
          <w:sz w:val="24"/>
          <w:szCs w:val="24"/>
          <w:lang w:val="mk-MK"/>
        </w:rPr>
        <w:t xml:space="preserve"> (ДОО) и микро/мини компании</w:t>
      </w:r>
      <w:r w:rsidR="00B27483">
        <w:rPr>
          <w:sz w:val="24"/>
          <w:szCs w:val="24"/>
          <w:lang w:val="mk-MK"/>
        </w:rPr>
        <w:t>.</w:t>
      </w:r>
      <w:r w:rsidR="00AE0FC9">
        <w:rPr>
          <w:rStyle w:val="FootnoteReference"/>
          <w:sz w:val="24"/>
          <w:szCs w:val="24"/>
          <w:lang w:val="mk-MK"/>
        </w:rPr>
        <w:footnoteReference w:id="536"/>
      </w:r>
      <w:r w:rsidR="00AE0FC9">
        <w:rPr>
          <w:sz w:val="24"/>
          <w:szCs w:val="24"/>
          <w:lang w:val="mk-MK"/>
        </w:rPr>
        <w:t xml:space="preserve"> </w:t>
      </w:r>
      <w:r w:rsidR="00AE0FC9" w:rsidRPr="00AE0FC9">
        <w:rPr>
          <w:sz w:val="24"/>
          <w:szCs w:val="24"/>
          <w:lang w:val="mk-MK"/>
        </w:rPr>
        <w:t>Според комерцијални извори за состојбата на деловните субјекти во Србија, околу 113.161 активни компании биле регистрирани во 2024 година, при што над 96% од нив биле микро-компании. Ова укажува на тоа дека доминантна правна форма се микро/малите субјекти, додека големите компании сочинуваат релативно мал дел од вкупниот број на фирми во Србија</w:t>
      </w:r>
      <w:r w:rsidR="007F1CD1">
        <w:rPr>
          <w:sz w:val="24"/>
          <w:szCs w:val="24"/>
          <w:lang w:val="mk-MK"/>
        </w:rPr>
        <w:t>.</w:t>
      </w:r>
      <w:r w:rsidR="007F1CD1">
        <w:rPr>
          <w:rStyle w:val="FootnoteReference"/>
          <w:sz w:val="24"/>
          <w:szCs w:val="24"/>
          <w:lang w:val="mk-MK"/>
        </w:rPr>
        <w:footnoteReference w:id="537"/>
      </w:r>
    </w:p>
    <w:p w14:paraId="0755C48B" w14:textId="683340D0" w:rsidR="001945E0" w:rsidRDefault="00911BB1" w:rsidP="00E0439B">
      <w:pPr>
        <w:spacing w:before="240"/>
        <w:ind w:firstLine="478"/>
        <w:jc w:val="both"/>
        <w:rPr>
          <w:sz w:val="24"/>
          <w:szCs w:val="24"/>
          <w:lang w:val="mk-MK"/>
        </w:rPr>
      </w:pPr>
      <w:r>
        <w:rPr>
          <w:sz w:val="24"/>
          <w:szCs w:val="24"/>
          <w:lang w:val="mk-MK"/>
        </w:rPr>
        <w:t xml:space="preserve">Значи, </w:t>
      </w:r>
      <w:r w:rsidRPr="00911BB1">
        <w:rPr>
          <w:sz w:val="24"/>
          <w:szCs w:val="24"/>
          <w:lang w:val="mk-MK"/>
        </w:rPr>
        <w:t>може аргументирано да се тврди дека акционерските друштва во Србија и Македонија се малцинство по број, но мнозинство по економска тежина, институционално влијание и опфат на работната сила.</w:t>
      </w:r>
      <w:r w:rsidR="008F3326">
        <w:rPr>
          <w:sz w:val="24"/>
          <w:szCs w:val="24"/>
          <w:lang w:val="mk-MK"/>
        </w:rPr>
        <w:t xml:space="preserve"> Н</w:t>
      </w:r>
      <w:r w:rsidR="008F3326" w:rsidRPr="008F3326">
        <w:rPr>
          <w:sz w:val="24"/>
          <w:szCs w:val="24"/>
          <w:lang w:val="mk-MK"/>
        </w:rPr>
        <w:t>ивниот удел во вкупната економска актива, во создадената додадена вредност и во вкупните приходи е диспропорционално висок. Токму оваа концентрација на економска моќ објаснува зошто прашањата на корпоративното управување, надзорот и учеството на вработените се особено релевантни токму кај оваа правна форма, а не кај доминантните, но економски помали друштва со ограничена одговорност</w:t>
      </w:r>
      <w:r w:rsidRPr="00911BB1">
        <w:rPr>
          <w:sz w:val="24"/>
          <w:szCs w:val="24"/>
          <w:lang w:val="mk-MK"/>
        </w:rPr>
        <w:t xml:space="preserve">. </w:t>
      </w:r>
      <w:r w:rsidR="00400CE5">
        <w:rPr>
          <w:sz w:val="24"/>
          <w:szCs w:val="24"/>
          <w:lang w:val="mk-MK"/>
        </w:rPr>
        <w:t xml:space="preserve">Дотолку повеќе, истите овие друштва имаат примарен интерес да ги мотивираат и задржат своите вработени со цел да гарантираат </w:t>
      </w:r>
      <w:r w:rsidR="00E0439B">
        <w:rPr>
          <w:sz w:val="24"/>
          <w:szCs w:val="24"/>
          <w:lang w:val="mk-MK"/>
        </w:rPr>
        <w:t xml:space="preserve">унапредување на талентот во ситуации на глобален натпревар. Значајно е да се спомне дека и многу компании не </w:t>
      </w:r>
      <w:r w:rsidR="00812225" w:rsidRPr="00812225">
        <w:rPr>
          <w:sz w:val="24"/>
          <w:szCs w:val="24"/>
          <w:lang w:val="mk-MK"/>
        </w:rPr>
        <w:t>функционираат како акционерски друштва</w:t>
      </w:r>
      <w:r w:rsidR="00E0439B">
        <w:rPr>
          <w:sz w:val="24"/>
          <w:szCs w:val="24"/>
          <w:lang w:val="mk-MK"/>
        </w:rPr>
        <w:t xml:space="preserve"> заради</w:t>
      </w:r>
      <w:r w:rsidR="00812225" w:rsidRPr="00812225">
        <w:rPr>
          <w:sz w:val="24"/>
          <w:szCs w:val="24"/>
          <w:lang w:val="mk-MK"/>
        </w:rPr>
        <w:t xml:space="preserve"> сложените постапки за основање, високите административни трошоци и обемните обврски за известување поврзани со оваа правна форма.</w:t>
      </w:r>
    </w:p>
    <w:p w14:paraId="025D0430" w14:textId="2C1BE718" w:rsidR="004F02AF" w:rsidRDefault="004F02AF" w:rsidP="00E0439B">
      <w:pPr>
        <w:spacing w:before="240"/>
        <w:ind w:firstLine="478"/>
        <w:jc w:val="both"/>
        <w:rPr>
          <w:sz w:val="24"/>
          <w:szCs w:val="24"/>
          <w:lang w:val="mk-MK"/>
        </w:rPr>
      </w:pPr>
      <w:r w:rsidRPr="004F02AF">
        <w:rPr>
          <w:sz w:val="24"/>
          <w:szCs w:val="24"/>
          <w:lang w:val="mk-MK"/>
        </w:rPr>
        <w:t>Податоците на Централниот регистар, депозитар и клиринг на хартии од вредност покажуваат дека во Србија се регистрирани 1.217 акционерски друштва, со вкупно 64.238 издадени акции.</w:t>
      </w:r>
      <w:r w:rsidR="005C0D94">
        <w:rPr>
          <w:rStyle w:val="FootnoteReference"/>
          <w:sz w:val="24"/>
          <w:szCs w:val="24"/>
          <w:lang w:val="mk-MK"/>
        </w:rPr>
        <w:footnoteReference w:id="538"/>
      </w:r>
      <w:r w:rsidRPr="004F02AF">
        <w:rPr>
          <w:sz w:val="24"/>
          <w:szCs w:val="24"/>
          <w:lang w:val="mk-MK"/>
        </w:rPr>
        <w:t xml:space="preserve"> Сопственичката структура на овие друштва може генерално да се подели во три категории: акционерски друштва во странска сопственост, државни акционерски друштва и домашни приватни акционерски друштва. Странските компании, како NIS (Gazprom), Hemofarm (Stada) и Messer Tehnogas, по правило применуваат модели на управување усогласени со оние на матичните корпорации, со нагласок на транспарентност и ефикасност.</w:t>
      </w:r>
      <w:r w:rsidR="00BB47BB">
        <w:rPr>
          <w:rStyle w:val="FootnoteReference"/>
          <w:sz w:val="24"/>
          <w:szCs w:val="24"/>
          <w:lang w:val="mk-MK"/>
        </w:rPr>
        <w:footnoteReference w:id="539"/>
      </w:r>
      <w:r w:rsidRPr="004F02AF">
        <w:rPr>
          <w:sz w:val="24"/>
          <w:szCs w:val="24"/>
          <w:lang w:val="mk-MK"/>
        </w:rPr>
        <w:t xml:space="preserve"> Државните акционерски друштва, како </w:t>
      </w:r>
      <w:r w:rsidR="003C401A">
        <w:rPr>
          <w:sz w:val="24"/>
          <w:szCs w:val="24"/>
          <w:lang w:val="mk-MK"/>
        </w:rPr>
        <w:t>Телеком Србија</w:t>
      </w:r>
      <w:r w:rsidRPr="004F02AF">
        <w:rPr>
          <w:sz w:val="24"/>
          <w:szCs w:val="24"/>
          <w:lang w:val="mk-MK"/>
        </w:rPr>
        <w:t xml:space="preserve"> и Аеродром Никола Тесла Белград, задржуваат стратешко значење и се предмет на засилен корпоративен надзор.</w:t>
      </w:r>
      <w:r w:rsidR="003C401A">
        <w:rPr>
          <w:rStyle w:val="FootnoteReference"/>
          <w:sz w:val="24"/>
          <w:szCs w:val="24"/>
          <w:lang w:val="mk-MK"/>
        </w:rPr>
        <w:footnoteReference w:id="540"/>
      </w:r>
      <w:r w:rsidRPr="004F02AF">
        <w:rPr>
          <w:sz w:val="24"/>
          <w:szCs w:val="24"/>
          <w:lang w:val="mk-MK"/>
        </w:rPr>
        <w:t xml:space="preserve"> </w:t>
      </w:r>
      <w:r w:rsidR="003C401A">
        <w:rPr>
          <w:sz w:val="24"/>
          <w:szCs w:val="24"/>
          <w:lang w:val="mk-MK"/>
        </w:rPr>
        <w:t>Сепак, н</w:t>
      </w:r>
      <w:r w:rsidRPr="004F02AF">
        <w:rPr>
          <w:sz w:val="24"/>
          <w:szCs w:val="24"/>
          <w:lang w:val="mk-MK"/>
        </w:rPr>
        <w:t xml:space="preserve">ајбројна категорија се домашните приватни акционерски друштва, од кои значителен дел се соочуваат со стечај или се </w:t>
      </w:r>
      <w:r w:rsidRPr="004F02AF">
        <w:rPr>
          <w:sz w:val="24"/>
          <w:szCs w:val="24"/>
          <w:lang w:val="mk-MK"/>
        </w:rPr>
        <w:lastRenderedPageBreak/>
        <w:t>реорганизираат во друштва со ограничена одговорност (ДОО), што укажува на трајна преференција кон поедноставни правни форми.</w:t>
      </w:r>
      <w:r w:rsidR="00CE3840">
        <w:rPr>
          <w:rStyle w:val="FootnoteReference"/>
          <w:sz w:val="24"/>
          <w:szCs w:val="24"/>
          <w:lang w:val="mk-MK"/>
        </w:rPr>
        <w:footnoteReference w:id="541"/>
      </w:r>
    </w:p>
    <w:p w14:paraId="22FD096A" w14:textId="00670A9A" w:rsidR="00E322F8" w:rsidRDefault="0082656E" w:rsidP="00E0439B">
      <w:pPr>
        <w:spacing w:before="240"/>
        <w:ind w:firstLine="478"/>
        <w:jc w:val="both"/>
        <w:rPr>
          <w:sz w:val="24"/>
          <w:szCs w:val="24"/>
          <w:lang w:val="mk-MK"/>
        </w:rPr>
      </w:pPr>
      <w:r>
        <w:rPr>
          <w:sz w:val="24"/>
          <w:szCs w:val="24"/>
          <w:lang w:val="mk-MK"/>
        </w:rPr>
        <w:t>Споредбено, в</w:t>
      </w:r>
      <w:r w:rsidRPr="0082656E">
        <w:rPr>
          <w:sz w:val="24"/>
          <w:szCs w:val="24"/>
          <w:lang w:val="mk-MK"/>
        </w:rPr>
        <w:t>о Македонија има 147 активни акционерски друштва со обврска за јавни извештаи, што</w:t>
      </w:r>
      <w:r>
        <w:rPr>
          <w:sz w:val="24"/>
          <w:szCs w:val="24"/>
          <w:lang w:val="mk-MK"/>
        </w:rPr>
        <w:t xml:space="preserve"> ги</w:t>
      </w:r>
      <w:r w:rsidRPr="0082656E">
        <w:rPr>
          <w:sz w:val="24"/>
          <w:szCs w:val="24"/>
          <w:lang w:val="mk-MK"/>
        </w:rPr>
        <w:t xml:space="preserve"> вклучува најголемите и капитално релевантни друштва.</w:t>
      </w:r>
      <w:r w:rsidR="009336AC">
        <w:rPr>
          <w:rStyle w:val="FootnoteReference"/>
          <w:sz w:val="24"/>
          <w:szCs w:val="24"/>
          <w:lang w:val="mk-MK"/>
        </w:rPr>
        <w:footnoteReference w:id="542"/>
      </w:r>
      <w:r w:rsidRPr="0082656E">
        <w:rPr>
          <w:sz w:val="24"/>
          <w:szCs w:val="24"/>
          <w:lang w:val="mk-MK"/>
        </w:rPr>
        <w:t xml:space="preserve"> </w:t>
      </w:r>
      <w:r>
        <w:rPr>
          <w:sz w:val="24"/>
          <w:szCs w:val="24"/>
          <w:lang w:val="mk-MK"/>
        </w:rPr>
        <w:t>Како и во Србија, к</w:t>
      </w:r>
      <w:r w:rsidRPr="0082656E">
        <w:rPr>
          <w:sz w:val="24"/>
          <w:szCs w:val="24"/>
          <w:lang w:val="mk-MK"/>
        </w:rPr>
        <w:t>омпании</w:t>
      </w:r>
      <w:r>
        <w:rPr>
          <w:sz w:val="24"/>
          <w:szCs w:val="24"/>
          <w:lang w:val="mk-MK"/>
        </w:rPr>
        <w:t>те</w:t>
      </w:r>
      <w:r w:rsidRPr="0082656E">
        <w:rPr>
          <w:sz w:val="24"/>
          <w:szCs w:val="24"/>
          <w:lang w:val="mk-MK"/>
        </w:rPr>
        <w:t xml:space="preserve"> со странски капитал, како што се македонските филијали на глобални фармацевтски или производни компании</w:t>
      </w:r>
      <w:r w:rsidR="000C386B">
        <w:rPr>
          <w:sz w:val="24"/>
          <w:szCs w:val="24"/>
          <w:lang w:val="mk-MK"/>
        </w:rPr>
        <w:t>,</w:t>
      </w:r>
      <w:r w:rsidRPr="0082656E">
        <w:rPr>
          <w:sz w:val="24"/>
          <w:szCs w:val="24"/>
          <w:lang w:val="mk-MK"/>
        </w:rPr>
        <w:t xml:space="preserve"> обично применуваат модели на управување слични на матичните корпорации, со нагласок на транспарентност, отчетност и ефикасност.</w:t>
      </w:r>
      <w:r w:rsidR="000C386B">
        <w:rPr>
          <w:rStyle w:val="FootnoteReference"/>
          <w:sz w:val="24"/>
          <w:szCs w:val="24"/>
          <w:lang w:val="mk-MK"/>
        </w:rPr>
        <w:footnoteReference w:id="543"/>
      </w:r>
      <w:r w:rsidRPr="0082656E">
        <w:rPr>
          <w:sz w:val="24"/>
          <w:szCs w:val="24"/>
          <w:lang w:val="mk-MK"/>
        </w:rPr>
        <w:t xml:space="preserve"> Јавни</w:t>
      </w:r>
      <w:r w:rsidR="000C386B">
        <w:rPr>
          <w:sz w:val="24"/>
          <w:szCs w:val="24"/>
          <w:lang w:val="mk-MK"/>
        </w:rPr>
        <w:t>те</w:t>
      </w:r>
      <w:r w:rsidRPr="0082656E">
        <w:rPr>
          <w:sz w:val="24"/>
          <w:szCs w:val="24"/>
          <w:lang w:val="mk-MK"/>
        </w:rPr>
        <w:t xml:space="preserve"> претпријатија и стратешки компании, како Македонски пошти или Македонска енергетска компанија имаат посебен режим на управување и се предмет на засилен надзор од државата.</w:t>
      </w:r>
      <w:r w:rsidR="00DE0F13">
        <w:rPr>
          <w:rStyle w:val="FootnoteReference"/>
          <w:sz w:val="24"/>
          <w:szCs w:val="24"/>
          <w:lang w:val="mk-MK"/>
        </w:rPr>
        <w:footnoteReference w:id="544"/>
      </w:r>
      <w:r w:rsidRPr="0082656E">
        <w:rPr>
          <w:sz w:val="24"/>
          <w:szCs w:val="24"/>
          <w:lang w:val="mk-MK"/>
        </w:rPr>
        <w:t xml:space="preserve"> </w:t>
      </w:r>
      <w:r w:rsidR="00E80E0D">
        <w:rPr>
          <w:sz w:val="24"/>
          <w:szCs w:val="24"/>
          <w:lang w:val="mk-MK"/>
        </w:rPr>
        <w:t xml:space="preserve">Како и во Србија, </w:t>
      </w:r>
      <w:r w:rsidR="00F87A56">
        <w:rPr>
          <w:sz w:val="24"/>
          <w:szCs w:val="24"/>
          <w:lang w:val="mk-MK"/>
        </w:rPr>
        <w:t>најголем дел од акционерските друштва</w:t>
      </w:r>
      <w:r w:rsidRPr="0082656E">
        <w:rPr>
          <w:sz w:val="24"/>
          <w:szCs w:val="24"/>
          <w:lang w:val="mk-MK"/>
        </w:rPr>
        <w:t xml:space="preserve"> се мали или средни</w:t>
      </w:r>
      <w:r w:rsidR="00F87A56">
        <w:rPr>
          <w:sz w:val="24"/>
          <w:szCs w:val="24"/>
          <w:lang w:val="mk-MK"/>
        </w:rPr>
        <w:t xml:space="preserve"> приватни</w:t>
      </w:r>
      <w:r w:rsidRPr="0082656E">
        <w:rPr>
          <w:sz w:val="24"/>
          <w:szCs w:val="24"/>
          <w:lang w:val="mk-MK"/>
        </w:rPr>
        <w:t xml:space="preserve"> претпријатија кои се соочуваат со финансиски предизвици</w:t>
      </w:r>
      <w:r w:rsidR="00F87A56">
        <w:rPr>
          <w:sz w:val="24"/>
          <w:szCs w:val="24"/>
          <w:lang w:val="mk-MK"/>
        </w:rPr>
        <w:t xml:space="preserve"> и</w:t>
      </w:r>
      <w:r w:rsidRPr="0082656E">
        <w:rPr>
          <w:sz w:val="24"/>
          <w:szCs w:val="24"/>
          <w:lang w:val="mk-MK"/>
        </w:rPr>
        <w:t xml:space="preserve"> </w:t>
      </w:r>
      <w:r w:rsidR="00F87A56">
        <w:rPr>
          <w:sz w:val="24"/>
          <w:szCs w:val="24"/>
          <w:lang w:val="mk-MK"/>
        </w:rPr>
        <w:t xml:space="preserve">често </w:t>
      </w:r>
      <w:r w:rsidRPr="0082656E">
        <w:rPr>
          <w:sz w:val="24"/>
          <w:szCs w:val="24"/>
          <w:lang w:val="mk-MK"/>
        </w:rPr>
        <w:t>се реорганизира</w:t>
      </w:r>
      <w:r w:rsidR="00F87A56">
        <w:rPr>
          <w:sz w:val="24"/>
          <w:szCs w:val="24"/>
          <w:lang w:val="mk-MK"/>
        </w:rPr>
        <w:t>ат</w:t>
      </w:r>
      <w:r w:rsidRPr="0082656E">
        <w:rPr>
          <w:sz w:val="24"/>
          <w:szCs w:val="24"/>
          <w:lang w:val="mk-MK"/>
        </w:rPr>
        <w:t xml:space="preserve"> во друштва со ограничена одговорност (ДОО) или заврш</w:t>
      </w:r>
      <w:r w:rsidR="0036576B">
        <w:rPr>
          <w:sz w:val="24"/>
          <w:szCs w:val="24"/>
          <w:lang w:val="mk-MK"/>
        </w:rPr>
        <w:t>уваат</w:t>
      </w:r>
      <w:r w:rsidRPr="0082656E">
        <w:rPr>
          <w:sz w:val="24"/>
          <w:szCs w:val="24"/>
          <w:lang w:val="mk-MK"/>
        </w:rPr>
        <w:t xml:space="preserve"> во стечај, што укажува на </w:t>
      </w:r>
      <w:r w:rsidR="0036576B">
        <w:rPr>
          <w:sz w:val="24"/>
          <w:szCs w:val="24"/>
          <w:lang w:val="mk-MK"/>
        </w:rPr>
        <w:t>преференца</w:t>
      </w:r>
      <w:r w:rsidRPr="0082656E">
        <w:rPr>
          <w:sz w:val="24"/>
          <w:szCs w:val="24"/>
          <w:lang w:val="mk-MK"/>
        </w:rPr>
        <w:t xml:space="preserve"> за поедноставни правни форми.</w:t>
      </w:r>
      <w:r w:rsidR="00A05292">
        <w:rPr>
          <w:rStyle w:val="FootnoteReference"/>
          <w:sz w:val="24"/>
          <w:szCs w:val="24"/>
          <w:lang w:val="mk-MK"/>
        </w:rPr>
        <w:footnoteReference w:id="545"/>
      </w:r>
      <w:r w:rsidRPr="0082656E">
        <w:rPr>
          <w:sz w:val="24"/>
          <w:szCs w:val="24"/>
          <w:lang w:val="mk-MK"/>
        </w:rPr>
        <w:t xml:space="preserve"> </w:t>
      </w:r>
    </w:p>
    <w:p w14:paraId="4D7FC0C7" w14:textId="39819CA1" w:rsidR="003631C6" w:rsidRDefault="00F5537C" w:rsidP="00E0439B">
      <w:pPr>
        <w:spacing w:before="240"/>
        <w:ind w:firstLine="478"/>
        <w:jc w:val="both"/>
        <w:rPr>
          <w:sz w:val="24"/>
          <w:szCs w:val="24"/>
          <w:lang w:val="en-US"/>
        </w:rPr>
      </w:pPr>
      <w:r w:rsidRPr="00F5537C">
        <w:rPr>
          <w:sz w:val="24"/>
          <w:szCs w:val="24"/>
          <w:lang w:val="mk-MK"/>
        </w:rPr>
        <w:t>Управувањето со јавните акционерски друштва во Србија</w:t>
      </w:r>
      <w:r w:rsidR="00F33A6D">
        <w:rPr>
          <w:sz w:val="24"/>
          <w:szCs w:val="24"/>
          <w:lang w:val="en-US"/>
        </w:rPr>
        <w:t xml:space="preserve">, </w:t>
      </w:r>
      <w:r w:rsidR="00F33A6D">
        <w:rPr>
          <w:sz w:val="24"/>
          <w:szCs w:val="24"/>
          <w:lang w:val="mk-MK"/>
        </w:rPr>
        <w:t>слично како и во Македонија,</w:t>
      </w:r>
      <w:r w:rsidRPr="00F5537C">
        <w:rPr>
          <w:sz w:val="24"/>
          <w:szCs w:val="24"/>
          <w:lang w:val="mk-MK"/>
        </w:rPr>
        <w:t xml:space="preserve"> е обликувано од специфичностите на правната и институционалната рамка. Јавните претпријатија, основани од државни органи, подлежат на посебен режим на управување, при што општите правила на корпоративното управување се применуваат само </w:t>
      </w:r>
      <w:r w:rsidRPr="00E042C5">
        <w:rPr>
          <w:i/>
          <w:iCs/>
          <w:sz w:val="24"/>
          <w:szCs w:val="24"/>
          <w:lang w:val="mk-MK"/>
        </w:rPr>
        <w:t>mutatis mutandis</w:t>
      </w:r>
      <w:r w:rsidRPr="00F5537C">
        <w:rPr>
          <w:sz w:val="24"/>
          <w:szCs w:val="24"/>
          <w:lang w:val="mk-MK"/>
        </w:rPr>
        <w:t>.</w:t>
      </w:r>
      <w:r w:rsidR="00F33A6D">
        <w:rPr>
          <w:rStyle w:val="FootnoteReference"/>
          <w:sz w:val="24"/>
          <w:szCs w:val="24"/>
          <w:lang w:val="mk-MK"/>
        </w:rPr>
        <w:footnoteReference w:id="546"/>
      </w:r>
      <w:r w:rsidRPr="00F5537C">
        <w:rPr>
          <w:sz w:val="24"/>
          <w:szCs w:val="24"/>
          <w:lang w:val="mk-MK"/>
        </w:rPr>
        <w:t xml:space="preserve"> Како што забележува </w:t>
      </w:r>
      <w:r w:rsidR="002964C6">
        <w:rPr>
          <w:sz w:val="24"/>
          <w:szCs w:val="24"/>
          <w:lang w:val="mk-MK"/>
        </w:rPr>
        <w:t>Лепетиќ,</w:t>
      </w:r>
      <w:r w:rsidRPr="00F5537C">
        <w:rPr>
          <w:sz w:val="24"/>
          <w:szCs w:val="24"/>
          <w:lang w:val="mk-MK"/>
        </w:rPr>
        <w:t xml:space="preserve"> овој двоен нормативен режим ја усложнува правната сигурност и ја отежнува конзистентната примена на современите принципи на управување, имајќи предвид дека Законот за јавни претпријатија се применува паралелно со Законот за трговски друштва.</w:t>
      </w:r>
      <w:r w:rsidR="00CD1E0A">
        <w:rPr>
          <w:rStyle w:val="FootnoteReference"/>
          <w:sz w:val="24"/>
          <w:szCs w:val="24"/>
          <w:lang w:val="mk-MK"/>
        </w:rPr>
        <w:footnoteReference w:id="547"/>
      </w:r>
    </w:p>
    <w:p w14:paraId="69CC1B46" w14:textId="1A22A92A" w:rsidR="009A0AE9" w:rsidRDefault="009A0AE9" w:rsidP="00E0439B">
      <w:pPr>
        <w:spacing w:before="240"/>
        <w:ind w:firstLine="478"/>
        <w:jc w:val="both"/>
        <w:rPr>
          <w:sz w:val="24"/>
          <w:szCs w:val="24"/>
          <w:lang w:val="mk-MK"/>
        </w:rPr>
      </w:pPr>
      <w:r w:rsidRPr="009A0AE9">
        <w:rPr>
          <w:sz w:val="24"/>
          <w:szCs w:val="24"/>
          <w:lang w:val="mk-MK"/>
        </w:rPr>
        <w:t xml:space="preserve">Законот за трговски друштва </w:t>
      </w:r>
      <w:r w:rsidR="00B907F0">
        <w:rPr>
          <w:sz w:val="24"/>
          <w:szCs w:val="24"/>
          <w:lang w:val="mk-MK"/>
        </w:rPr>
        <w:t>на Република Србија</w:t>
      </w:r>
      <w:r w:rsidRPr="009A0AE9">
        <w:rPr>
          <w:sz w:val="24"/>
          <w:szCs w:val="24"/>
          <w:lang w:val="mk-MK"/>
        </w:rPr>
        <w:t xml:space="preserve"> пропишува задолжителна двостепена структура на управување за големите и средните друштва, додека малите и микро-друштвата можат да изберат едностепен модел.</w:t>
      </w:r>
      <w:r w:rsidR="00EE0F31">
        <w:rPr>
          <w:rStyle w:val="FootnoteReference"/>
          <w:sz w:val="24"/>
          <w:szCs w:val="24"/>
          <w:lang w:val="mk-MK"/>
        </w:rPr>
        <w:footnoteReference w:id="548"/>
      </w:r>
      <w:r w:rsidRPr="009A0AE9">
        <w:rPr>
          <w:sz w:val="24"/>
          <w:szCs w:val="24"/>
          <w:lang w:val="mk-MK"/>
        </w:rPr>
        <w:t xml:space="preserve"> Двостепениот модел обезбедува јасно разграничување </w:t>
      </w:r>
      <w:r w:rsidR="00D64552">
        <w:rPr>
          <w:sz w:val="24"/>
          <w:szCs w:val="24"/>
          <w:lang w:val="mk-MK"/>
        </w:rPr>
        <w:t>по</w:t>
      </w:r>
      <w:r w:rsidRPr="009A0AE9">
        <w:rPr>
          <w:sz w:val="24"/>
          <w:szCs w:val="24"/>
          <w:lang w:val="mk-MK"/>
        </w:rPr>
        <w:t>меѓу надзорните и извршните функции: надзорниот одбор е надлежен за именување и разрешување на членовите на извршниот одбор,</w:t>
      </w:r>
      <w:r w:rsidR="007F620D">
        <w:rPr>
          <w:rStyle w:val="FootnoteReference"/>
          <w:sz w:val="24"/>
          <w:szCs w:val="24"/>
          <w:lang w:val="mk-MK"/>
        </w:rPr>
        <w:footnoteReference w:id="549"/>
      </w:r>
      <w:r w:rsidRPr="009A0AE9">
        <w:rPr>
          <w:sz w:val="24"/>
          <w:szCs w:val="24"/>
          <w:lang w:val="mk-MK"/>
        </w:rPr>
        <w:t xml:space="preserve"> при што членовите на надзорниот одбор не смеат да бидат вработени во друштвото.</w:t>
      </w:r>
      <w:r w:rsidR="0013403E">
        <w:rPr>
          <w:rStyle w:val="FootnoteReference"/>
          <w:sz w:val="24"/>
          <w:szCs w:val="24"/>
          <w:lang w:val="mk-MK"/>
        </w:rPr>
        <w:footnoteReference w:id="550"/>
      </w:r>
      <w:r w:rsidRPr="009A0AE9">
        <w:rPr>
          <w:sz w:val="24"/>
          <w:szCs w:val="24"/>
          <w:lang w:val="mk-MK"/>
        </w:rPr>
        <w:t xml:space="preserve"> Со тоа, фактички </w:t>
      </w:r>
      <w:r w:rsidR="00FB10EC">
        <w:rPr>
          <w:sz w:val="24"/>
          <w:szCs w:val="24"/>
          <w:lang w:val="mk-MK"/>
        </w:rPr>
        <w:t xml:space="preserve">експлицитно </w:t>
      </w:r>
      <w:r w:rsidRPr="009A0AE9">
        <w:rPr>
          <w:sz w:val="24"/>
          <w:szCs w:val="24"/>
          <w:lang w:val="mk-MK"/>
        </w:rPr>
        <w:t>се исклучува учеството на вработените во органите на управување.</w:t>
      </w:r>
      <w:r w:rsidR="00E6666C">
        <w:rPr>
          <w:rStyle w:val="FootnoteReference"/>
          <w:sz w:val="24"/>
          <w:szCs w:val="24"/>
          <w:lang w:val="mk-MK"/>
        </w:rPr>
        <w:footnoteReference w:id="551"/>
      </w:r>
    </w:p>
    <w:p w14:paraId="40BC0B82" w14:textId="41B79481" w:rsidR="00644DC5" w:rsidRDefault="00644DC5" w:rsidP="00E0439B">
      <w:pPr>
        <w:spacing w:before="240"/>
        <w:ind w:firstLine="478"/>
        <w:jc w:val="both"/>
        <w:rPr>
          <w:sz w:val="24"/>
          <w:szCs w:val="24"/>
          <w:lang w:val="mk-MK"/>
        </w:rPr>
      </w:pPr>
      <w:r>
        <w:rPr>
          <w:sz w:val="24"/>
          <w:szCs w:val="24"/>
          <w:lang w:val="mk-MK"/>
        </w:rPr>
        <w:t xml:space="preserve">За разлика од </w:t>
      </w:r>
      <w:r w:rsidR="00B36105">
        <w:rPr>
          <w:sz w:val="24"/>
          <w:szCs w:val="24"/>
          <w:lang w:val="mk-MK"/>
        </w:rPr>
        <w:t>српск</w:t>
      </w:r>
      <w:r w:rsidR="006948D4">
        <w:rPr>
          <w:sz w:val="24"/>
          <w:szCs w:val="24"/>
          <w:lang w:val="mk-MK"/>
        </w:rPr>
        <w:t>ата легислатива</w:t>
      </w:r>
      <w:r w:rsidR="00B36105">
        <w:rPr>
          <w:sz w:val="24"/>
          <w:szCs w:val="24"/>
          <w:lang w:val="mk-MK"/>
        </w:rPr>
        <w:t xml:space="preserve">, македонскиот Закон за трговските друштва </w:t>
      </w:r>
      <w:r w:rsidR="00B36105">
        <w:rPr>
          <w:sz w:val="24"/>
          <w:szCs w:val="24"/>
          <w:lang w:val="mk-MK"/>
        </w:rPr>
        <w:lastRenderedPageBreak/>
        <w:t>предвидува дека у</w:t>
      </w:r>
      <w:r w:rsidR="00B36105" w:rsidRPr="00B36105">
        <w:rPr>
          <w:sz w:val="24"/>
          <w:szCs w:val="24"/>
          <w:lang w:val="mk-MK"/>
        </w:rPr>
        <w:t>правувањето со друштвото може да биде организирано според едностепен</w:t>
      </w:r>
      <w:r w:rsidR="00791736">
        <w:rPr>
          <w:rStyle w:val="FootnoteReference"/>
          <w:sz w:val="24"/>
          <w:szCs w:val="24"/>
          <w:lang w:val="mk-MK"/>
        </w:rPr>
        <w:footnoteReference w:id="552"/>
      </w:r>
      <w:r w:rsidR="00B36105" w:rsidRPr="00B36105">
        <w:rPr>
          <w:sz w:val="24"/>
          <w:szCs w:val="24"/>
          <w:lang w:val="mk-MK"/>
        </w:rPr>
        <w:t xml:space="preserve"> или двостепен систем</w:t>
      </w:r>
      <w:r w:rsidR="00EF41D4">
        <w:rPr>
          <w:sz w:val="24"/>
          <w:szCs w:val="24"/>
          <w:lang w:val="mk-MK"/>
        </w:rPr>
        <w:t>.</w:t>
      </w:r>
      <w:r w:rsidR="00791736">
        <w:rPr>
          <w:rStyle w:val="FootnoteReference"/>
          <w:sz w:val="24"/>
          <w:szCs w:val="24"/>
          <w:lang w:val="mk-MK"/>
        </w:rPr>
        <w:footnoteReference w:id="553"/>
      </w:r>
      <w:r w:rsidR="00B36105" w:rsidRPr="00B36105">
        <w:rPr>
          <w:sz w:val="24"/>
          <w:szCs w:val="24"/>
          <w:lang w:val="mk-MK"/>
        </w:rPr>
        <w:t xml:space="preserve"> </w:t>
      </w:r>
      <w:r w:rsidR="00EF41D4">
        <w:rPr>
          <w:sz w:val="24"/>
          <w:szCs w:val="24"/>
          <w:lang w:val="mk-MK"/>
        </w:rPr>
        <w:t>Притоа, остава целосна слобода на д</w:t>
      </w:r>
      <w:r w:rsidR="00B36105" w:rsidRPr="00B36105">
        <w:rPr>
          <w:sz w:val="24"/>
          <w:szCs w:val="24"/>
          <w:lang w:val="mk-MK"/>
        </w:rPr>
        <w:t xml:space="preserve">руштвото </w:t>
      </w:r>
      <w:r w:rsidR="00EF41D4">
        <w:rPr>
          <w:sz w:val="24"/>
          <w:szCs w:val="24"/>
          <w:lang w:val="mk-MK"/>
        </w:rPr>
        <w:t>да го</w:t>
      </w:r>
      <w:r w:rsidR="00B36105" w:rsidRPr="00B36105">
        <w:rPr>
          <w:sz w:val="24"/>
          <w:szCs w:val="24"/>
          <w:lang w:val="mk-MK"/>
        </w:rPr>
        <w:t xml:space="preserve"> изб</w:t>
      </w:r>
      <w:r w:rsidR="00EF41D4">
        <w:rPr>
          <w:sz w:val="24"/>
          <w:szCs w:val="24"/>
          <w:lang w:val="mk-MK"/>
        </w:rPr>
        <w:t>ере</w:t>
      </w:r>
      <w:r w:rsidR="00B36105" w:rsidRPr="00B36105">
        <w:rPr>
          <w:sz w:val="24"/>
          <w:szCs w:val="24"/>
          <w:lang w:val="mk-MK"/>
        </w:rPr>
        <w:t xml:space="preserve"> системот на управување</w:t>
      </w:r>
      <w:r w:rsidR="00EF41D4">
        <w:rPr>
          <w:sz w:val="24"/>
          <w:szCs w:val="24"/>
          <w:lang w:val="mk-MK"/>
        </w:rPr>
        <w:t xml:space="preserve"> без да </w:t>
      </w:r>
      <w:r w:rsidR="006948D4">
        <w:rPr>
          <w:sz w:val="24"/>
          <w:szCs w:val="24"/>
          <w:lang w:val="mk-MK"/>
        </w:rPr>
        <w:t>го врзува изборот со големината</w:t>
      </w:r>
      <w:r w:rsidR="00B36105" w:rsidRPr="00B36105">
        <w:rPr>
          <w:sz w:val="24"/>
          <w:szCs w:val="24"/>
          <w:lang w:val="mk-MK"/>
        </w:rPr>
        <w:t xml:space="preserve">. </w:t>
      </w:r>
      <w:r w:rsidR="006948D4">
        <w:rPr>
          <w:sz w:val="24"/>
          <w:szCs w:val="24"/>
          <w:lang w:val="mk-MK"/>
        </w:rPr>
        <w:t>Дополнително, законот дозволува с</w:t>
      </w:r>
      <w:r w:rsidR="00B36105" w:rsidRPr="00B36105">
        <w:rPr>
          <w:sz w:val="24"/>
          <w:szCs w:val="24"/>
          <w:lang w:val="mk-MK"/>
        </w:rPr>
        <w:t>о измени на статутот едностепениот систем на управување да биде заменет со двостепен и обратно</w:t>
      </w:r>
      <w:r w:rsidR="006948D4">
        <w:rPr>
          <w:sz w:val="24"/>
          <w:szCs w:val="24"/>
          <w:lang w:val="mk-MK"/>
        </w:rPr>
        <w:t xml:space="preserve"> и наведува дека о</w:t>
      </w:r>
      <w:r w:rsidR="00B36105" w:rsidRPr="00B36105">
        <w:rPr>
          <w:sz w:val="24"/>
          <w:szCs w:val="24"/>
          <w:lang w:val="mk-MK"/>
        </w:rPr>
        <w:t>дредбите за собранието соодветно се применуваат како на друштвата со едностепен, така и на друштвата со двостепен систем на организација на управувањето.</w:t>
      </w:r>
      <w:r w:rsidR="00A57F50">
        <w:rPr>
          <w:rStyle w:val="FootnoteReference"/>
          <w:sz w:val="24"/>
          <w:szCs w:val="24"/>
          <w:lang w:val="mk-MK"/>
        </w:rPr>
        <w:footnoteReference w:id="554"/>
      </w:r>
      <w:r w:rsidR="00B36105" w:rsidRPr="00B36105">
        <w:rPr>
          <w:sz w:val="24"/>
          <w:szCs w:val="24"/>
          <w:lang w:val="mk-MK"/>
        </w:rPr>
        <w:t xml:space="preserve"> </w:t>
      </w:r>
      <w:r w:rsidR="004152EE">
        <w:rPr>
          <w:sz w:val="24"/>
          <w:szCs w:val="24"/>
          <w:lang w:val="mk-MK"/>
        </w:rPr>
        <w:t>Во овој дел вреди да се напомени дека ставот 4 од истиот член на законот наведува дека у</w:t>
      </w:r>
      <w:r w:rsidR="00B36105" w:rsidRPr="00B36105">
        <w:rPr>
          <w:sz w:val="24"/>
          <w:szCs w:val="24"/>
          <w:lang w:val="mk-MK"/>
        </w:rPr>
        <w:t>чеството на вработените во управувањето со друштвото се уредува со закон</w:t>
      </w:r>
      <w:r w:rsidR="004152EE">
        <w:rPr>
          <w:sz w:val="24"/>
          <w:szCs w:val="24"/>
          <w:lang w:val="mk-MK"/>
        </w:rPr>
        <w:t>, кој и по 34 години независност на Македонија с</w:t>
      </w:r>
      <w:r w:rsidR="007704FD" w:rsidRPr="007704FD">
        <w:rPr>
          <w:sz w:val="24"/>
          <w:szCs w:val="24"/>
          <w:lang w:val="mk-MK"/>
        </w:rPr>
        <w:t>è</w:t>
      </w:r>
      <w:r w:rsidR="004152EE">
        <w:rPr>
          <w:sz w:val="24"/>
          <w:szCs w:val="24"/>
          <w:lang w:val="mk-MK"/>
        </w:rPr>
        <w:t xml:space="preserve"> уште не е донесен. </w:t>
      </w:r>
    </w:p>
    <w:p w14:paraId="48AF5C1A" w14:textId="3898CB62" w:rsidR="007704FD" w:rsidRDefault="00FD351D" w:rsidP="00E0439B">
      <w:pPr>
        <w:spacing w:before="240"/>
        <w:ind w:firstLine="478"/>
        <w:jc w:val="both"/>
        <w:rPr>
          <w:sz w:val="24"/>
          <w:szCs w:val="24"/>
          <w:lang w:val="en-US"/>
        </w:rPr>
      </w:pPr>
      <w:r>
        <w:rPr>
          <w:sz w:val="24"/>
          <w:szCs w:val="24"/>
          <w:lang w:val="mk-MK"/>
        </w:rPr>
        <w:t xml:space="preserve">Понатаму, </w:t>
      </w:r>
      <w:r w:rsidRPr="00FD351D">
        <w:rPr>
          <w:sz w:val="24"/>
          <w:szCs w:val="24"/>
          <w:lang w:val="mk-MK"/>
        </w:rPr>
        <w:t>Законот за управување со трговските друштва во сопственост на Република Србија дополнително ја зајакнува централизацијата преку задолжителна примена на двостепениот модел кај јавните акционерски друштва.</w:t>
      </w:r>
      <w:r w:rsidR="0090122C">
        <w:rPr>
          <w:rStyle w:val="FootnoteReference"/>
          <w:sz w:val="24"/>
          <w:szCs w:val="24"/>
          <w:lang w:val="mk-MK"/>
        </w:rPr>
        <w:footnoteReference w:id="555"/>
      </w:r>
      <w:r w:rsidRPr="00FD351D">
        <w:rPr>
          <w:sz w:val="24"/>
          <w:szCs w:val="24"/>
          <w:lang w:val="mk-MK"/>
        </w:rPr>
        <w:t xml:space="preserve"> Ваквата рамка ја засилува улогата на надзорниот одбор во професионализацијата на корпоративните структури.</w:t>
      </w:r>
      <w:r w:rsidR="00DC6936">
        <w:rPr>
          <w:rStyle w:val="FootnoteReference"/>
          <w:sz w:val="24"/>
          <w:szCs w:val="24"/>
          <w:lang w:val="mk-MK"/>
        </w:rPr>
        <w:footnoteReference w:id="556"/>
      </w:r>
      <w:r w:rsidRPr="00FD351D">
        <w:rPr>
          <w:sz w:val="24"/>
          <w:szCs w:val="24"/>
          <w:lang w:val="mk-MK"/>
        </w:rPr>
        <w:t xml:space="preserve"> Законот за јавни претпријатија</w:t>
      </w:r>
      <w:r w:rsidR="00DC6936">
        <w:rPr>
          <w:sz w:val="24"/>
          <w:szCs w:val="24"/>
          <w:lang w:val="en-US"/>
        </w:rPr>
        <w:t xml:space="preserve"> </w:t>
      </w:r>
      <w:r w:rsidRPr="00FD351D">
        <w:rPr>
          <w:sz w:val="24"/>
          <w:szCs w:val="24"/>
          <w:lang w:val="mk-MK"/>
        </w:rPr>
        <w:t>формално предвидува можност за вклучување претставници на вработените во надзорните одбори,</w:t>
      </w:r>
      <w:r w:rsidR="00DC6936">
        <w:rPr>
          <w:rStyle w:val="FootnoteReference"/>
          <w:sz w:val="24"/>
          <w:szCs w:val="24"/>
          <w:lang w:val="mk-MK"/>
        </w:rPr>
        <w:footnoteReference w:id="557"/>
      </w:r>
      <w:r w:rsidRPr="00FD351D">
        <w:rPr>
          <w:sz w:val="24"/>
          <w:szCs w:val="24"/>
          <w:lang w:val="mk-MK"/>
        </w:rPr>
        <w:t xml:space="preserve"> но во практиката ова право најчесто останува декларативно и зависи од статутите на друштвата.</w:t>
      </w:r>
      <w:r w:rsidR="00EB0681">
        <w:rPr>
          <w:rStyle w:val="FootnoteReference"/>
          <w:sz w:val="24"/>
          <w:szCs w:val="24"/>
          <w:lang w:val="mk-MK"/>
        </w:rPr>
        <w:footnoteReference w:id="558"/>
      </w:r>
      <w:r w:rsidRPr="00FD351D">
        <w:rPr>
          <w:sz w:val="24"/>
          <w:szCs w:val="24"/>
          <w:lang w:val="mk-MK"/>
        </w:rPr>
        <w:t xml:space="preserve"> Слично, Законот за работни односи </w:t>
      </w:r>
      <w:r w:rsidR="000C33CA">
        <w:rPr>
          <w:sz w:val="24"/>
          <w:szCs w:val="24"/>
          <w:lang w:val="mk-MK"/>
        </w:rPr>
        <w:t xml:space="preserve">во </w:t>
      </w:r>
      <w:r w:rsidRPr="00FD351D">
        <w:rPr>
          <w:sz w:val="24"/>
          <w:szCs w:val="24"/>
          <w:lang w:val="mk-MK"/>
        </w:rPr>
        <w:t>членови</w:t>
      </w:r>
      <w:r w:rsidR="000C33CA">
        <w:rPr>
          <w:sz w:val="24"/>
          <w:szCs w:val="24"/>
          <w:lang w:val="mk-MK"/>
        </w:rPr>
        <w:t>те</w:t>
      </w:r>
      <w:r w:rsidRPr="00FD351D">
        <w:rPr>
          <w:sz w:val="24"/>
          <w:szCs w:val="24"/>
          <w:lang w:val="mk-MK"/>
        </w:rPr>
        <w:t xml:space="preserve"> 13 и 16 им гарантира на вработените права на информирање и консултација преку синдикатите, но не воспоставува институционализирано учество во органите на одлучување. Како што укажува </w:t>
      </w:r>
      <w:r w:rsidR="002206C3">
        <w:rPr>
          <w:sz w:val="24"/>
          <w:szCs w:val="24"/>
          <w:lang w:val="mk-MK"/>
        </w:rPr>
        <w:t>Вуколиќ</w:t>
      </w:r>
      <w:r w:rsidRPr="00FD351D">
        <w:rPr>
          <w:sz w:val="24"/>
          <w:szCs w:val="24"/>
          <w:lang w:val="mk-MK"/>
        </w:rPr>
        <w:t>, учеството на вработените во рамките на овие нормативни решенија е ограничено и нема суштинско влијание врз стратешкото одлучување.</w:t>
      </w:r>
      <w:r w:rsidR="009536C8">
        <w:rPr>
          <w:rStyle w:val="FootnoteReference"/>
          <w:sz w:val="24"/>
          <w:szCs w:val="24"/>
          <w:lang w:val="mk-MK"/>
        </w:rPr>
        <w:footnoteReference w:id="559"/>
      </w:r>
    </w:p>
    <w:p w14:paraId="23520FD6" w14:textId="77777777" w:rsidR="00D137B3" w:rsidRDefault="00E92038" w:rsidP="00E0439B">
      <w:pPr>
        <w:spacing w:before="240"/>
        <w:ind w:firstLine="478"/>
        <w:jc w:val="both"/>
        <w:rPr>
          <w:sz w:val="24"/>
          <w:szCs w:val="24"/>
          <w:lang w:val="mk-MK"/>
        </w:rPr>
      </w:pPr>
      <w:r>
        <w:rPr>
          <w:sz w:val="24"/>
          <w:szCs w:val="24"/>
          <w:lang w:val="mk-MK"/>
        </w:rPr>
        <w:t>Од друга страна, Владата на</w:t>
      </w:r>
      <w:r w:rsidRPr="00E92038">
        <w:rPr>
          <w:sz w:val="24"/>
          <w:szCs w:val="24"/>
          <w:lang w:val="mk-MK"/>
        </w:rPr>
        <w:t xml:space="preserve"> Македонија е основач на 14 јавни претпријатија и единствен акционер/содружник во 15 трговски друштва од кои 13 се акционерски друштва во државна сопственост, а 2 се ДООЕЛ-и во државна сопственост. </w:t>
      </w:r>
      <w:r w:rsidR="004344EE">
        <w:rPr>
          <w:sz w:val="24"/>
          <w:szCs w:val="24"/>
          <w:lang w:val="mk-MK"/>
        </w:rPr>
        <w:t xml:space="preserve">Најголем дел од релевантните одредби споредливи со српската легислатива се лоцирани во </w:t>
      </w:r>
      <w:r w:rsidRPr="00E92038">
        <w:rPr>
          <w:sz w:val="24"/>
          <w:szCs w:val="24"/>
          <w:lang w:val="mk-MK"/>
        </w:rPr>
        <w:t>Законот за јавните претпријатија и Законот за трговските друштва</w:t>
      </w:r>
      <w:r w:rsidR="004344EE">
        <w:rPr>
          <w:sz w:val="24"/>
          <w:szCs w:val="24"/>
          <w:lang w:val="mk-MK"/>
        </w:rPr>
        <w:t>,</w:t>
      </w:r>
      <w:r w:rsidRPr="00E92038">
        <w:rPr>
          <w:sz w:val="24"/>
          <w:szCs w:val="24"/>
          <w:lang w:val="mk-MK"/>
        </w:rPr>
        <w:t xml:space="preserve"> како и во нивните статути или изјави</w:t>
      </w:r>
      <w:r w:rsidR="00B03140">
        <w:rPr>
          <w:sz w:val="24"/>
          <w:szCs w:val="24"/>
          <w:lang w:val="mk-MK"/>
        </w:rPr>
        <w:t>.</w:t>
      </w:r>
      <w:r w:rsidR="00D51FED">
        <w:rPr>
          <w:sz w:val="24"/>
          <w:szCs w:val="24"/>
          <w:lang w:val="mk-MK"/>
        </w:rPr>
        <w:t xml:space="preserve"> Сепак, у</w:t>
      </w:r>
      <w:r w:rsidR="00D51FED" w:rsidRPr="00D51FED">
        <w:rPr>
          <w:sz w:val="24"/>
          <w:szCs w:val="24"/>
          <w:lang w:val="mk-MK"/>
        </w:rPr>
        <w:t>правувањето со трговските друштва во државна сопственост исто така е обележано со изразена централизација и засилен институционален надзор. Ваквата нормативна поставеност ја зајакнува улогата на надзорниот одбор како клучен орган за контрола и професионализација на корпоративното управување, но истовремено го ограничува просторот за вклучување на вработените во управувачките структури</w:t>
      </w:r>
      <w:r w:rsidR="00A978D5">
        <w:rPr>
          <w:sz w:val="24"/>
          <w:szCs w:val="24"/>
          <w:lang w:val="mk-MK"/>
        </w:rPr>
        <w:t xml:space="preserve"> и во пракса најчесто надзорниот одбор претставува продолжена рака на извршната власт</w:t>
      </w:r>
      <w:r w:rsidR="00D51FED" w:rsidRPr="00D51FED">
        <w:rPr>
          <w:sz w:val="24"/>
          <w:szCs w:val="24"/>
          <w:lang w:val="mk-MK"/>
        </w:rPr>
        <w:t>.</w:t>
      </w:r>
    </w:p>
    <w:p w14:paraId="08DBA0EB" w14:textId="23D41D21" w:rsidR="00E92038" w:rsidRDefault="005C077E" w:rsidP="00E0439B">
      <w:pPr>
        <w:spacing w:before="240"/>
        <w:ind w:firstLine="478"/>
        <w:jc w:val="both"/>
        <w:rPr>
          <w:sz w:val="24"/>
          <w:szCs w:val="24"/>
          <w:lang w:val="mk-MK"/>
        </w:rPr>
      </w:pPr>
      <w:r>
        <w:rPr>
          <w:sz w:val="24"/>
          <w:szCs w:val="24"/>
          <w:lang w:val="mk-MK"/>
        </w:rPr>
        <w:t xml:space="preserve">Во иста линија, </w:t>
      </w:r>
      <w:r w:rsidR="00D51FED" w:rsidRPr="00D51FED">
        <w:rPr>
          <w:sz w:val="24"/>
          <w:szCs w:val="24"/>
          <w:lang w:val="mk-MK"/>
        </w:rPr>
        <w:t>Законот за јавните претпријатија</w:t>
      </w:r>
      <w:r>
        <w:rPr>
          <w:sz w:val="24"/>
          <w:szCs w:val="24"/>
          <w:lang w:val="mk-MK"/>
        </w:rPr>
        <w:t xml:space="preserve"> во Македонија</w:t>
      </w:r>
      <w:r w:rsidR="00D51FED" w:rsidRPr="00D51FED">
        <w:rPr>
          <w:sz w:val="24"/>
          <w:szCs w:val="24"/>
          <w:lang w:val="mk-MK"/>
        </w:rPr>
        <w:t xml:space="preserve"> формално не исклучува можност за учество на претставници на вработените во органите на управување или надзор, но не воспоставува јасна, задолжителна и </w:t>
      </w:r>
      <w:r w:rsidR="00D51FED" w:rsidRPr="00D51FED">
        <w:rPr>
          <w:sz w:val="24"/>
          <w:szCs w:val="24"/>
          <w:lang w:val="mk-MK"/>
        </w:rPr>
        <w:lastRenderedPageBreak/>
        <w:t>институционализирана рамка за такво учество, оставајќи го ова прашање во голема мера на статутарно уредување и на дискрецијата на основачот.</w:t>
      </w:r>
      <w:r w:rsidR="006B12A9">
        <w:rPr>
          <w:rStyle w:val="FootnoteReference"/>
          <w:sz w:val="24"/>
          <w:szCs w:val="24"/>
          <w:lang w:val="mk-MK"/>
        </w:rPr>
        <w:footnoteReference w:id="560"/>
      </w:r>
      <w:r w:rsidR="00D51FED" w:rsidRPr="00D51FED">
        <w:rPr>
          <w:sz w:val="24"/>
          <w:szCs w:val="24"/>
          <w:lang w:val="mk-MK"/>
        </w:rPr>
        <w:t xml:space="preserve"> Слично</w:t>
      </w:r>
      <w:r w:rsidR="006B12A9">
        <w:rPr>
          <w:sz w:val="24"/>
          <w:szCs w:val="24"/>
          <w:lang w:val="mk-MK"/>
        </w:rPr>
        <w:t xml:space="preserve"> и како што беше наведено претходно</w:t>
      </w:r>
      <w:r w:rsidR="00D51FED" w:rsidRPr="00D51FED">
        <w:rPr>
          <w:sz w:val="24"/>
          <w:szCs w:val="24"/>
          <w:lang w:val="mk-MK"/>
        </w:rPr>
        <w:t>, Законот за работни односи им гарантира на вработените права на информирање и консултација, најчесто преку синдикално организирање, но овие права не се трансформираат во формализирано учество во органите на одлучување на акционерските друштва. Како резултат на тоа, учеството на вработените во корпоративното управување во македонскиот контекст останува ограничено, претежно советодавно и</w:t>
      </w:r>
      <w:r w:rsidR="00F92A50">
        <w:rPr>
          <w:sz w:val="24"/>
          <w:szCs w:val="24"/>
          <w:lang w:val="mk-MK"/>
        </w:rPr>
        <w:t xml:space="preserve"> како во примерот на Србија,</w:t>
      </w:r>
      <w:r w:rsidR="00D51FED" w:rsidRPr="00D51FED">
        <w:rPr>
          <w:sz w:val="24"/>
          <w:szCs w:val="24"/>
          <w:lang w:val="mk-MK"/>
        </w:rPr>
        <w:t xml:space="preserve"> без суштинско влијание врз стратешките одлуки на друштвото.</w:t>
      </w:r>
    </w:p>
    <w:p w14:paraId="204DB4ED" w14:textId="6FC78757" w:rsidR="00B1023B" w:rsidRDefault="00B1023B" w:rsidP="00E0439B">
      <w:pPr>
        <w:spacing w:before="240"/>
        <w:ind w:firstLine="478"/>
        <w:jc w:val="both"/>
        <w:rPr>
          <w:sz w:val="24"/>
          <w:szCs w:val="24"/>
          <w:lang w:val="mk-MK"/>
        </w:rPr>
      </w:pPr>
      <w:r>
        <w:rPr>
          <w:sz w:val="24"/>
          <w:szCs w:val="24"/>
          <w:lang w:val="mk-MK"/>
        </w:rPr>
        <w:t xml:space="preserve">Сумирано, </w:t>
      </w:r>
      <w:r w:rsidRPr="00B1023B">
        <w:rPr>
          <w:sz w:val="24"/>
          <w:szCs w:val="24"/>
          <w:lang w:val="mk-MK"/>
        </w:rPr>
        <w:t>директното учество на вработените</w:t>
      </w:r>
      <w:r>
        <w:rPr>
          <w:sz w:val="24"/>
          <w:szCs w:val="24"/>
          <w:lang w:val="mk-MK"/>
        </w:rPr>
        <w:t xml:space="preserve"> во практиката</w:t>
      </w:r>
      <w:r w:rsidRPr="00B1023B">
        <w:rPr>
          <w:sz w:val="24"/>
          <w:szCs w:val="24"/>
          <w:lang w:val="mk-MK"/>
        </w:rPr>
        <w:t xml:space="preserve"> во управувањето со српските акционерски друштва е ретка појава. Тоа најчесто се среќава кај друштва во странска сопственост, особено кај оние што потекнуваат од правни системи со развиена традиција на работничко учество, како Германија и Шведска. Во најголем дел од случаите, синдикалната активност во Србија останува ограничена на колективно договарање и права на информирање, без реално влијание врз стратешките одлуки.</w:t>
      </w:r>
      <w:r w:rsidR="00DD2682">
        <w:rPr>
          <w:sz w:val="24"/>
          <w:szCs w:val="24"/>
          <w:lang w:val="mk-MK"/>
        </w:rPr>
        <w:t xml:space="preserve"> Речиси идентична ситуација имаме и во Македонија со </w:t>
      </w:r>
      <w:r w:rsidR="00A053E6">
        <w:rPr>
          <w:sz w:val="24"/>
          <w:szCs w:val="24"/>
          <w:lang w:val="mk-MK"/>
        </w:rPr>
        <w:t>мала, но значајна, разлика во однос на спречувањето на учеството на вработените барем во надзорните одбори. Додека српското законодавство во одреден дел експлицитно забранува учество на вработените во надзорните одбори, македонската легислатива нема таква пречка</w:t>
      </w:r>
      <w:r w:rsidR="00565C87">
        <w:rPr>
          <w:sz w:val="24"/>
          <w:szCs w:val="24"/>
          <w:lang w:val="mk-MK"/>
        </w:rPr>
        <w:t xml:space="preserve"> и во тој поглед е чекор понапред во однос на потенцијалните решенија. </w:t>
      </w:r>
    </w:p>
    <w:p w14:paraId="4120E594" w14:textId="17536D18" w:rsidR="00CC7CE6" w:rsidRDefault="00CC7CE6" w:rsidP="00E0439B">
      <w:pPr>
        <w:spacing w:before="240"/>
        <w:ind w:firstLine="478"/>
        <w:jc w:val="both"/>
        <w:rPr>
          <w:sz w:val="24"/>
          <w:szCs w:val="24"/>
          <w:lang w:val="mk-MK"/>
        </w:rPr>
      </w:pPr>
      <w:r w:rsidRPr="00CC7CE6">
        <w:rPr>
          <w:sz w:val="24"/>
          <w:szCs w:val="24"/>
          <w:lang w:val="mk-MK"/>
        </w:rPr>
        <w:t>Современите теориски развои во корпоративното право сѐ повеќе се залагаат за прифаќање на пристап</w:t>
      </w:r>
      <w:r w:rsidR="00DD2682">
        <w:rPr>
          <w:sz w:val="24"/>
          <w:szCs w:val="24"/>
          <w:lang w:val="mk-MK"/>
        </w:rPr>
        <w:t xml:space="preserve"> со повеќе засегнати страни</w:t>
      </w:r>
      <w:r w:rsidRPr="00CC7CE6">
        <w:rPr>
          <w:sz w:val="24"/>
          <w:szCs w:val="24"/>
          <w:lang w:val="mk-MK"/>
        </w:rPr>
        <w:t>. Според овој концепт, трговското друштво не се согледува исклучиво како инструмент за максимизација на вредноста за акционерите, туку како институционален јазол што ги опфаќа интересите на поширок круг засегнати страни, вклучително и вработените, чии интереси треба да бидат интегрирани во т.н. „интерес на друштвото“.</w:t>
      </w:r>
      <w:r w:rsidR="001D5EED">
        <w:rPr>
          <w:rStyle w:val="FootnoteReference"/>
          <w:sz w:val="24"/>
          <w:szCs w:val="24"/>
          <w:lang w:val="mk-MK"/>
        </w:rPr>
        <w:footnoteReference w:id="561"/>
      </w:r>
      <w:r w:rsidRPr="00CC7CE6">
        <w:rPr>
          <w:sz w:val="24"/>
          <w:szCs w:val="24"/>
          <w:lang w:val="mk-MK"/>
        </w:rPr>
        <w:t xml:space="preserve"> Сепак, во Србија овој пристап сè уште нема практична афирмација и останува претежно на теориско ниво.</w:t>
      </w:r>
      <w:r w:rsidR="00C041B1">
        <w:rPr>
          <w:rStyle w:val="FootnoteReference"/>
          <w:sz w:val="24"/>
          <w:szCs w:val="24"/>
          <w:lang w:val="mk-MK"/>
        </w:rPr>
        <w:footnoteReference w:id="562"/>
      </w:r>
    </w:p>
    <w:p w14:paraId="32A6F61F" w14:textId="0A62D703" w:rsidR="00773F2C" w:rsidRDefault="009E7D9F" w:rsidP="00B23A85">
      <w:pPr>
        <w:spacing w:before="240"/>
        <w:ind w:firstLine="478"/>
        <w:jc w:val="both"/>
        <w:rPr>
          <w:sz w:val="24"/>
          <w:szCs w:val="24"/>
          <w:lang w:val="mk-MK"/>
        </w:rPr>
      </w:pPr>
      <w:r>
        <w:rPr>
          <w:sz w:val="24"/>
          <w:szCs w:val="24"/>
          <w:lang w:val="mk-MK"/>
        </w:rPr>
        <w:t xml:space="preserve">Со цел тестирање на наодите на </w:t>
      </w:r>
      <w:r w:rsidR="00F657A0">
        <w:rPr>
          <w:sz w:val="24"/>
          <w:szCs w:val="24"/>
          <w:lang w:val="mk-MK"/>
        </w:rPr>
        <w:t>докторската дисертација</w:t>
      </w:r>
      <w:r>
        <w:rPr>
          <w:sz w:val="24"/>
          <w:szCs w:val="24"/>
          <w:lang w:val="mk-MK"/>
        </w:rPr>
        <w:t xml:space="preserve"> и согледување на вистинскиот впечаток во пракса, в</w:t>
      </w:r>
      <w:r w:rsidR="006313B6">
        <w:rPr>
          <w:sz w:val="24"/>
          <w:szCs w:val="24"/>
          <w:lang w:val="mk-MK"/>
        </w:rPr>
        <w:t xml:space="preserve">о периодот од </w:t>
      </w:r>
      <w:r w:rsidR="00130960">
        <w:rPr>
          <w:sz w:val="24"/>
          <w:szCs w:val="24"/>
          <w:lang w:val="mk-MK"/>
        </w:rPr>
        <w:t xml:space="preserve">24.03.2025 до </w:t>
      </w:r>
      <w:r>
        <w:rPr>
          <w:sz w:val="24"/>
          <w:szCs w:val="24"/>
          <w:lang w:val="mk-MK"/>
        </w:rPr>
        <w:t xml:space="preserve">07.04.2025 година </w:t>
      </w:r>
      <w:r w:rsidR="00B23A85">
        <w:rPr>
          <w:sz w:val="24"/>
          <w:szCs w:val="24"/>
          <w:lang w:val="mk-MK"/>
        </w:rPr>
        <w:t>престојував на</w:t>
      </w:r>
      <w:r w:rsidR="00870FF0">
        <w:rPr>
          <w:sz w:val="24"/>
          <w:szCs w:val="24"/>
          <w:lang w:val="mk-MK"/>
        </w:rPr>
        <w:t xml:space="preserve"> Универзитетот за бизнис академија во Нови Сад </w:t>
      </w:r>
      <w:r w:rsidR="00AE0DE1">
        <w:rPr>
          <w:sz w:val="24"/>
          <w:szCs w:val="24"/>
          <w:lang w:val="mk-MK"/>
        </w:rPr>
        <w:t xml:space="preserve">и остварив кратки истражувачки </w:t>
      </w:r>
      <w:r w:rsidR="00B23A85">
        <w:rPr>
          <w:sz w:val="24"/>
          <w:szCs w:val="24"/>
          <w:lang w:val="mk-MK"/>
        </w:rPr>
        <w:t>посети</w:t>
      </w:r>
      <w:r w:rsidR="00AE0DE1">
        <w:rPr>
          <w:sz w:val="24"/>
          <w:szCs w:val="24"/>
          <w:lang w:val="mk-MK"/>
        </w:rPr>
        <w:t xml:space="preserve"> во Белград, Нови Сад, Нови Пазар и </w:t>
      </w:r>
      <w:r w:rsidR="00DB5F84">
        <w:rPr>
          <w:sz w:val="24"/>
          <w:szCs w:val="24"/>
          <w:lang w:val="mk-MK"/>
        </w:rPr>
        <w:t>Сјеница.</w:t>
      </w:r>
      <w:r w:rsidR="00DB5F84">
        <w:rPr>
          <w:rStyle w:val="FootnoteReference"/>
          <w:sz w:val="24"/>
          <w:szCs w:val="24"/>
          <w:lang w:val="mk-MK"/>
        </w:rPr>
        <w:footnoteReference w:id="563"/>
      </w:r>
      <w:r w:rsidR="00B23A85">
        <w:rPr>
          <w:sz w:val="24"/>
          <w:szCs w:val="24"/>
          <w:lang w:val="mk-MK"/>
        </w:rPr>
        <w:t xml:space="preserve"> </w:t>
      </w:r>
      <w:r w:rsidR="001705A9" w:rsidRPr="001705A9">
        <w:rPr>
          <w:sz w:val="24"/>
          <w:szCs w:val="24"/>
          <w:lang w:val="mk-MK"/>
        </w:rPr>
        <w:t xml:space="preserve">Базирано на сè што </w:t>
      </w:r>
      <w:r w:rsidR="00B23A85">
        <w:rPr>
          <w:sz w:val="24"/>
          <w:szCs w:val="24"/>
          <w:lang w:val="mk-MK"/>
        </w:rPr>
        <w:t>е изнесено и наодите од практиката</w:t>
      </w:r>
      <w:r w:rsidR="001705A9" w:rsidRPr="001705A9">
        <w:rPr>
          <w:sz w:val="24"/>
          <w:szCs w:val="24"/>
          <w:lang w:val="mk-MK"/>
        </w:rPr>
        <w:t>, најкоректниот и аналитички прецизен одговор е</w:t>
      </w:r>
      <w:r w:rsidR="00B23A85">
        <w:rPr>
          <w:sz w:val="24"/>
          <w:szCs w:val="24"/>
          <w:lang w:val="mk-MK"/>
        </w:rPr>
        <w:t xml:space="preserve"> дека</w:t>
      </w:r>
      <w:r w:rsidR="001705A9" w:rsidRPr="001705A9">
        <w:rPr>
          <w:sz w:val="24"/>
          <w:szCs w:val="24"/>
          <w:lang w:val="mk-MK"/>
        </w:rPr>
        <w:t xml:space="preserve"> Македонија нема многу суштински да </w:t>
      </w:r>
      <w:r w:rsidR="00F72476">
        <w:rPr>
          <w:sz w:val="24"/>
          <w:szCs w:val="24"/>
          <w:lang w:val="mk-MK"/>
        </w:rPr>
        <w:t>„научи“</w:t>
      </w:r>
      <w:r w:rsidR="001705A9" w:rsidRPr="001705A9">
        <w:rPr>
          <w:sz w:val="24"/>
          <w:szCs w:val="24"/>
          <w:lang w:val="mk-MK"/>
        </w:rPr>
        <w:t xml:space="preserve"> од Србија во нормативна смисла, но може да извлече ограничени поуки од српското искуство на институционално управување со големи и стратешки акционерски друштва. </w:t>
      </w:r>
    </w:p>
    <w:p w14:paraId="6B423096" w14:textId="31FD5C34" w:rsidR="00F72476" w:rsidRDefault="00285D3C" w:rsidP="00B23A85">
      <w:pPr>
        <w:spacing w:before="240"/>
        <w:ind w:firstLine="478"/>
        <w:jc w:val="both"/>
        <w:rPr>
          <w:sz w:val="24"/>
          <w:szCs w:val="24"/>
          <w:lang w:val="mk-MK"/>
        </w:rPr>
      </w:pPr>
      <w:r w:rsidRPr="00285D3C">
        <w:rPr>
          <w:sz w:val="24"/>
          <w:szCs w:val="24"/>
          <w:lang w:val="mk-MK"/>
        </w:rPr>
        <w:t xml:space="preserve">Прво, во нормативна и концептуална смисла, македонскиот и српскиот модел се високо конвергентни. Двете држави се потпираат на континенталната, германско австриска традиција на корпоративно право, со доминантна примена на двостепениот </w:t>
      </w:r>
      <w:r w:rsidRPr="00285D3C">
        <w:rPr>
          <w:sz w:val="24"/>
          <w:szCs w:val="24"/>
          <w:lang w:val="mk-MK"/>
        </w:rPr>
        <w:lastRenderedPageBreak/>
        <w:t xml:space="preserve">модел кај големите акционерски друштва, силна позиција на надзорниот одбор и јасно разграничување </w:t>
      </w:r>
      <w:r w:rsidR="006454D7">
        <w:rPr>
          <w:sz w:val="24"/>
          <w:szCs w:val="24"/>
          <w:lang w:val="mk-MK"/>
        </w:rPr>
        <w:t>по</w:t>
      </w:r>
      <w:r w:rsidRPr="00285D3C">
        <w:rPr>
          <w:sz w:val="24"/>
          <w:szCs w:val="24"/>
          <w:lang w:val="mk-MK"/>
        </w:rPr>
        <w:t>меѓу надзорните и извршните функции. Во двата системи, учеството на вработените е нормативно маргинализирано, сведено на права на информирање и консултација, без институционализирано место во органите на управување.</w:t>
      </w:r>
      <w:r w:rsidR="006553F9">
        <w:rPr>
          <w:rStyle w:val="FootnoteReference"/>
          <w:sz w:val="24"/>
          <w:szCs w:val="24"/>
          <w:lang w:val="mk-MK"/>
        </w:rPr>
        <w:footnoteReference w:id="564"/>
      </w:r>
      <w:r w:rsidRPr="00285D3C">
        <w:rPr>
          <w:sz w:val="24"/>
          <w:szCs w:val="24"/>
          <w:lang w:val="mk-MK"/>
        </w:rPr>
        <w:t xml:space="preserve"> Во таа смисла, Србија не нуди нормативна иновација што би можела да послужи како модел за Македонија.</w:t>
      </w:r>
    </w:p>
    <w:p w14:paraId="3A8BA293" w14:textId="41AA9B0F" w:rsidR="00F767C5" w:rsidRDefault="00F767C5" w:rsidP="00B23A85">
      <w:pPr>
        <w:spacing w:before="240"/>
        <w:ind w:firstLine="478"/>
        <w:jc w:val="both"/>
        <w:rPr>
          <w:sz w:val="24"/>
          <w:szCs w:val="24"/>
          <w:lang w:val="mk-MK"/>
        </w:rPr>
      </w:pPr>
      <w:r w:rsidRPr="00F767C5">
        <w:rPr>
          <w:sz w:val="24"/>
          <w:szCs w:val="24"/>
          <w:lang w:val="mk-MK"/>
        </w:rPr>
        <w:t xml:space="preserve">Второ, разликите </w:t>
      </w:r>
      <w:r>
        <w:rPr>
          <w:sz w:val="24"/>
          <w:szCs w:val="24"/>
          <w:lang w:val="mk-MK"/>
        </w:rPr>
        <w:t>по</w:t>
      </w:r>
      <w:r w:rsidRPr="00F767C5">
        <w:rPr>
          <w:sz w:val="24"/>
          <w:szCs w:val="24"/>
          <w:lang w:val="mk-MK"/>
        </w:rPr>
        <w:t xml:space="preserve">меѓу двете држави се претежно </w:t>
      </w:r>
      <w:r w:rsidR="00165F68">
        <w:rPr>
          <w:sz w:val="24"/>
          <w:szCs w:val="24"/>
          <w:lang w:val="mk-MK"/>
        </w:rPr>
        <w:t>бројчани</w:t>
      </w:r>
      <w:r w:rsidRPr="00F767C5">
        <w:rPr>
          <w:sz w:val="24"/>
          <w:szCs w:val="24"/>
          <w:lang w:val="mk-MK"/>
        </w:rPr>
        <w:t>, а не квалитативни. Србија има поголем број акционерски друштва, поголеми компании и подлабоко развиен пазар на капитал, што ѝ овозможува поразвиена пракса на корпоративен надзор, посилна улога на државата како сопственик и поизразена професионализација на управувачките структури кај јавните акционерски друштва. Македонија, со помал и поплиток пазар, во суштина ги реплицира истите нормативни решенија, но во поограничен економски контекст.</w:t>
      </w:r>
      <w:r w:rsidR="00730689">
        <w:rPr>
          <w:rStyle w:val="FootnoteReference"/>
          <w:sz w:val="24"/>
          <w:szCs w:val="24"/>
          <w:lang w:val="mk-MK"/>
        </w:rPr>
        <w:footnoteReference w:id="565"/>
      </w:r>
      <w:r w:rsidRPr="00F767C5">
        <w:rPr>
          <w:sz w:val="24"/>
          <w:szCs w:val="24"/>
          <w:lang w:val="mk-MK"/>
        </w:rPr>
        <w:t xml:space="preserve"> Оттука, она што Македонија може да го </w:t>
      </w:r>
      <w:r w:rsidR="00FF783F">
        <w:rPr>
          <w:sz w:val="24"/>
          <w:szCs w:val="24"/>
          <w:lang w:val="mk-MK"/>
        </w:rPr>
        <w:t>воведе</w:t>
      </w:r>
      <w:r w:rsidRPr="00F767C5">
        <w:rPr>
          <w:sz w:val="24"/>
          <w:szCs w:val="24"/>
          <w:lang w:val="mk-MK"/>
        </w:rPr>
        <w:t xml:space="preserve"> од Србија не е нов модел, туку искуство во управување со концентрацијата на економска моќ во мал број стратешки друштва</w:t>
      </w:r>
      <w:r w:rsidR="00316082">
        <w:rPr>
          <w:sz w:val="24"/>
          <w:szCs w:val="24"/>
          <w:lang w:val="mk-MK"/>
        </w:rPr>
        <w:t xml:space="preserve">, нешто што би било од интерес и за дрштвата и за вработените. </w:t>
      </w:r>
    </w:p>
    <w:p w14:paraId="359E2266" w14:textId="08580338" w:rsidR="00FF783F" w:rsidRDefault="00316082" w:rsidP="00B23A85">
      <w:pPr>
        <w:spacing w:before="240"/>
        <w:ind w:firstLine="478"/>
        <w:jc w:val="both"/>
        <w:rPr>
          <w:sz w:val="24"/>
          <w:szCs w:val="24"/>
          <w:lang w:val="mk-MK"/>
        </w:rPr>
      </w:pPr>
      <w:r w:rsidRPr="00316082">
        <w:rPr>
          <w:sz w:val="24"/>
          <w:szCs w:val="24"/>
          <w:lang w:val="mk-MK"/>
        </w:rPr>
        <w:t xml:space="preserve">Трето, меѓусебното влијание не е симетрично, ниту системско. Србија има поголема нормативна и институционална тежина во регионот, но таа не функционира како вистински „нормативен извозник“ во областа на корпоративното управување. Наместо директно правно влијание, постои индиректна конвергенција преку заеднички извори: европското корпоративно право, директивите на ЕУ, препораките на </w:t>
      </w:r>
      <w:r w:rsidR="00CB4BB1">
        <w:rPr>
          <w:sz w:val="24"/>
          <w:szCs w:val="24"/>
          <w:lang w:val="mk-MK"/>
        </w:rPr>
        <w:t>ОЕЦД</w:t>
      </w:r>
      <w:r w:rsidRPr="00316082">
        <w:rPr>
          <w:sz w:val="24"/>
          <w:szCs w:val="24"/>
          <w:lang w:val="mk-MK"/>
        </w:rPr>
        <w:t xml:space="preserve"> и регионалните професионални мрежи.</w:t>
      </w:r>
      <w:r w:rsidR="00CB4BB1">
        <w:rPr>
          <w:rStyle w:val="FootnoteReference"/>
          <w:sz w:val="24"/>
          <w:szCs w:val="24"/>
          <w:lang w:val="mk-MK"/>
        </w:rPr>
        <w:footnoteReference w:id="566"/>
      </w:r>
      <w:r w:rsidRPr="00316082">
        <w:rPr>
          <w:sz w:val="24"/>
          <w:szCs w:val="24"/>
          <w:lang w:val="mk-MK"/>
        </w:rPr>
        <w:t xml:space="preserve"> Македонија и Србија повеќе паралелно се движат во иста патека, отколку што </w:t>
      </w:r>
      <w:r w:rsidR="00CB4BB1">
        <w:rPr>
          <w:sz w:val="24"/>
          <w:szCs w:val="24"/>
          <w:lang w:val="mk-MK"/>
        </w:rPr>
        <w:t xml:space="preserve">учат </w:t>
      </w:r>
      <w:r w:rsidRPr="00316082">
        <w:rPr>
          <w:sz w:val="24"/>
          <w:szCs w:val="24"/>
          <w:lang w:val="mk-MK"/>
        </w:rPr>
        <w:t>една од друга.</w:t>
      </w:r>
    </w:p>
    <w:p w14:paraId="266052E3" w14:textId="2F0A3B8E" w:rsidR="00316082" w:rsidRDefault="00316082" w:rsidP="00B23A85">
      <w:pPr>
        <w:spacing w:before="240"/>
        <w:ind w:firstLine="478"/>
        <w:jc w:val="both"/>
        <w:rPr>
          <w:sz w:val="24"/>
          <w:szCs w:val="24"/>
          <w:lang w:val="mk-MK"/>
        </w:rPr>
      </w:pPr>
      <w:r w:rsidRPr="00316082">
        <w:rPr>
          <w:sz w:val="24"/>
          <w:szCs w:val="24"/>
          <w:lang w:val="mk-MK"/>
        </w:rPr>
        <w:t>Четврто, во контекст на учеството на вработените, српскиот пример дури ја потврдува ограниченоста на доминантниот постсоцијалистички модел. Формалните можности за вклучување на работнички претставници во надзорните одбори кај јавните претпријатија во Србија не доведоа до суштинска промена во рамнотежата на моќта во управувањето. За Македонија, ова претставува негативна лекција: номиналното воведување на работнички претставници, без јасни надлежности и без култура на партиципативно управување, не произведува реален ефект.</w:t>
      </w:r>
      <w:r w:rsidR="008A2423">
        <w:rPr>
          <w:rStyle w:val="FootnoteReference"/>
          <w:sz w:val="24"/>
          <w:szCs w:val="24"/>
          <w:lang w:val="mk-MK"/>
        </w:rPr>
        <w:footnoteReference w:id="567"/>
      </w:r>
    </w:p>
    <w:p w14:paraId="2073B428" w14:textId="77777777" w:rsidR="005D413E" w:rsidRDefault="001E3958" w:rsidP="00B23A85">
      <w:pPr>
        <w:spacing w:before="240"/>
        <w:ind w:firstLine="478"/>
        <w:jc w:val="both"/>
        <w:rPr>
          <w:sz w:val="24"/>
          <w:szCs w:val="24"/>
          <w:lang w:val="mk-MK"/>
        </w:rPr>
      </w:pPr>
      <w:r w:rsidRPr="001E3958">
        <w:rPr>
          <w:sz w:val="24"/>
          <w:szCs w:val="24"/>
          <w:lang w:val="mk-MK"/>
        </w:rPr>
        <w:t>Со цел емпириско тестирање на наодите на оваа докторска дисертација и согледување на нивната рефлексија во практиката</w:t>
      </w:r>
      <w:r w:rsidR="005E2240">
        <w:rPr>
          <w:sz w:val="24"/>
          <w:szCs w:val="24"/>
          <w:lang w:val="mk-MK"/>
        </w:rPr>
        <w:t>,</w:t>
      </w:r>
      <w:r w:rsidR="007024D3">
        <w:rPr>
          <w:sz w:val="24"/>
          <w:szCs w:val="24"/>
          <w:lang w:val="mk-MK"/>
        </w:rPr>
        <w:t xml:space="preserve"> направени</w:t>
      </w:r>
      <w:r w:rsidR="005E2240">
        <w:rPr>
          <w:sz w:val="24"/>
          <w:szCs w:val="24"/>
          <w:lang w:val="mk-MK"/>
        </w:rPr>
        <w:t xml:space="preserve"> се</w:t>
      </w:r>
      <w:r w:rsidR="007024D3">
        <w:rPr>
          <w:sz w:val="24"/>
          <w:szCs w:val="24"/>
          <w:lang w:val="mk-MK"/>
        </w:rPr>
        <w:t xml:space="preserve"> обиди за полуструктурирани</w:t>
      </w:r>
      <w:r w:rsidRPr="001E3958">
        <w:rPr>
          <w:sz w:val="24"/>
          <w:szCs w:val="24"/>
          <w:lang w:val="mk-MK"/>
        </w:rPr>
        <w:t xml:space="preserve"> интервјуа </w:t>
      </w:r>
      <w:r w:rsidR="007024D3">
        <w:rPr>
          <w:sz w:val="24"/>
          <w:szCs w:val="24"/>
          <w:lang w:val="mk-MK"/>
        </w:rPr>
        <w:t>за</w:t>
      </w:r>
      <w:r w:rsidRPr="001E3958">
        <w:rPr>
          <w:sz w:val="24"/>
          <w:szCs w:val="24"/>
          <w:lang w:val="mk-MK"/>
        </w:rPr>
        <w:t xml:space="preserve"> реалните можности за остварување разговори со релевантни чинители од корпоративниот, академскиот и синдикалниот сектор. Теренските наоди укажуваат на изразена резервираност за формално учество во истражувањето, особено кога пристапот беше структуриран преку официјални прашалници и формални процедури. Наспроти тоа, во неформални разговори </w:t>
      </w:r>
      <w:r w:rsidRPr="001E3958">
        <w:rPr>
          <w:sz w:val="24"/>
          <w:szCs w:val="24"/>
          <w:lang w:val="mk-MK"/>
        </w:rPr>
        <w:lastRenderedPageBreak/>
        <w:t>значителен број компании изразија подготвеност да поддржат реформи насочени кон поголемо учество на вработените во корпоративното управување, нагласувајќи дека јасноста, правната сигурност и предвидливоста на правилата би биле во нивна корист</w:t>
      </w:r>
      <w:r w:rsidR="005D413E">
        <w:rPr>
          <w:sz w:val="24"/>
          <w:szCs w:val="24"/>
          <w:lang w:val="mk-MK"/>
        </w:rPr>
        <w:t xml:space="preserve"> и затоа не би ги доживеале како ограничувања. </w:t>
      </w:r>
    </w:p>
    <w:p w14:paraId="78C75BB6" w14:textId="2FB06714" w:rsidR="008933F2" w:rsidRDefault="001E3958" w:rsidP="00B23A85">
      <w:pPr>
        <w:spacing w:before="240"/>
        <w:ind w:firstLine="478"/>
        <w:jc w:val="both"/>
        <w:rPr>
          <w:sz w:val="24"/>
          <w:szCs w:val="24"/>
          <w:lang w:val="mk-MK"/>
        </w:rPr>
      </w:pPr>
      <w:r w:rsidRPr="001E3958">
        <w:rPr>
          <w:sz w:val="24"/>
          <w:szCs w:val="24"/>
          <w:lang w:val="mk-MK"/>
        </w:rPr>
        <w:t>Дополнително, во разговорите беше конзистентно</w:t>
      </w:r>
      <w:r w:rsidR="00CB67F9">
        <w:rPr>
          <w:sz w:val="24"/>
          <w:szCs w:val="24"/>
          <w:lang w:val="mk-MK"/>
        </w:rPr>
        <w:t xml:space="preserve"> потенцирано</w:t>
      </w:r>
      <w:r w:rsidRPr="001E3958">
        <w:rPr>
          <w:sz w:val="24"/>
          <w:szCs w:val="24"/>
          <w:lang w:val="mk-MK"/>
        </w:rPr>
        <w:t xml:space="preserve"> дека компаниите веќе инвестираат значителни финансиски и организациски ресурси во задржување на квалитетниот кадар и во намалување на обртoт на вработени. Притоа, беше јасно препознаена свеста дека платата не е единствениот или доволен инструмент за мотивација, и дека зголемувањето на задоволството и чувството на припадност кај вработените сè почесто се поврзува со можности за вклучување, признавање и учество во процесите на одлучување. Овие наоди ја потврдуваат централната теза на дисертацијата дека отпорот кон учеството на вработените не е примарно економски или менаџерски мотивиран, туку е резултат на институционална неизвесност и недоволно јасна нормативна рамка. </w:t>
      </w:r>
    </w:p>
    <w:p w14:paraId="5F61357F" w14:textId="5ABD8099" w:rsidR="001E3958" w:rsidRDefault="00512CD7" w:rsidP="00B23A85">
      <w:pPr>
        <w:spacing w:before="240"/>
        <w:ind w:firstLine="478"/>
        <w:jc w:val="both"/>
        <w:rPr>
          <w:sz w:val="24"/>
          <w:szCs w:val="24"/>
          <w:lang w:val="mk-MK"/>
        </w:rPr>
      </w:pPr>
      <w:r w:rsidRPr="00512CD7">
        <w:rPr>
          <w:sz w:val="24"/>
          <w:szCs w:val="24"/>
          <w:lang w:val="mk-MK"/>
        </w:rPr>
        <w:t>Практиката покажува дека постои латентна подготвеност за промени,</w:t>
      </w:r>
      <w:r w:rsidR="00EF333A">
        <w:rPr>
          <w:rStyle w:val="FootnoteReference"/>
          <w:sz w:val="24"/>
          <w:szCs w:val="24"/>
          <w:lang w:val="mk-MK"/>
        </w:rPr>
        <w:footnoteReference w:id="568"/>
      </w:r>
      <w:r w:rsidRPr="00512CD7">
        <w:rPr>
          <w:sz w:val="24"/>
          <w:szCs w:val="24"/>
          <w:lang w:val="mk-MK"/>
        </w:rPr>
        <w:t xml:space="preserve"> особено кај поединечни актери во рамките на компаниите и синдикалните структури, но и дека таа подготвеност ретко се артикулира во стабилни и предвидливи институционални решенија.</w:t>
      </w:r>
      <w:r w:rsidR="00F95E60">
        <w:rPr>
          <w:rStyle w:val="FootnoteReference"/>
          <w:sz w:val="24"/>
          <w:szCs w:val="24"/>
          <w:lang w:val="mk-MK"/>
        </w:rPr>
        <w:footnoteReference w:id="569"/>
      </w:r>
      <w:r w:rsidRPr="00512CD7">
        <w:rPr>
          <w:sz w:val="24"/>
          <w:szCs w:val="24"/>
          <w:lang w:val="mk-MK"/>
        </w:rPr>
        <w:t xml:space="preserve"> Во отсуство на јасни правила, ефективни заштитни механизми и доверба во правниот систем, ваквите иницијативи остануваат фрагментарни, неформални и зависни од моментални односи на моќ, наместо да прераснат во трајни модели на учество на вработените</w:t>
      </w:r>
      <w:r w:rsidR="00304344">
        <w:rPr>
          <w:sz w:val="24"/>
          <w:szCs w:val="24"/>
          <w:lang w:val="en-US"/>
        </w:rPr>
        <w:t xml:space="preserve"> </w:t>
      </w:r>
      <w:r w:rsidR="00304344">
        <w:rPr>
          <w:sz w:val="24"/>
          <w:szCs w:val="24"/>
          <w:lang w:val="mk-MK"/>
        </w:rPr>
        <w:t>со што губат сите засегнати страни</w:t>
      </w:r>
      <w:r w:rsidRPr="00512CD7">
        <w:rPr>
          <w:sz w:val="24"/>
          <w:szCs w:val="24"/>
          <w:lang w:val="mk-MK"/>
        </w:rPr>
        <w:t>.</w:t>
      </w:r>
      <w:r w:rsidR="001231EF">
        <w:rPr>
          <w:rStyle w:val="FootnoteReference"/>
          <w:sz w:val="24"/>
          <w:szCs w:val="24"/>
          <w:lang w:val="mk-MK"/>
        </w:rPr>
        <w:footnoteReference w:id="570"/>
      </w:r>
      <w:r w:rsidRPr="00512CD7">
        <w:rPr>
          <w:sz w:val="24"/>
          <w:szCs w:val="24"/>
          <w:lang w:val="mk-MK"/>
        </w:rPr>
        <w:t xml:space="preserve"> Оттука, теренското истражување во Србија не само што ги потврдува теоретските наоди за ограничениот домет на постоечките модели на корпоративно управување, туку и јасно укажува дека реформскиот потенцијал постои. Сепак, тој потенцијал останува во голема мера неискористен поради структурните слабости на нормативната рамка, недоволната институционална поддршка и отсуството на доверба дека правото може да функционира како реален инструмент за балансирање на интересите </w:t>
      </w:r>
      <w:r w:rsidR="00F95E60">
        <w:rPr>
          <w:sz w:val="24"/>
          <w:szCs w:val="24"/>
          <w:lang w:val="mk-MK"/>
        </w:rPr>
        <w:t>по</w:t>
      </w:r>
      <w:r w:rsidRPr="00512CD7">
        <w:rPr>
          <w:sz w:val="24"/>
          <w:szCs w:val="24"/>
          <w:lang w:val="mk-MK"/>
        </w:rPr>
        <w:t>меѓу капиталот и трудот.</w:t>
      </w:r>
      <w:r w:rsidR="00CB67F9">
        <w:rPr>
          <w:rStyle w:val="FootnoteReference"/>
          <w:sz w:val="24"/>
          <w:szCs w:val="24"/>
          <w:lang w:val="mk-MK"/>
        </w:rPr>
        <w:footnoteReference w:id="571"/>
      </w:r>
      <w:r w:rsidRPr="00512CD7">
        <w:rPr>
          <w:sz w:val="24"/>
          <w:szCs w:val="24"/>
          <w:lang w:val="mk-MK"/>
        </w:rPr>
        <w:t xml:space="preserve"> Во таков контекст, учеството на вработените се сведува на декларативна можност, </w:t>
      </w:r>
      <w:r w:rsidR="00F95E60">
        <w:rPr>
          <w:sz w:val="24"/>
          <w:szCs w:val="24"/>
          <w:lang w:val="mk-MK"/>
        </w:rPr>
        <w:t>но не и</w:t>
      </w:r>
      <w:r w:rsidRPr="00512CD7">
        <w:rPr>
          <w:sz w:val="24"/>
          <w:szCs w:val="24"/>
          <w:lang w:val="mk-MK"/>
        </w:rPr>
        <w:t xml:space="preserve"> на функционален елемент на корпоративното управување.</w:t>
      </w:r>
    </w:p>
    <w:p w14:paraId="79F4C288" w14:textId="5CE1C428" w:rsidR="00F72476" w:rsidRPr="00B23A85" w:rsidRDefault="00D333D0" w:rsidP="007E3408">
      <w:pPr>
        <w:spacing w:before="240" w:after="240"/>
        <w:ind w:firstLine="478"/>
        <w:jc w:val="both"/>
        <w:rPr>
          <w:sz w:val="24"/>
          <w:szCs w:val="24"/>
          <w:lang w:val="mk-MK"/>
        </w:rPr>
      </w:pPr>
      <w:r w:rsidRPr="001E3958">
        <w:rPr>
          <w:sz w:val="24"/>
          <w:szCs w:val="24"/>
          <w:lang w:val="mk-MK"/>
        </w:rPr>
        <w:t>Сумирано, би можел</w:t>
      </w:r>
      <w:r>
        <w:rPr>
          <w:sz w:val="24"/>
          <w:szCs w:val="24"/>
          <w:lang w:val="mk-MK"/>
        </w:rPr>
        <w:t>о</w:t>
      </w:r>
      <w:r w:rsidRPr="001E3958">
        <w:rPr>
          <w:sz w:val="24"/>
          <w:szCs w:val="24"/>
          <w:lang w:val="mk-MK"/>
        </w:rPr>
        <w:t xml:space="preserve"> аргументирано да се каже дека Македонија од Србија не може </w:t>
      </w:r>
      <w:r>
        <w:rPr>
          <w:sz w:val="24"/>
          <w:szCs w:val="24"/>
          <w:lang w:val="mk-MK"/>
        </w:rPr>
        <w:t>да извлече поуки</w:t>
      </w:r>
      <w:r w:rsidRPr="001E3958">
        <w:rPr>
          <w:sz w:val="24"/>
          <w:szCs w:val="24"/>
          <w:lang w:val="mk-MK"/>
        </w:rPr>
        <w:t xml:space="preserve"> како да се реформира</w:t>
      </w:r>
      <w:r>
        <w:rPr>
          <w:sz w:val="24"/>
          <w:szCs w:val="24"/>
          <w:lang w:val="mk-MK"/>
        </w:rPr>
        <w:t xml:space="preserve"> во овој поглед</w:t>
      </w:r>
      <w:r w:rsidRPr="001E3958">
        <w:rPr>
          <w:sz w:val="24"/>
          <w:szCs w:val="24"/>
          <w:lang w:val="mk-MK"/>
        </w:rPr>
        <w:t xml:space="preserve">, </w:t>
      </w:r>
      <w:r>
        <w:rPr>
          <w:sz w:val="24"/>
          <w:szCs w:val="24"/>
          <w:lang w:val="mk-MK"/>
        </w:rPr>
        <w:t xml:space="preserve">но може јасно да согледа </w:t>
      </w:r>
      <w:r w:rsidRPr="001E3958">
        <w:rPr>
          <w:sz w:val="24"/>
          <w:szCs w:val="24"/>
          <w:lang w:val="mk-MK"/>
        </w:rPr>
        <w:t xml:space="preserve">каде се границите на постоечкиот модел. Двете држави се повеќе огледала една на друга отколку референтни точки за нормативна трансформација. Оттука, ако Македонија сака да развие позначајни форми на учество на вработените или поинклузивно корпоративно управување, компаративната вредност треба да се бара </w:t>
      </w:r>
      <w:r w:rsidR="005E2240">
        <w:rPr>
          <w:sz w:val="24"/>
          <w:szCs w:val="24"/>
          <w:lang w:val="mk-MK"/>
        </w:rPr>
        <w:t>подалеку од соседството, најпрвин почнувајќи со Република Хрватска</w:t>
      </w:r>
      <w:r w:rsidR="00E37A98">
        <w:rPr>
          <w:sz w:val="24"/>
          <w:szCs w:val="24"/>
          <w:lang w:val="en-US"/>
        </w:rPr>
        <w:t>,</w:t>
      </w:r>
      <w:r w:rsidR="00E37A98">
        <w:rPr>
          <w:sz w:val="24"/>
          <w:szCs w:val="24"/>
          <w:lang w:val="mk-MK"/>
        </w:rPr>
        <w:t xml:space="preserve"> но </w:t>
      </w:r>
      <w:r w:rsidR="008A0391">
        <w:rPr>
          <w:sz w:val="24"/>
          <w:szCs w:val="24"/>
          <w:lang w:val="mk-MK"/>
        </w:rPr>
        <w:t xml:space="preserve">пред тоа вреди да се разгледа случајот на </w:t>
      </w:r>
      <w:r w:rsidR="008A0391" w:rsidRPr="008A0391">
        <w:rPr>
          <w:sz w:val="24"/>
          <w:szCs w:val="24"/>
          <w:lang w:val="mk-MK"/>
        </w:rPr>
        <w:t>Босна и Херцеговин</w:t>
      </w:r>
      <w:r w:rsidR="008A0391">
        <w:rPr>
          <w:sz w:val="24"/>
          <w:szCs w:val="24"/>
          <w:lang w:val="mk-MK"/>
        </w:rPr>
        <w:t>а. Оваа земја е</w:t>
      </w:r>
      <w:r w:rsidR="008A0391" w:rsidRPr="008A0391">
        <w:rPr>
          <w:sz w:val="24"/>
          <w:szCs w:val="24"/>
          <w:lang w:val="mk-MK"/>
        </w:rPr>
        <w:t xml:space="preserve"> важна за споредба затоа што претставува пример на институционална слабост и фрагментација, каде што учеството на вработените е формално присутно во трудовото право, но суштински отсутно од корпоративното управување</w:t>
      </w:r>
      <w:r w:rsidR="00A16C3D">
        <w:rPr>
          <w:sz w:val="24"/>
          <w:szCs w:val="24"/>
          <w:lang w:val="mk-MK"/>
        </w:rPr>
        <w:t xml:space="preserve"> и содржи значајни замки кои Македонија треба да ги избегне. </w:t>
      </w:r>
    </w:p>
    <w:p w14:paraId="19A84BA0" w14:textId="6B1C9161" w:rsidR="00EF3E84" w:rsidRPr="00CE3A06" w:rsidRDefault="00D66BC4" w:rsidP="009330C0">
      <w:pPr>
        <w:pStyle w:val="Heading1"/>
        <w:numPr>
          <w:ilvl w:val="0"/>
          <w:numId w:val="7"/>
        </w:numPr>
        <w:jc w:val="both"/>
      </w:pPr>
      <w:bookmarkStart w:id="69" w:name="_Toc230523922"/>
      <w:r>
        <w:rPr>
          <w:lang w:val="mk-MK"/>
        </w:rPr>
        <w:lastRenderedPageBreak/>
        <w:t>Правниот формализам и случајот на Босна и Херцеговина</w:t>
      </w:r>
      <w:bookmarkEnd w:id="69"/>
    </w:p>
    <w:p w14:paraId="5FC769C3" w14:textId="610B54C3" w:rsidR="00CE3A06" w:rsidRDefault="00F9184A" w:rsidP="00F9184A">
      <w:pPr>
        <w:pStyle w:val="BodyText"/>
        <w:spacing w:before="240"/>
        <w:ind w:firstLine="478"/>
        <w:jc w:val="both"/>
        <w:rPr>
          <w:lang w:val="mk-MK"/>
        </w:rPr>
      </w:pPr>
      <w:r w:rsidRPr="00F9184A">
        <w:rPr>
          <w:lang w:val="mk-MK"/>
        </w:rPr>
        <w:t>Босна и Херцеговина претставува особено комплексен и правно фрагментиран случај во компаративната анализа на учеството на вработените во корпоративното управување. За разлика од унитарните држави, Босна и Херцеговина функционира врз основа на високо децентрализиран уставен систем, составен од два ентитета</w:t>
      </w:r>
      <w:r>
        <w:rPr>
          <w:lang w:val="mk-MK"/>
        </w:rPr>
        <w:t>,</w:t>
      </w:r>
      <w:r w:rsidRPr="00F9184A">
        <w:rPr>
          <w:lang w:val="mk-MK"/>
        </w:rPr>
        <w:t xml:space="preserve"> Федерацијата на Босна и Херцеговина и Република Српска</w:t>
      </w:r>
      <w:r w:rsidR="00036ACE">
        <w:rPr>
          <w:lang w:val="mk-MK"/>
        </w:rPr>
        <w:t xml:space="preserve">, </w:t>
      </w:r>
      <w:r w:rsidRPr="00F9184A">
        <w:rPr>
          <w:lang w:val="mk-MK"/>
        </w:rPr>
        <w:t>како и Брчко Дистриктот како посебна административна единица. Како последица на тоа, корпоративното управување и работните односи се уредуваат првенствено на ентитетско ниво, без единствен</w:t>
      </w:r>
      <w:r w:rsidR="00036ACE">
        <w:rPr>
          <w:lang w:val="mk-MK"/>
        </w:rPr>
        <w:t>а</w:t>
      </w:r>
      <w:r w:rsidRPr="00F9184A">
        <w:rPr>
          <w:lang w:val="mk-MK"/>
        </w:rPr>
        <w:t xml:space="preserve"> и кохерентн</w:t>
      </w:r>
      <w:r w:rsidR="00036ACE">
        <w:rPr>
          <w:lang w:val="mk-MK"/>
        </w:rPr>
        <w:t>а</w:t>
      </w:r>
      <w:r w:rsidRPr="00F9184A">
        <w:rPr>
          <w:lang w:val="mk-MK"/>
        </w:rPr>
        <w:t xml:space="preserve"> држав</w:t>
      </w:r>
      <w:r w:rsidR="00036ACE">
        <w:rPr>
          <w:lang w:val="mk-MK"/>
        </w:rPr>
        <w:t>на</w:t>
      </w:r>
      <w:r w:rsidRPr="00F9184A">
        <w:rPr>
          <w:lang w:val="mk-MK"/>
        </w:rPr>
        <w:t xml:space="preserve"> норматив</w:t>
      </w:r>
      <w:r w:rsidR="00036ACE">
        <w:rPr>
          <w:lang w:val="mk-MK"/>
        </w:rPr>
        <w:t>на рамка</w:t>
      </w:r>
      <w:r w:rsidRPr="00F9184A">
        <w:rPr>
          <w:lang w:val="mk-MK"/>
        </w:rPr>
        <w:t>.</w:t>
      </w:r>
    </w:p>
    <w:p w14:paraId="343372D2" w14:textId="3EC73072" w:rsidR="00473AA2" w:rsidRDefault="00473AA2" w:rsidP="00F9184A">
      <w:pPr>
        <w:pStyle w:val="BodyText"/>
        <w:spacing w:before="240"/>
        <w:ind w:firstLine="478"/>
        <w:jc w:val="both"/>
        <w:rPr>
          <w:lang w:val="mk-MK"/>
        </w:rPr>
      </w:pPr>
      <w:r w:rsidRPr="00473AA2">
        <w:rPr>
          <w:lang w:val="mk-MK"/>
        </w:rPr>
        <w:t>Оваа уставна фрагментација има значајни последици за учеството на вработените. Иако постојат формални правни норми поврзани со корпоративното управување, тие се неусогласени, слабо координирани и често недоследно применувани. Во практиката, учеството на вработените е во голема мера маргинализирано во текот на постсоцијалистичката транзиција, особено во контекст на приватизацијата и реструктурирањето на претпријатијата.</w:t>
      </w:r>
      <w:r w:rsidR="00E96CC0">
        <w:rPr>
          <w:lang w:val="mk-MK"/>
        </w:rPr>
        <w:t xml:space="preserve"> Најзнач</w:t>
      </w:r>
      <w:r w:rsidR="00B022BF">
        <w:rPr>
          <w:lang w:val="mk-MK"/>
        </w:rPr>
        <w:t>а</w:t>
      </w:r>
      <w:r w:rsidR="00E96CC0">
        <w:rPr>
          <w:lang w:val="mk-MK"/>
        </w:rPr>
        <w:t xml:space="preserve">јниот сегмент за Македонија од овој пример е дека простото </w:t>
      </w:r>
      <w:r w:rsidR="00B740EE">
        <w:rPr>
          <w:lang w:val="mk-MK"/>
        </w:rPr>
        <w:t xml:space="preserve">налагање за регулација и воведувањето на законски задолжително учество на вработените не </w:t>
      </w:r>
      <w:r w:rsidR="000F33CA">
        <w:rPr>
          <w:lang w:val="mk-MK"/>
        </w:rPr>
        <w:t xml:space="preserve">води </w:t>
      </w:r>
      <w:r w:rsidR="00B740EE">
        <w:rPr>
          <w:lang w:val="mk-MK"/>
        </w:rPr>
        <w:t>само</w:t>
      </w:r>
      <w:r w:rsidR="000F33CA">
        <w:rPr>
          <w:lang w:val="mk-MK"/>
        </w:rPr>
        <w:t>то</w:t>
      </w:r>
      <w:r w:rsidR="00B740EE">
        <w:rPr>
          <w:lang w:val="mk-MK"/>
        </w:rPr>
        <w:t xml:space="preserve"> по себе </w:t>
      </w:r>
      <w:r w:rsidR="000F33CA">
        <w:rPr>
          <w:lang w:val="mk-MK"/>
        </w:rPr>
        <w:t>д</w:t>
      </w:r>
      <w:r w:rsidR="00B740EE">
        <w:rPr>
          <w:lang w:val="mk-MK"/>
        </w:rPr>
        <w:t>о успешни</w:t>
      </w:r>
      <w:r w:rsidR="000F33CA">
        <w:rPr>
          <w:lang w:val="mk-MK"/>
        </w:rPr>
        <w:t xml:space="preserve"> резултати.</w:t>
      </w:r>
      <w:r w:rsidR="00D13399">
        <w:rPr>
          <w:rStyle w:val="FootnoteReference"/>
          <w:lang w:val="mk-MK"/>
        </w:rPr>
        <w:footnoteReference w:id="572"/>
      </w:r>
    </w:p>
    <w:p w14:paraId="59F1B1B9" w14:textId="3E844210" w:rsidR="000F33CA" w:rsidRDefault="000F33CA" w:rsidP="00F9184A">
      <w:pPr>
        <w:pStyle w:val="BodyText"/>
        <w:spacing w:before="240"/>
        <w:ind w:firstLine="478"/>
        <w:jc w:val="both"/>
        <w:rPr>
          <w:lang w:val="mk-MK"/>
        </w:rPr>
      </w:pPr>
      <w:r w:rsidRPr="000F33CA">
        <w:rPr>
          <w:lang w:val="mk-MK"/>
        </w:rPr>
        <w:t>Корпоративното управување во Босна и Херцеговина е уредено преку ентитетски закони за трговски друштва</w:t>
      </w:r>
      <w:r w:rsidR="00496528">
        <w:rPr>
          <w:lang w:val="mk-MK"/>
        </w:rPr>
        <w:t>,</w:t>
      </w:r>
      <w:r w:rsidR="008C72ED">
        <w:rPr>
          <w:lang w:val="mk-MK"/>
        </w:rPr>
        <w:t xml:space="preserve"> како на пример</w:t>
      </w:r>
      <w:r w:rsidRPr="000F33CA">
        <w:rPr>
          <w:lang w:val="mk-MK"/>
        </w:rPr>
        <w:t xml:space="preserve"> Закон</w:t>
      </w:r>
      <w:r w:rsidR="008C72ED">
        <w:rPr>
          <w:lang w:val="mk-MK"/>
        </w:rPr>
        <w:t>от</w:t>
      </w:r>
      <w:r w:rsidRPr="000F33CA">
        <w:rPr>
          <w:lang w:val="mk-MK"/>
        </w:rPr>
        <w:t xml:space="preserve"> за </w:t>
      </w:r>
      <w:r w:rsidR="008C72ED">
        <w:rPr>
          <w:lang w:val="mk-MK"/>
        </w:rPr>
        <w:t xml:space="preserve">трговски </w:t>
      </w:r>
      <w:r w:rsidRPr="000F33CA">
        <w:rPr>
          <w:lang w:val="mk-MK"/>
        </w:rPr>
        <w:t>друштва на Федерацијата на Босна и Херцеговина</w:t>
      </w:r>
      <w:r w:rsidR="008C72ED">
        <w:rPr>
          <w:lang w:val="mk-MK"/>
        </w:rPr>
        <w:t xml:space="preserve"> и </w:t>
      </w:r>
      <w:r w:rsidRPr="000F33CA">
        <w:rPr>
          <w:lang w:val="mk-MK"/>
        </w:rPr>
        <w:t>Закон</w:t>
      </w:r>
      <w:r w:rsidR="008C72ED">
        <w:rPr>
          <w:lang w:val="mk-MK"/>
        </w:rPr>
        <w:t>от</w:t>
      </w:r>
      <w:r w:rsidRPr="000F33CA">
        <w:rPr>
          <w:lang w:val="mk-MK"/>
        </w:rPr>
        <w:t xml:space="preserve"> за </w:t>
      </w:r>
      <w:r w:rsidR="008C72ED">
        <w:rPr>
          <w:lang w:val="mk-MK"/>
        </w:rPr>
        <w:t>трговски</w:t>
      </w:r>
      <w:r w:rsidRPr="000F33CA">
        <w:rPr>
          <w:lang w:val="mk-MK"/>
        </w:rPr>
        <w:t xml:space="preserve"> друштва на Република Српска.</w:t>
      </w:r>
      <w:r w:rsidR="008C72ED">
        <w:rPr>
          <w:rStyle w:val="FootnoteReference"/>
          <w:lang w:val="mk-MK"/>
        </w:rPr>
        <w:footnoteReference w:id="573"/>
      </w:r>
      <w:r w:rsidRPr="000F33CA">
        <w:rPr>
          <w:lang w:val="mk-MK"/>
        </w:rPr>
        <w:t xml:space="preserve"> Овие закони го уредуваат основањето, управувањето и надзорот на трговските друштва, вклучително и акционерските друштва и друштвата со ограничена одговорност. И двата правни режима дозволуваат избор помеѓу </w:t>
      </w:r>
      <w:r w:rsidR="00B2000B">
        <w:rPr>
          <w:lang w:val="mk-MK"/>
        </w:rPr>
        <w:t>едностепен и двостепен</w:t>
      </w:r>
      <w:r w:rsidRPr="000F33CA">
        <w:rPr>
          <w:lang w:val="mk-MK"/>
        </w:rPr>
        <w:t xml:space="preserve"> систем на управување, но не предвидуваат задолжително учество на вработените во управните или надзорните органи. За разлика од системите како германскиот или холандскиот, учеството на вработените не е поставено како структурен принцип на корпоративното управување. Нормативната рамка дава јасен приоритет на правата на акционерите и на автономијата на управата, што го одразува поширокиот премин кон пазарно ориентирани модели на управување за време на транзицискиот период.</w:t>
      </w:r>
    </w:p>
    <w:p w14:paraId="0E595CE5" w14:textId="0434AD6B" w:rsidR="00B022BF" w:rsidRDefault="008B066B" w:rsidP="00E4389D">
      <w:pPr>
        <w:pStyle w:val="BodyText"/>
        <w:spacing w:before="240"/>
        <w:ind w:firstLine="478"/>
        <w:jc w:val="both"/>
        <w:rPr>
          <w:lang w:val="mk-MK"/>
        </w:rPr>
      </w:pPr>
      <w:r>
        <w:rPr>
          <w:lang w:val="mk-MK"/>
        </w:rPr>
        <w:t>Слично како и во Македонија и Србија, у</w:t>
      </w:r>
      <w:r w:rsidR="001F3510" w:rsidRPr="001F3510">
        <w:rPr>
          <w:lang w:val="mk-MK"/>
        </w:rPr>
        <w:t xml:space="preserve">чеството на вработените во Босна и Херцеговина се реализира првенствено и во ограничен обем, преку механизмите на </w:t>
      </w:r>
      <w:r>
        <w:rPr>
          <w:lang w:val="mk-MK"/>
        </w:rPr>
        <w:t>трудовото</w:t>
      </w:r>
      <w:r w:rsidR="001F3510" w:rsidRPr="001F3510">
        <w:rPr>
          <w:lang w:val="mk-MK"/>
        </w:rPr>
        <w:t xml:space="preserve"> право, а не преку корпоративното управување. Работните односи се уредени со</w:t>
      </w:r>
      <w:r w:rsidR="00C002F0">
        <w:rPr>
          <w:lang w:val="mk-MK"/>
        </w:rPr>
        <w:t xml:space="preserve"> </w:t>
      </w:r>
      <w:r w:rsidR="001F3510" w:rsidRPr="001F3510">
        <w:rPr>
          <w:lang w:val="mk-MK"/>
        </w:rPr>
        <w:t>Законот за работни односи на Федерацијата на Босна и Херцеговина</w:t>
      </w:r>
      <w:r w:rsidR="00C002F0">
        <w:rPr>
          <w:lang w:val="mk-MK"/>
        </w:rPr>
        <w:t xml:space="preserve"> и</w:t>
      </w:r>
      <w:r w:rsidR="001F3510" w:rsidRPr="001F3510">
        <w:rPr>
          <w:lang w:val="mk-MK"/>
        </w:rPr>
        <w:t xml:space="preserve"> Законот за работни односи на Република Српска. Овие закони го признаваат постоењето на синдикати, колективното договарање и одредени форми на информирање и консултација на вработените. Сепак, тие не воспоставуваат работнички совети споредливи со оние во </w:t>
      </w:r>
      <w:r w:rsidR="003410B1">
        <w:rPr>
          <w:lang w:val="mk-MK"/>
        </w:rPr>
        <w:t>западна Европа</w:t>
      </w:r>
      <w:r w:rsidR="001F3510" w:rsidRPr="001F3510">
        <w:rPr>
          <w:lang w:val="mk-MK"/>
        </w:rPr>
        <w:t xml:space="preserve">, ниту пак обезбедуваат институционализирани права на вработените за влијание врз стратешките корпоративни одлуки. Синдикатите остануваат главниот канал за артикулација на интересите на вработените, особено во однос на платите, работните услови и сигурноста на вработувањето. </w:t>
      </w:r>
      <w:r w:rsidR="003410B1">
        <w:rPr>
          <w:lang w:val="mk-MK"/>
        </w:rPr>
        <w:t>На страна од тоа</w:t>
      </w:r>
      <w:r w:rsidR="001F3510" w:rsidRPr="001F3510">
        <w:rPr>
          <w:lang w:val="mk-MK"/>
        </w:rPr>
        <w:t xml:space="preserve">, од 1990-тите наваму, синдикалната застапеност бележи значителен пад, придружен со политичка фрагментација, ограничена преговарачка моќ и слаба извршна заштита на </w:t>
      </w:r>
      <w:r w:rsidR="001F3510" w:rsidRPr="001F3510">
        <w:rPr>
          <w:lang w:val="mk-MK"/>
        </w:rPr>
        <w:lastRenderedPageBreak/>
        <w:t>договорените права.</w:t>
      </w:r>
    </w:p>
    <w:p w14:paraId="79F5069E" w14:textId="50EDEFEC" w:rsidR="003410B1" w:rsidRDefault="00FB4296" w:rsidP="00E4389D">
      <w:pPr>
        <w:pStyle w:val="BodyText"/>
        <w:spacing w:before="240"/>
        <w:ind w:firstLine="478"/>
        <w:jc w:val="both"/>
        <w:rPr>
          <w:lang w:val="mk-MK"/>
        </w:rPr>
      </w:pPr>
      <w:r w:rsidRPr="00FB4296">
        <w:rPr>
          <w:lang w:val="mk-MK"/>
        </w:rPr>
        <w:t xml:space="preserve">Како дел од поранешниот југословенски систем, Босна и Херцеговина наследи изразена традиција на работничко самоуправување, во која вработените формално учествуваа во управувањето со претпријатијата. Сепак, </w:t>
      </w:r>
      <w:r>
        <w:rPr>
          <w:lang w:val="mk-MK"/>
        </w:rPr>
        <w:t>видливо е дека ова</w:t>
      </w:r>
      <w:r w:rsidRPr="00FB4296">
        <w:rPr>
          <w:lang w:val="mk-MK"/>
        </w:rPr>
        <w:t xml:space="preserve"> наследство во голема мер</w:t>
      </w:r>
      <w:r>
        <w:rPr>
          <w:lang w:val="mk-MK"/>
        </w:rPr>
        <w:t>к</w:t>
      </w:r>
      <w:r w:rsidRPr="00FB4296">
        <w:rPr>
          <w:lang w:val="mk-MK"/>
        </w:rPr>
        <w:t>а</w:t>
      </w:r>
      <w:r>
        <w:rPr>
          <w:lang w:val="mk-MK"/>
        </w:rPr>
        <w:t xml:space="preserve"> е</w:t>
      </w:r>
      <w:r w:rsidRPr="00FB4296">
        <w:rPr>
          <w:lang w:val="mk-MK"/>
        </w:rPr>
        <w:t xml:space="preserve"> демонтирано за време на поствоениот процес на приватизација. Приватизацијата во Босна и Херцеговина</w:t>
      </w:r>
      <w:r w:rsidR="00966190">
        <w:rPr>
          <w:lang w:val="mk-MK"/>
        </w:rPr>
        <w:t>, како и во Македонија и Србија,</w:t>
      </w:r>
      <w:r w:rsidRPr="00FB4296">
        <w:rPr>
          <w:lang w:val="mk-MK"/>
        </w:rPr>
        <w:t xml:space="preserve"> се одликуваше со фрагментиран регулаторен надзор</w:t>
      </w:r>
      <w:r w:rsidR="00966190">
        <w:rPr>
          <w:lang w:val="mk-MK"/>
        </w:rPr>
        <w:t>,</w:t>
      </w:r>
      <w:r w:rsidRPr="00FB4296">
        <w:rPr>
          <w:lang w:val="mk-MK"/>
        </w:rPr>
        <w:t xml:space="preserve"> политичко влијание и клиентелизам</w:t>
      </w:r>
      <w:r w:rsidR="00966190">
        <w:rPr>
          <w:lang w:val="mk-MK"/>
        </w:rPr>
        <w:t xml:space="preserve"> и</w:t>
      </w:r>
      <w:r w:rsidRPr="00FB4296">
        <w:rPr>
          <w:lang w:val="mk-MK"/>
        </w:rPr>
        <w:t xml:space="preserve"> слаба заштита на интересите на вработените за време на трансформацијата на сопственоста.</w:t>
      </w:r>
      <w:r w:rsidR="00D03299">
        <w:rPr>
          <w:rStyle w:val="FootnoteReference"/>
          <w:lang w:val="mk-MK"/>
        </w:rPr>
        <w:footnoteReference w:id="574"/>
      </w:r>
      <w:r w:rsidR="009E3A8C">
        <w:rPr>
          <w:lang w:val="en-US"/>
        </w:rPr>
        <w:t xml:space="preserve"> </w:t>
      </w:r>
      <w:r w:rsidR="009E3A8C" w:rsidRPr="009E3A8C">
        <w:rPr>
          <w:lang w:val="mk-MK"/>
        </w:rPr>
        <w:t>Наместо постепено трансформирање на самоуправните структури во современи форми на учество на вработените, тие б</w:t>
      </w:r>
      <w:r w:rsidR="004E7DAD">
        <w:rPr>
          <w:lang w:val="mk-MK"/>
        </w:rPr>
        <w:t>иле</w:t>
      </w:r>
      <w:r w:rsidR="009E3A8C" w:rsidRPr="009E3A8C">
        <w:rPr>
          <w:lang w:val="mk-MK"/>
        </w:rPr>
        <w:t xml:space="preserve"> нагло укинати, што </w:t>
      </w:r>
      <w:r w:rsidR="004E7DAD">
        <w:rPr>
          <w:lang w:val="mk-MK"/>
        </w:rPr>
        <w:t xml:space="preserve">го </w:t>
      </w:r>
      <w:r w:rsidR="009E3A8C" w:rsidRPr="009E3A8C">
        <w:rPr>
          <w:lang w:val="mk-MK"/>
        </w:rPr>
        <w:t>создаде она што може да се опише како партиципативен вакуум. За разлика од Словенија, која задржа елементи на учество преку работнички совети и застапеност на ниво на надзорни одбори, Босна и Херцеговина</w:t>
      </w:r>
      <w:r w:rsidR="005D7993">
        <w:rPr>
          <w:lang w:val="mk-MK"/>
        </w:rPr>
        <w:t>, Србија и Македонија</w:t>
      </w:r>
      <w:r w:rsidR="009E3A8C" w:rsidRPr="009E3A8C">
        <w:rPr>
          <w:lang w:val="mk-MK"/>
        </w:rPr>
        <w:t xml:space="preserve"> не разви</w:t>
      </w:r>
      <w:r w:rsidR="005D7993">
        <w:rPr>
          <w:lang w:val="mk-MK"/>
        </w:rPr>
        <w:t>ја</w:t>
      </w:r>
      <w:r w:rsidR="009E3A8C" w:rsidRPr="009E3A8C">
        <w:rPr>
          <w:lang w:val="mk-MK"/>
        </w:rPr>
        <w:t xml:space="preserve"> функционални институционални замени.</w:t>
      </w:r>
    </w:p>
    <w:p w14:paraId="246FE596" w14:textId="1D0AE509" w:rsidR="00F86621" w:rsidRDefault="00F86621" w:rsidP="00E4389D">
      <w:pPr>
        <w:pStyle w:val="BodyText"/>
        <w:spacing w:before="240"/>
        <w:ind w:firstLine="478"/>
        <w:jc w:val="both"/>
        <w:rPr>
          <w:lang w:val="mk-MK"/>
        </w:rPr>
      </w:pPr>
      <w:r w:rsidRPr="00F86621">
        <w:rPr>
          <w:lang w:val="mk-MK"/>
        </w:rPr>
        <w:t>Во практиката, учеството на вработените во корпоративното одлучување во Босна и Херцеговина е минимално и во најголем дел симболично. Вработените ретко се консултираат</w:t>
      </w:r>
      <w:r w:rsidR="00F801DF">
        <w:rPr>
          <w:lang w:val="mk-MK"/>
        </w:rPr>
        <w:t xml:space="preserve"> дури</w:t>
      </w:r>
      <w:r w:rsidR="007B466B">
        <w:rPr>
          <w:lang w:val="mk-MK"/>
        </w:rPr>
        <w:t xml:space="preserve"> и</w:t>
      </w:r>
      <w:r w:rsidRPr="00F86621">
        <w:rPr>
          <w:lang w:val="mk-MK"/>
        </w:rPr>
        <w:t xml:space="preserve"> при</w:t>
      </w:r>
      <w:r w:rsidR="007B466B">
        <w:rPr>
          <w:lang w:val="mk-MK"/>
        </w:rPr>
        <w:t xml:space="preserve"> најкритичните процеси како</w:t>
      </w:r>
      <w:r w:rsidRPr="00F86621">
        <w:rPr>
          <w:lang w:val="mk-MK"/>
        </w:rPr>
        <w:t xml:space="preserve"> реструктурирањ</w:t>
      </w:r>
      <w:r w:rsidR="007B466B">
        <w:rPr>
          <w:lang w:val="mk-MK"/>
        </w:rPr>
        <w:t>а</w:t>
      </w:r>
      <w:r w:rsidRPr="00F86621">
        <w:rPr>
          <w:lang w:val="mk-MK"/>
        </w:rPr>
        <w:t>, спојувања или стратешка пренасоченост на компаниите, а правните средства за заштита од исклучување се ограничени и тешко достапни. Клучните слабости вклучуваат отсуство на законски утврдени работнички совети</w:t>
      </w:r>
      <w:r w:rsidR="007B466B">
        <w:rPr>
          <w:lang w:val="mk-MK"/>
        </w:rPr>
        <w:t>,</w:t>
      </w:r>
      <w:r w:rsidRPr="00F86621">
        <w:rPr>
          <w:lang w:val="mk-MK"/>
        </w:rPr>
        <w:t xml:space="preserve"> недостиг на права за номинација или избор на претставници на вработените во надзорните органи</w:t>
      </w:r>
      <w:r w:rsidR="007B466B">
        <w:rPr>
          <w:lang w:val="mk-MK"/>
        </w:rPr>
        <w:t>,</w:t>
      </w:r>
      <w:r w:rsidRPr="00F86621">
        <w:rPr>
          <w:lang w:val="mk-MK"/>
        </w:rPr>
        <w:t xml:space="preserve"> слаба инспекциска и судска примена на правото</w:t>
      </w:r>
      <w:r w:rsidR="007B466B">
        <w:rPr>
          <w:lang w:val="mk-MK"/>
        </w:rPr>
        <w:t xml:space="preserve"> и</w:t>
      </w:r>
      <w:r w:rsidRPr="00F86621">
        <w:rPr>
          <w:lang w:val="mk-MK"/>
        </w:rPr>
        <w:t xml:space="preserve"> доминација на политички и акционерски интереси, особено во поранешните државни претпријатија. Како резултат на тоа, корпоративното управување останува во голема мера изолирано од влијанието на вработените, дури и во сектори со висока концентрација на работна сила или со значаен јавен интерес.</w:t>
      </w:r>
      <w:r w:rsidR="00D828CE">
        <w:rPr>
          <w:rStyle w:val="FootnoteReference"/>
          <w:lang w:val="mk-MK"/>
        </w:rPr>
        <w:footnoteReference w:id="575"/>
      </w:r>
    </w:p>
    <w:p w14:paraId="40BB1DDD" w14:textId="302748CF" w:rsidR="00767B7F" w:rsidRDefault="00767B7F" w:rsidP="00E4389D">
      <w:pPr>
        <w:pStyle w:val="BodyText"/>
        <w:spacing w:before="240"/>
        <w:ind w:firstLine="478"/>
        <w:jc w:val="both"/>
        <w:rPr>
          <w:lang w:val="mk-MK"/>
        </w:rPr>
      </w:pPr>
      <w:r w:rsidRPr="00767B7F">
        <w:rPr>
          <w:lang w:val="mk-MK"/>
        </w:rPr>
        <w:t>Во компаративна перспектива, Босна и Херцеговина претставува негативен случај на учество на вработените. Таа јасно покажува дека демонтажата на социјалистичките механизми на учество, без истовремено воспоставување нови институционални рамки, води кон ерозија на работничкиот глас. Во споредба со Словенија, босанскиот случај ја нагласува важноста на институционалниот континуитет и правната адаптација. Во споредба со Србија, тој укажува дека послабата државна капацитетност и уставната фрагментација дополнително ги ограничуваат можностите за значајно учество.</w:t>
      </w:r>
      <w:r w:rsidR="00BB3C49">
        <w:rPr>
          <w:lang w:val="mk-MK"/>
        </w:rPr>
        <w:t xml:space="preserve"> Македонија, доколку итно не преземе чекори</w:t>
      </w:r>
      <w:r w:rsidR="00A71436">
        <w:rPr>
          <w:lang w:val="mk-MK"/>
        </w:rPr>
        <w:t xml:space="preserve"> да воспостави јасен и конкретен систем за учество на вработените во корпоративното управување, ризикува да се доведе во слична ситуација со Босна и Херцеговина.</w:t>
      </w:r>
      <w:r w:rsidR="00596E5D">
        <w:rPr>
          <w:rStyle w:val="FootnoteReference"/>
          <w:lang w:val="mk-MK"/>
        </w:rPr>
        <w:footnoteReference w:id="576"/>
      </w:r>
      <w:r w:rsidRPr="00767B7F">
        <w:rPr>
          <w:lang w:val="mk-MK"/>
        </w:rPr>
        <w:t xml:space="preserve"> Во однос на западноевропските системи, случајот ја истакнува клучната улога на спроведувањето, судскиот пристап и политичката посветеност за одржување на учеството на вработените.</w:t>
      </w:r>
    </w:p>
    <w:p w14:paraId="4730C046" w14:textId="7E57AE87" w:rsidR="009B003B" w:rsidRDefault="009B003B" w:rsidP="00E4389D">
      <w:pPr>
        <w:pStyle w:val="BodyText"/>
        <w:spacing w:before="240"/>
        <w:ind w:firstLine="478"/>
        <w:jc w:val="both"/>
        <w:rPr>
          <w:lang w:val="mk-MK"/>
        </w:rPr>
      </w:pPr>
      <w:r w:rsidRPr="009B003B">
        <w:rPr>
          <w:lang w:val="mk-MK"/>
        </w:rPr>
        <w:t xml:space="preserve">Вклучувањето на Босна и Херцеговина </w:t>
      </w:r>
      <w:r>
        <w:rPr>
          <w:lang w:val="mk-MK"/>
        </w:rPr>
        <w:t xml:space="preserve">во овој дел </w:t>
      </w:r>
      <w:r w:rsidRPr="009B003B">
        <w:rPr>
          <w:lang w:val="mk-MK"/>
        </w:rPr>
        <w:t xml:space="preserve">е аналитички </w:t>
      </w:r>
      <w:r>
        <w:rPr>
          <w:lang w:val="mk-MK"/>
        </w:rPr>
        <w:t>неопходно</w:t>
      </w:r>
      <w:r w:rsidRPr="009B003B">
        <w:rPr>
          <w:lang w:val="mk-MK"/>
        </w:rPr>
        <w:t xml:space="preserve"> затоа што ја прикажува долната граница на учеството на вработените во рамките на европските системи на корпоративно управување. Таа служи како предупредувачки пример за тоа како формалните правни реформи, кога не се поддржани со </w:t>
      </w:r>
      <w:r w:rsidRPr="009B003B">
        <w:rPr>
          <w:lang w:val="mk-MK"/>
        </w:rPr>
        <w:lastRenderedPageBreak/>
        <w:t xml:space="preserve">институционален капацитет и социјален дијалог, не успеваат да обезбедат суштински работнички глас. За реформски ориентирани контексти како Македонија, босанскиот случај јасно покажува дека отсуството на структурирани механизми за учество не е неутрална состојба, туку </w:t>
      </w:r>
      <w:r w:rsidR="00413A32">
        <w:rPr>
          <w:lang w:val="mk-MK"/>
        </w:rPr>
        <w:t>сценарио</w:t>
      </w:r>
      <w:r w:rsidRPr="009B003B">
        <w:rPr>
          <w:lang w:val="mk-MK"/>
        </w:rPr>
        <w:t xml:space="preserve"> што активно ја ослабува демократската отчетност во рамките на компаниите и ја зголемува социјалната ранливост за време на економските трансформации.</w:t>
      </w:r>
      <w:r w:rsidR="00413A32">
        <w:rPr>
          <w:rStyle w:val="FootnoteReference"/>
          <w:lang w:val="mk-MK"/>
        </w:rPr>
        <w:footnoteReference w:id="577"/>
      </w:r>
    </w:p>
    <w:p w14:paraId="0E715CDA" w14:textId="7DB51EB8" w:rsidR="00C26CBC" w:rsidRDefault="00C26CBC" w:rsidP="00E4389D">
      <w:pPr>
        <w:pStyle w:val="BodyText"/>
        <w:spacing w:before="240"/>
        <w:ind w:firstLine="478"/>
        <w:jc w:val="both"/>
        <w:rPr>
          <w:lang w:val="en-US"/>
        </w:rPr>
      </w:pPr>
      <w:r w:rsidRPr="00C26CBC">
        <w:rPr>
          <w:lang w:val="mk-MK"/>
        </w:rPr>
        <w:t xml:space="preserve">Босна и Херцеговина претставува модел на корпоративно управување во кој учеството на вработените е формално признаено преку </w:t>
      </w:r>
      <w:r w:rsidR="00BF6097">
        <w:rPr>
          <w:lang w:val="mk-MK"/>
        </w:rPr>
        <w:t>трудовото</w:t>
      </w:r>
      <w:r w:rsidRPr="00C26CBC">
        <w:rPr>
          <w:lang w:val="mk-MK"/>
        </w:rPr>
        <w:t xml:space="preserve"> право, но структурно исклучено од корпоративното управување. Комбинацијата од уставна фрагментација, слаба примена на правото и постсоцијалистички дисконтинуитет резултира со систем во кој вработените остануваат периферни актери во процесите на корпоративно одлучување. Оттука, босанскиот случај е суштински за компаративната анализа, не како модел што треба да се следи, туку како дијагностички пример што јасно ги илустрира последиците од занемарувањето на учеството на вработените при дизајнирањето на институциите на корпоративното управување.</w:t>
      </w:r>
    </w:p>
    <w:p w14:paraId="697EAF77" w14:textId="5764B4D2" w:rsidR="00571B12" w:rsidRDefault="00571B12" w:rsidP="00E4389D">
      <w:pPr>
        <w:pStyle w:val="BodyText"/>
        <w:spacing w:before="240"/>
        <w:ind w:firstLine="478"/>
        <w:jc w:val="both"/>
        <w:rPr>
          <w:lang w:val="mk-MK"/>
        </w:rPr>
      </w:pPr>
      <w:r w:rsidRPr="00571B12">
        <w:rPr>
          <w:lang w:val="mk-MK"/>
        </w:rPr>
        <w:t>Босанскиот пример претставува јасно предупредување за Македонија во однос на последиците од одложување или половично уредување на учеството на вработените во корпоративното управување. Доколку Македонија итно не преземе чекори за воспоставување јасен, кохерентен и правно обврзувачки систем за учество на вработените, постои реален ризик да се најде во ситуација слична на онаа во Босна и Херцеговина, каде што формалното признавање на работничките права не се трансформира во реално институционално влијание. Во рамките на теренското истражување спроведено во периодот од 1 до 15 мај</w:t>
      </w:r>
      <w:r w:rsidR="008F2897">
        <w:rPr>
          <w:lang w:val="mk-MK"/>
        </w:rPr>
        <w:t xml:space="preserve"> 2025 година</w:t>
      </w:r>
      <w:r w:rsidRPr="00571B12">
        <w:rPr>
          <w:lang w:val="mk-MK"/>
        </w:rPr>
        <w:t>, преку академски престои во Сараево, Мостар и Тузла, со цел да се тестира дали практиката одговара на нормативните решенија, беше утврдено дека состојбата е не само недоволна, туку и полоша од она што го сугерира правната рамка. Ова е особено значајно ако се има предвид сложената кантонска и федеративна структура на Босна и Херцеговина, која дополнително ја разградува одговорноста и ја релативизира примената на правата на вработените, создавајќи систем во кој корпоративното управување е суштински изолирано од социјалниот дијалог</w:t>
      </w:r>
      <w:r w:rsidR="006C2859">
        <w:rPr>
          <w:lang w:val="mk-MK"/>
        </w:rPr>
        <w:t xml:space="preserve"> на штета и на работниците и на компаниите</w:t>
      </w:r>
      <w:r w:rsidRPr="00571B12">
        <w:rPr>
          <w:lang w:val="mk-MK"/>
        </w:rPr>
        <w:t>.</w:t>
      </w:r>
    </w:p>
    <w:p w14:paraId="74914FA1" w14:textId="110D36C2" w:rsidR="006C2859" w:rsidRDefault="0066052F" w:rsidP="00E4389D">
      <w:pPr>
        <w:pStyle w:val="BodyText"/>
        <w:spacing w:before="240"/>
        <w:ind w:firstLine="478"/>
        <w:jc w:val="both"/>
        <w:rPr>
          <w:lang w:val="mk-MK"/>
        </w:rPr>
      </w:pPr>
      <w:r w:rsidRPr="0066052F">
        <w:rPr>
          <w:lang w:val="mk-MK"/>
        </w:rPr>
        <w:t xml:space="preserve">Оваа состојба има директна компаративна релевантност за Македонија. Иако Македонија формално располага со </w:t>
      </w:r>
      <w:r>
        <w:rPr>
          <w:lang w:val="mk-MK"/>
        </w:rPr>
        <w:t>поунифицирани</w:t>
      </w:r>
      <w:r w:rsidRPr="0066052F">
        <w:rPr>
          <w:lang w:val="mk-MK"/>
        </w:rPr>
        <w:t xml:space="preserve"> елементи на информирање и консултација, тие остануваат фрагментарни и недоволно поврзани со структурите на корпоративното управување. Како и во Босна и Херцеговина, учеството на вработените се сведува главно на трудовото право и синдикалното организирање, без институционализиран пристап до органите на управување и надзор</w:t>
      </w:r>
      <w:r w:rsidR="00116A62">
        <w:rPr>
          <w:lang w:val="mk-MK"/>
        </w:rPr>
        <w:t xml:space="preserve"> и со целосно игнорирање на деловното право</w:t>
      </w:r>
      <w:r w:rsidRPr="0066052F">
        <w:rPr>
          <w:lang w:val="mk-MK"/>
        </w:rPr>
        <w:t xml:space="preserve">. </w:t>
      </w:r>
      <w:r w:rsidR="00E56622">
        <w:rPr>
          <w:lang w:val="mk-MK"/>
        </w:rPr>
        <w:t xml:space="preserve">Како што видовме, </w:t>
      </w:r>
      <w:r w:rsidRPr="0066052F">
        <w:rPr>
          <w:lang w:val="mk-MK"/>
        </w:rPr>
        <w:t xml:space="preserve">Европскиот суд за човекови права во континуитет укажува дека правото на здружување и колективно дејствување од член 11 на Европската конвенција за човекови права не смее да биде празна формула, туку мора да биде поддржано со ефективни механизми што овозможуваат реално влијание, како што е нагласено во </w:t>
      </w:r>
      <w:r w:rsidRPr="00E56622">
        <w:rPr>
          <w:i/>
          <w:iCs/>
          <w:lang w:val="mk-MK"/>
        </w:rPr>
        <w:t>Demir and Baykara v Turkey</w:t>
      </w:r>
      <w:r w:rsidRPr="0066052F">
        <w:rPr>
          <w:lang w:val="mk-MK"/>
        </w:rPr>
        <w:t xml:space="preserve"> и </w:t>
      </w:r>
      <w:r w:rsidRPr="00E56622">
        <w:rPr>
          <w:i/>
          <w:iCs/>
          <w:lang w:val="mk-MK"/>
        </w:rPr>
        <w:t>Wilson and Palmer v United Kingdom</w:t>
      </w:r>
      <w:r w:rsidRPr="0066052F">
        <w:rPr>
          <w:lang w:val="mk-MK"/>
        </w:rPr>
        <w:t xml:space="preserve">. Отсуството на такви механизми, како што покажува босанскиот пример, води кон формализација без суштина и постепена маргинализација на вработените од </w:t>
      </w:r>
      <w:r w:rsidRPr="0066052F">
        <w:rPr>
          <w:lang w:val="mk-MK"/>
        </w:rPr>
        <w:lastRenderedPageBreak/>
        <w:t>процесите на одлучување.</w:t>
      </w:r>
    </w:p>
    <w:p w14:paraId="1EB90CB3" w14:textId="152ACDD4" w:rsidR="00E56622" w:rsidRDefault="008B6D42" w:rsidP="00E4389D">
      <w:pPr>
        <w:pStyle w:val="BodyText"/>
        <w:spacing w:before="240"/>
        <w:ind w:firstLine="478"/>
        <w:jc w:val="both"/>
        <w:rPr>
          <w:lang w:val="mk-MK"/>
        </w:rPr>
      </w:pPr>
      <w:r w:rsidRPr="008B6D42">
        <w:rPr>
          <w:lang w:val="mk-MK"/>
        </w:rPr>
        <w:t xml:space="preserve">Дополнително, и Босна и Херцеговина и Македонија се соочуваат со сличен јаз </w:t>
      </w:r>
      <w:r w:rsidR="008F2897">
        <w:rPr>
          <w:lang w:val="mk-MK"/>
        </w:rPr>
        <w:t>по</w:t>
      </w:r>
      <w:r w:rsidRPr="008B6D42">
        <w:rPr>
          <w:lang w:val="mk-MK"/>
        </w:rPr>
        <w:t>меѓу меѓународните обврски и внатрешната имплементација. Европската социјална повелба, како и стандардите утврдени со Конвенциите на МОТ бр. 87, 98 и 135, јасно укажуваат на потребата од заштита и олеснување на активностите на претставниците на вработените.</w:t>
      </w:r>
      <w:r w:rsidR="00517299">
        <w:rPr>
          <w:rStyle w:val="FootnoteReference"/>
          <w:lang w:val="mk-MK"/>
        </w:rPr>
        <w:footnoteReference w:id="578"/>
      </w:r>
      <w:r w:rsidRPr="008B6D42">
        <w:rPr>
          <w:lang w:val="mk-MK"/>
        </w:rPr>
        <w:t xml:space="preserve"> На ниво на Европската унија, Директивата 2002/14/ЕЗ воспоставува минимални стандарди за информирање и консултација на вработените, кои, иако не се директно применливи, претставуваат релевантен нормативен ориентир за Македонија. Босанското искуство покажува дека усогласувањето „на хартија“, без јасни институции, процедури и доверба во правниот систем, не води кон суштинска демократизација на корпоративното управување. Во тој контекст, случаите како </w:t>
      </w:r>
      <w:r w:rsidRPr="00D70024">
        <w:rPr>
          <w:i/>
          <w:iCs/>
          <w:lang w:val="mk-MK"/>
        </w:rPr>
        <w:t>Sørensen and Rasmussen v Denmark</w:t>
      </w:r>
      <w:r w:rsidRPr="008B6D42">
        <w:rPr>
          <w:lang w:val="mk-MK"/>
        </w:rPr>
        <w:t xml:space="preserve"> и </w:t>
      </w:r>
      <w:r w:rsidRPr="00D70024">
        <w:rPr>
          <w:i/>
          <w:iCs/>
          <w:lang w:val="mk-MK"/>
        </w:rPr>
        <w:t>Sindicatul “Păstorul cel Bun” v Romania</w:t>
      </w:r>
      <w:r w:rsidRPr="008B6D42">
        <w:rPr>
          <w:lang w:val="mk-MK"/>
        </w:rPr>
        <w:t xml:space="preserve"> дополнително потсетуваат дека автономијата на работничкото претставување и плурализмот на формите на учество се клучни за функционален систем на индустриски односи.</w:t>
      </w:r>
    </w:p>
    <w:p w14:paraId="51058C84" w14:textId="77777777" w:rsidR="00AA1DC2" w:rsidRDefault="009F1717" w:rsidP="00E4389D">
      <w:pPr>
        <w:pStyle w:val="BodyText"/>
        <w:spacing w:before="240"/>
        <w:ind w:firstLine="478"/>
        <w:jc w:val="both"/>
        <w:rPr>
          <w:lang w:val="mk-MK"/>
        </w:rPr>
      </w:pPr>
      <w:r>
        <w:rPr>
          <w:lang w:val="mk-MK"/>
        </w:rPr>
        <w:t xml:space="preserve">Неколку случаи кои </w:t>
      </w:r>
      <w:r w:rsidRPr="009F1717">
        <w:rPr>
          <w:lang w:val="mk-MK"/>
        </w:rPr>
        <w:t xml:space="preserve">не се за корпоративно управување </w:t>
      </w:r>
      <w:r w:rsidRPr="009F1717">
        <w:rPr>
          <w:i/>
          <w:iCs/>
          <w:lang w:val="mk-MK"/>
        </w:rPr>
        <w:t>per se</w:t>
      </w:r>
      <w:r w:rsidRPr="009F1717">
        <w:rPr>
          <w:lang w:val="mk-MK"/>
        </w:rPr>
        <w:t xml:space="preserve">, </w:t>
      </w:r>
      <w:r>
        <w:rPr>
          <w:lang w:val="mk-MK"/>
        </w:rPr>
        <w:t>се важни во овој поглед затоа</w:t>
      </w:r>
      <w:r w:rsidRPr="009F1717">
        <w:rPr>
          <w:lang w:val="mk-MK"/>
        </w:rPr>
        <w:t xml:space="preserve"> </w:t>
      </w:r>
      <w:r>
        <w:rPr>
          <w:lang w:val="mk-MK"/>
        </w:rPr>
        <w:t>што</w:t>
      </w:r>
      <w:r w:rsidRPr="009F1717">
        <w:rPr>
          <w:lang w:val="mk-MK"/>
        </w:rPr>
        <w:t xml:space="preserve"> градат јуриспруденцијална рамка за институционална одговорност, пристап до правда и ефективност на правата, што е клучно за разбирање зошто учеството на вработените во Босна и Херцеговина е суштински нефункционално. Прво, </w:t>
      </w:r>
      <w:r w:rsidRPr="008467C6">
        <w:rPr>
          <w:i/>
          <w:iCs/>
          <w:lang w:val="mk-MK"/>
        </w:rPr>
        <w:t>Airey v Ireland</w:t>
      </w:r>
      <w:r w:rsidRPr="009F1717">
        <w:rPr>
          <w:lang w:val="mk-MK"/>
        </w:rPr>
        <w:t xml:space="preserve"> е концептуално најважен. Судот таму утврдува дека правата од Конвенцијата не смеат да бидат „теоретски или илузорни“, туку „практични и ефективни“. Овој стандард е директно применлив врз босанскиот модел на корпоративно управување. Во Босна</w:t>
      </w:r>
      <w:r w:rsidR="008467C6">
        <w:rPr>
          <w:lang w:val="mk-MK"/>
        </w:rPr>
        <w:t xml:space="preserve"> и Херцеговина</w:t>
      </w:r>
      <w:r w:rsidRPr="009F1717">
        <w:rPr>
          <w:lang w:val="mk-MK"/>
        </w:rPr>
        <w:t xml:space="preserve"> постојат формални правила за заштита на работничките права и синдикално организирање, но тие не создаваат реални канали за влијание врз управувањето, ниту пак обезбедуваат ефективни правни средства кога вработените се исклучени од процесите на одлучување. Во таа смисла, босанскиот систем претставува класичен пример на „илузорно учество“, што е спротивно на духот на </w:t>
      </w:r>
      <w:r w:rsidRPr="00AA1DC2">
        <w:rPr>
          <w:i/>
          <w:iCs/>
          <w:lang w:val="mk-MK"/>
        </w:rPr>
        <w:t>Airey</w:t>
      </w:r>
      <w:r w:rsidRPr="009F1717">
        <w:rPr>
          <w:lang w:val="mk-MK"/>
        </w:rPr>
        <w:t xml:space="preserve"> и релевантно и за член 6 и член 11 од Конвенцијата. </w:t>
      </w:r>
    </w:p>
    <w:p w14:paraId="787DDD92" w14:textId="77777777" w:rsidR="00517299" w:rsidRDefault="009F1717" w:rsidP="00E4389D">
      <w:pPr>
        <w:pStyle w:val="BodyText"/>
        <w:spacing w:before="240"/>
        <w:ind w:firstLine="478"/>
        <w:jc w:val="both"/>
        <w:rPr>
          <w:lang w:val="mk-MK"/>
        </w:rPr>
      </w:pPr>
      <w:r w:rsidRPr="00AA1DC2">
        <w:rPr>
          <w:i/>
          <w:iCs/>
          <w:lang w:val="mk-MK"/>
        </w:rPr>
        <w:t>Andrejeva v Latvia</w:t>
      </w:r>
      <w:r w:rsidRPr="009F1717">
        <w:rPr>
          <w:lang w:val="mk-MK"/>
        </w:rPr>
        <w:t xml:space="preserve"> е особено корисен за компаративна анализа со постсоцијалистички контексти. Судот таму укажува на структурна дискриминација што произлегува од транзициски правни решенија кои формално се неутрални, но во практика создаваат исклучување. Во Босна, отсуството на институционализирано учество на вработените во корпоративното управување, комбинирано со приватизација и политичка фрагментација, создава сличен ефект</w:t>
      </w:r>
      <w:r w:rsidR="00206264">
        <w:rPr>
          <w:lang w:val="mk-MK"/>
        </w:rPr>
        <w:t>.</w:t>
      </w:r>
      <w:r w:rsidRPr="009F1717">
        <w:rPr>
          <w:lang w:val="mk-MK"/>
        </w:rPr>
        <w:t xml:space="preserve"> </w:t>
      </w:r>
      <w:r w:rsidR="00206264">
        <w:rPr>
          <w:lang w:val="mk-MK"/>
        </w:rPr>
        <w:t>В</w:t>
      </w:r>
      <w:r w:rsidRPr="009F1717">
        <w:rPr>
          <w:lang w:val="mk-MK"/>
        </w:rPr>
        <w:t xml:space="preserve">работените, иако формално еднакви, се системски маргинализирани од економската моќ и одлуките што директно ги засегаат. Ова е особено видливо во поранешните државни и јавни претпријатија. </w:t>
      </w:r>
    </w:p>
    <w:p w14:paraId="6A50DBF0" w14:textId="5745A30C" w:rsidR="00A230F9" w:rsidRDefault="009F1717" w:rsidP="00E4389D">
      <w:pPr>
        <w:pStyle w:val="BodyText"/>
        <w:spacing w:before="240"/>
        <w:ind w:firstLine="478"/>
        <w:jc w:val="both"/>
        <w:rPr>
          <w:lang w:val="mk-MK"/>
        </w:rPr>
      </w:pPr>
      <w:r w:rsidRPr="00517299">
        <w:rPr>
          <w:i/>
          <w:iCs/>
          <w:lang w:val="mk-MK"/>
        </w:rPr>
        <w:t>A and Others v United Kingdom</w:t>
      </w:r>
      <w:r w:rsidRPr="009F1717">
        <w:rPr>
          <w:lang w:val="mk-MK"/>
        </w:rPr>
        <w:t xml:space="preserve"> и </w:t>
      </w:r>
      <w:r w:rsidRPr="00517299">
        <w:rPr>
          <w:i/>
          <w:iCs/>
          <w:lang w:val="mk-MK"/>
        </w:rPr>
        <w:t>Al-Adsani v United Kingdom</w:t>
      </w:r>
      <w:r w:rsidRPr="009F1717">
        <w:rPr>
          <w:lang w:val="mk-MK"/>
        </w:rPr>
        <w:t xml:space="preserve"> не се</w:t>
      </w:r>
      <w:r w:rsidR="00517299">
        <w:rPr>
          <w:lang w:val="mk-MK"/>
        </w:rPr>
        <w:t xml:space="preserve"> деловни или</w:t>
      </w:r>
      <w:r w:rsidRPr="009F1717">
        <w:rPr>
          <w:lang w:val="mk-MK"/>
        </w:rPr>
        <w:t xml:space="preserve"> трудово-правни случаи, но се релевантни поради концептот на институционална деференција и граници на државната одговорност. Судот во овие случаи прифаќа ограничувања на пристапот до правда кога тие се засновани на јасна правна рамка и легитимна цел. Босанскиот проблем е спротивен</w:t>
      </w:r>
      <w:r w:rsidR="00A230F9">
        <w:rPr>
          <w:lang w:val="mk-MK"/>
        </w:rPr>
        <w:t xml:space="preserve"> затоа што</w:t>
      </w:r>
      <w:r w:rsidRPr="009F1717">
        <w:rPr>
          <w:lang w:val="mk-MK"/>
        </w:rPr>
        <w:t xml:space="preserve"> не постои јасна, кохерентна и предвидлива рамка што би ја оправдала исклученоста на вработените од корпоративното управување. Наместо тоа, исклученоста е резултат на нормативни </w:t>
      </w:r>
      <w:r w:rsidRPr="009F1717">
        <w:rPr>
          <w:lang w:val="mk-MK"/>
        </w:rPr>
        <w:lastRenderedPageBreak/>
        <w:t xml:space="preserve">празнини, преклопувања на надлежности и слабости во спроведувањето. Ова ја прави ситуацијата уште </w:t>
      </w:r>
      <w:r w:rsidR="00A230F9">
        <w:rPr>
          <w:lang w:val="mk-MK"/>
        </w:rPr>
        <w:t>по</w:t>
      </w:r>
      <w:r w:rsidRPr="009F1717">
        <w:rPr>
          <w:lang w:val="mk-MK"/>
        </w:rPr>
        <w:t>проблематична од перспектива на член 6, бидејќи ограничувањата не се „правно уредени“, туку де факто произволни.</w:t>
      </w:r>
      <w:r w:rsidR="004E53BC">
        <w:rPr>
          <w:rStyle w:val="FootnoteReference"/>
          <w:lang w:val="mk-MK"/>
        </w:rPr>
        <w:footnoteReference w:id="579"/>
      </w:r>
      <w:r w:rsidRPr="009F1717">
        <w:rPr>
          <w:lang w:val="mk-MK"/>
        </w:rPr>
        <w:t xml:space="preserve"> </w:t>
      </w:r>
    </w:p>
    <w:p w14:paraId="5D73957A" w14:textId="69704804" w:rsidR="003A0D49" w:rsidRDefault="009F1717" w:rsidP="00E4389D">
      <w:pPr>
        <w:pStyle w:val="BodyText"/>
        <w:spacing w:before="240"/>
        <w:ind w:firstLine="478"/>
        <w:jc w:val="both"/>
        <w:rPr>
          <w:lang w:val="mk-MK"/>
        </w:rPr>
      </w:pPr>
      <w:r w:rsidRPr="00A230F9">
        <w:rPr>
          <w:i/>
          <w:iCs/>
          <w:lang w:val="mk-MK"/>
        </w:rPr>
        <w:t>Adefdromil v France</w:t>
      </w:r>
      <w:r w:rsidRPr="009F1717">
        <w:rPr>
          <w:lang w:val="mk-MK"/>
        </w:rPr>
        <w:t xml:space="preserve"> е корисен за споредба бидејќи покажува како Судот прифаќа ограничувања на колективни права во специфични сектори, но само кога тие се компензирани со алтернативни механизми на претставување. Токму тука Босна и Херцеговина потфрла. Иако постојат синдикати, тие не се компензаторен механизам за отсуството на учество во управувањето бидејќи немаат пристап до стратешките одлуки, ниту пак ефективни средства за влијание. Со тоа, босанскиот модел не ги исполнува ни минималните услови што Судот ги смета за прифатливи ограничувања. </w:t>
      </w:r>
      <w:r w:rsidR="00BB7B5B">
        <w:rPr>
          <w:lang w:val="mk-MK"/>
        </w:rPr>
        <w:t>Слично, во</w:t>
      </w:r>
      <w:r w:rsidR="00D751E7" w:rsidRPr="00D751E7">
        <w:rPr>
          <w:lang w:val="mk-MK"/>
        </w:rPr>
        <w:t xml:space="preserve"> </w:t>
      </w:r>
      <w:r w:rsidR="00D751E7" w:rsidRPr="00D751E7">
        <w:rPr>
          <w:i/>
          <w:iCs/>
          <w:lang w:val="mk-MK"/>
        </w:rPr>
        <w:t>Apostolakis v Greece</w:t>
      </w:r>
      <w:r w:rsidR="00D751E7" w:rsidRPr="00D751E7">
        <w:rPr>
          <w:lang w:val="mk-MK"/>
        </w:rPr>
        <w:t>, Судот ја нагласува важноста на процедуралната правичност и правната сигурност во однос на работноправните и социјалните права, особено кога државните органи преземаат мерки што директно влијаат врз статусот и економската положба на поединците. Ова е релевантно за корпоративното управување во Босна, каде што одлуките за преструктурирање, приватизација или управување често се носат без транспарентни процедури и без учество на вработените, што создава состојба на фактичка несигурност и правна непредвидливост спротивна на стандардит</w:t>
      </w:r>
      <w:r w:rsidR="00BA4623">
        <w:rPr>
          <w:lang w:val="mk-MK"/>
        </w:rPr>
        <w:t>е.</w:t>
      </w:r>
      <w:r w:rsidR="00A1245A">
        <w:rPr>
          <w:rStyle w:val="FootnoteReference"/>
          <w:lang w:val="mk-MK"/>
        </w:rPr>
        <w:footnoteReference w:id="580"/>
      </w:r>
    </w:p>
    <w:p w14:paraId="657BDD5B" w14:textId="157ECF9C" w:rsidR="009F1717" w:rsidRDefault="00BA4623" w:rsidP="009834AA">
      <w:pPr>
        <w:pStyle w:val="BodyText"/>
        <w:spacing w:before="240"/>
        <w:ind w:firstLine="478"/>
        <w:jc w:val="both"/>
        <w:rPr>
          <w:lang w:val="mk-MK"/>
        </w:rPr>
      </w:pPr>
      <w:r>
        <w:rPr>
          <w:lang w:val="mk-MK"/>
        </w:rPr>
        <w:t xml:space="preserve">Конечно, </w:t>
      </w:r>
      <w:r w:rsidRPr="00BA4623">
        <w:rPr>
          <w:i/>
          <w:iCs/>
          <w:lang w:val="mk-MK"/>
        </w:rPr>
        <w:t>ASLEF v United Kingdom</w:t>
      </w:r>
      <w:r w:rsidRPr="00BA4623">
        <w:rPr>
          <w:lang w:val="mk-MK"/>
        </w:rPr>
        <w:t xml:space="preserve"> е особено значаен затоа што Судот јасно утврдува дека слободата на здружување вклучува и право на автономија на синдикатите, вклучително и правото да одлучуваат кого ќе претставуваат и како ќе ги артикулираат интересите на своите членови. Пренесено во контекстот на корпоративното управување, овој случај покажува дека системите кои формално дозволуваат синдикално организирање, но практично го лишуваат од институционално влијание врз процесите на одлучување, не го исполнуваат духот на член 11 од Конвенцијата. Во </w:t>
      </w:r>
      <w:r w:rsidRPr="00470AEC">
        <w:rPr>
          <w:i/>
          <w:iCs/>
          <w:lang w:val="mk-MK"/>
        </w:rPr>
        <w:t>Association of Academics v Iceland</w:t>
      </w:r>
      <w:r w:rsidRPr="00BA4623">
        <w:rPr>
          <w:lang w:val="mk-MK"/>
        </w:rPr>
        <w:t xml:space="preserve">, Судот повторно го потврдува принципот дека државите имаат одреден простор на слободна проценка, но дека ограничувањата на колективните права мора да бидат пропорционални и придружени со реални алтернативни механизми за претставување. </w:t>
      </w:r>
      <w:r w:rsidR="009F1717" w:rsidRPr="009F1717">
        <w:rPr>
          <w:lang w:val="mk-MK"/>
        </w:rPr>
        <w:t xml:space="preserve">Гледано заедно, овие случаи овозможуваат да се тврди дека проблемот на Босна и Херцеговина не е само во „недостаток на модел“, туку во структурна неусогласеност со стандардите на ефективност, правна сигурност и институционална одговорност развиени во јуриспруденцијата на Европскиот суд за човекови права. </w:t>
      </w:r>
    </w:p>
    <w:p w14:paraId="57E4EAFF" w14:textId="77777777" w:rsidR="00965F25" w:rsidRDefault="000F428B" w:rsidP="009834AA">
      <w:pPr>
        <w:pStyle w:val="BodyText"/>
        <w:spacing w:before="240"/>
        <w:ind w:firstLine="478"/>
        <w:jc w:val="both"/>
        <w:rPr>
          <w:lang w:val="mk-MK"/>
        </w:rPr>
      </w:pPr>
      <w:r>
        <w:rPr>
          <w:lang w:val="mk-MK"/>
        </w:rPr>
        <w:t>Како што наведуваат Коевски и Спасевски во „Работничко соодлучување-застарен или воскреснат мит за подобро работење на трговските друштва“,</w:t>
      </w:r>
      <w:r w:rsidR="00146ECE">
        <w:rPr>
          <w:lang w:val="mk-MK"/>
        </w:rPr>
        <w:t xml:space="preserve"> </w:t>
      </w:r>
      <w:r w:rsidRPr="000F428B">
        <w:rPr>
          <w:lang w:val="mk-MK"/>
        </w:rPr>
        <w:t>примерот на Федерацијата на Босна и Херцеговина како еден од ентитетите на Босна и Херцеговина</w:t>
      </w:r>
      <w:r w:rsidR="00146ECE">
        <w:rPr>
          <w:lang w:val="mk-MK"/>
        </w:rPr>
        <w:t xml:space="preserve"> е специфичен во уште еден поглед</w:t>
      </w:r>
      <w:r w:rsidRPr="000F428B">
        <w:rPr>
          <w:lang w:val="mk-MK"/>
        </w:rPr>
        <w:t xml:space="preserve">. Во член 205 од </w:t>
      </w:r>
      <w:r w:rsidR="00146ECE">
        <w:rPr>
          <w:lang w:val="mk-MK"/>
        </w:rPr>
        <w:t xml:space="preserve">нивниот </w:t>
      </w:r>
      <w:r w:rsidRPr="000F428B">
        <w:rPr>
          <w:lang w:val="mk-MK"/>
        </w:rPr>
        <w:t xml:space="preserve">Закон за трговските друштва се предвидува можност со статутот на друштвото да се утврди издавање на посебна емисија акции наменети за вработените. За таквата емисија е потребна одлука на собранието на друштвото согласно член 129 од Законот, односно одлука на надзорниот одбор согласно член 130. Дополнително, став 2 од член 205 пропишува дека вкупната номинална вредност на акциите издадени на вработените не може да надмине 5% од основната главнина на друштвото. Понатаму, член 206 од истиот закон содржи специфични ограничувања во однос на располагањето со овие акции. </w:t>
      </w:r>
    </w:p>
    <w:p w14:paraId="360935F7" w14:textId="5C740632" w:rsidR="008519FD" w:rsidRDefault="000F428B" w:rsidP="009834AA">
      <w:pPr>
        <w:pStyle w:val="BodyText"/>
        <w:spacing w:before="240"/>
        <w:ind w:firstLine="478"/>
        <w:jc w:val="both"/>
        <w:rPr>
          <w:lang w:val="mk-MK"/>
        </w:rPr>
      </w:pPr>
      <w:r w:rsidRPr="000F428B">
        <w:rPr>
          <w:lang w:val="mk-MK"/>
        </w:rPr>
        <w:t xml:space="preserve">Прво, нивниот пренос е дозволен исклучиво </w:t>
      </w:r>
      <w:r w:rsidR="009F3E59">
        <w:rPr>
          <w:lang w:val="mk-MK"/>
        </w:rPr>
        <w:t>по</w:t>
      </w:r>
      <w:r w:rsidRPr="000F428B">
        <w:rPr>
          <w:lang w:val="mk-MK"/>
        </w:rPr>
        <w:t xml:space="preserve">меѓу вработените во друштвото. </w:t>
      </w:r>
      <w:r w:rsidRPr="000F428B">
        <w:rPr>
          <w:lang w:val="mk-MK"/>
        </w:rPr>
        <w:lastRenderedPageBreak/>
        <w:t>Второ, правата кои произлегуваат од овие акции престануваат со смртта на работникот или со престанокот на работниот однос. Оттука може да се заклучи дека не станува збор за целосно преносливи акции, туку за посебна категорија акции чиј правен режим е ограничен и поврзан со статусот на вработен во друштвото.</w:t>
      </w:r>
      <w:r w:rsidR="00550476">
        <w:rPr>
          <w:rStyle w:val="FootnoteReference"/>
          <w:lang w:val="mk-MK"/>
        </w:rPr>
        <w:footnoteReference w:id="581"/>
      </w:r>
    </w:p>
    <w:p w14:paraId="7BB8F9CD" w14:textId="637A0DE5" w:rsidR="00CE3A06" w:rsidRPr="008B6D42" w:rsidRDefault="00550476" w:rsidP="00D62F9E">
      <w:pPr>
        <w:pStyle w:val="BodyText"/>
        <w:spacing w:before="240" w:after="240"/>
        <w:ind w:firstLine="478"/>
        <w:jc w:val="both"/>
        <w:rPr>
          <w:lang w:val="mk-MK"/>
        </w:rPr>
      </w:pPr>
      <w:r>
        <w:rPr>
          <w:lang w:val="mk-MK"/>
        </w:rPr>
        <w:t>Оттука</w:t>
      </w:r>
      <w:r w:rsidR="009F3E59">
        <w:rPr>
          <w:lang w:val="mk-MK"/>
        </w:rPr>
        <w:t>,</w:t>
      </w:r>
      <w:r w:rsidR="008B6D42" w:rsidRPr="008B6D42">
        <w:rPr>
          <w:lang w:val="mk-MK"/>
        </w:rPr>
        <w:t xml:space="preserve"> Босна и Херцеговина </w:t>
      </w:r>
      <w:r w:rsidR="008519FD">
        <w:rPr>
          <w:lang w:val="mk-MK"/>
        </w:rPr>
        <w:t>е</w:t>
      </w:r>
      <w:r w:rsidR="008B6D42" w:rsidRPr="008B6D42">
        <w:rPr>
          <w:lang w:val="mk-MK"/>
        </w:rPr>
        <w:t xml:space="preserve"> негативна референтна точка што јасно ги илустрира ризиците од институционална неактивност и нормативна недореченост.</w:t>
      </w:r>
      <w:r w:rsidR="00BE7520">
        <w:rPr>
          <w:rStyle w:val="FootnoteReference"/>
          <w:lang w:val="mk-MK"/>
        </w:rPr>
        <w:footnoteReference w:id="582"/>
      </w:r>
      <w:r w:rsidR="008B6D42" w:rsidRPr="008B6D42">
        <w:rPr>
          <w:lang w:val="mk-MK"/>
        </w:rPr>
        <w:t xml:space="preserve"> За Македонија, ова значи дека одржувањето на статус кво не е неутрална опција, туку избор што може да резултира со трајна маргинализација на вработените и слабеење на демократската легитимност на корпорациите.</w:t>
      </w:r>
      <w:r w:rsidR="005C04B9">
        <w:rPr>
          <w:rStyle w:val="FootnoteReference"/>
          <w:lang w:val="mk-MK"/>
        </w:rPr>
        <w:footnoteReference w:id="583"/>
      </w:r>
      <w:r w:rsidR="008B6D42" w:rsidRPr="008B6D42">
        <w:rPr>
          <w:lang w:val="mk-MK"/>
        </w:rPr>
        <w:t xml:space="preserve"> Оттука, ако Македонија сака да развие позначајни форми на учество на вработените или поинклузивно корпоративно управување, компаративната вредност треба да се бара подалеку од </w:t>
      </w:r>
      <w:r w:rsidR="003A0D49">
        <w:rPr>
          <w:lang w:val="mk-MK"/>
        </w:rPr>
        <w:t>првите примери</w:t>
      </w:r>
      <w:r w:rsidR="008B6D42" w:rsidRPr="008B6D42">
        <w:rPr>
          <w:lang w:val="mk-MK"/>
        </w:rPr>
        <w:t>, најпрвин почнувајќи со Република Хрватска</w:t>
      </w:r>
      <w:r w:rsidR="003A0D49">
        <w:rPr>
          <w:lang w:val="mk-MK"/>
        </w:rPr>
        <w:t>.</w:t>
      </w:r>
    </w:p>
    <w:p w14:paraId="4A3CCF9D" w14:textId="250A5D41" w:rsidR="00773F2C" w:rsidRPr="00D22054" w:rsidRDefault="00773F2C" w:rsidP="009330C0">
      <w:pPr>
        <w:pStyle w:val="Heading1"/>
        <w:numPr>
          <w:ilvl w:val="0"/>
          <w:numId w:val="7"/>
        </w:numPr>
        <w:jc w:val="both"/>
      </w:pPr>
      <w:bookmarkStart w:id="70" w:name="_Toc230523923"/>
      <w:r>
        <w:rPr>
          <w:lang w:val="mk-MK"/>
        </w:rPr>
        <w:t>Уреденоста во Република Хрватска и трите клучни закони</w:t>
      </w:r>
      <w:bookmarkEnd w:id="70"/>
    </w:p>
    <w:p w14:paraId="59E7BF6A" w14:textId="38834514" w:rsidR="001945E0" w:rsidRDefault="00B23ED0" w:rsidP="004F0329">
      <w:pPr>
        <w:spacing w:before="240"/>
        <w:ind w:firstLine="478"/>
        <w:jc w:val="both"/>
        <w:rPr>
          <w:sz w:val="24"/>
          <w:szCs w:val="24"/>
          <w:lang w:val="mk-MK"/>
        </w:rPr>
      </w:pPr>
      <w:r w:rsidRPr="00B23ED0">
        <w:rPr>
          <w:sz w:val="24"/>
          <w:szCs w:val="24"/>
          <w:lang w:val="mk-MK"/>
        </w:rPr>
        <w:t>Корпоративното управување во Хрватска, особено во однос на акционерските друштва и улогата на вработените, покажува значајни сличности со решенијата во Србија. Ова произлегува од заедничката континентално правна традиција и споредливите историско правни фактори кои го обликувале институционалниот развој во двете држави. Во двата правни системи доминира затворен модел на корпоративно управување, кој се карактеризира со висока концентрација на сопственост и ограничено влијание на пазарот на капитал. Иако ваквата структура може да придонесе за стабилни сопственички односи и долгорочно стратешко планирање, таа истовремено создава предизвици во заштитата на малцинските акционери и во обезбедувањето високо ниво на деловна транспарентност.</w:t>
      </w:r>
      <w:r w:rsidR="00706B3F">
        <w:rPr>
          <w:rStyle w:val="FootnoteReference"/>
          <w:sz w:val="24"/>
          <w:szCs w:val="24"/>
          <w:lang w:val="mk-MK"/>
        </w:rPr>
        <w:footnoteReference w:id="584"/>
      </w:r>
      <w:r w:rsidR="00497CAB">
        <w:rPr>
          <w:sz w:val="24"/>
          <w:szCs w:val="24"/>
          <w:lang w:val="mk-MK"/>
        </w:rPr>
        <w:t xml:space="preserve"> Оттука, </w:t>
      </w:r>
      <w:r w:rsidR="00EE6060">
        <w:rPr>
          <w:sz w:val="24"/>
          <w:szCs w:val="24"/>
          <w:lang w:val="mk-MK"/>
        </w:rPr>
        <w:t>најголем дел од забелешките и сличностите во однос</w:t>
      </w:r>
      <w:r w:rsidR="008E5A6C">
        <w:rPr>
          <w:sz w:val="24"/>
          <w:szCs w:val="24"/>
          <w:lang w:val="mk-MK"/>
        </w:rPr>
        <w:t xml:space="preserve"> на споредбите помеѓу Македонија и Србија, одговараат и во овој дел, но со значителни разлики кои ќе бидат потенцирани подолу.</w:t>
      </w:r>
      <w:r w:rsidR="002C5867">
        <w:rPr>
          <w:rStyle w:val="FootnoteReference"/>
          <w:sz w:val="24"/>
          <w:szCs w:val="24"/>
          <w:lang w:val="mk-MK"/>
        </w:rPr>
        <w:footnoteReference w:id="585"/>
      </w:r>
      <w:r w:rsidR="008E5A6C">
        <w:rPr>
          <w:sz w:val="24"/>
          <w:szCs w:val="24"/>
          <w:lang w:val="mk-MK"/>
        </w:rPr>
        <w:t xml:space="preserve"> </w:t>
      </w:r>
    </w:p>
    <w:p w14:paraId="21208297" w14:textId="722E9043" w:rsidR="00862C57" w:rsidRDefault="00F84579" w:rsidP="00C14349">
      <w:pPr>
        <w:spacing w:before="240"/>
        <w:ind w:firstLine="478"/>
        <w:jc w:val="both"/>
        <w:rPr>
          <w:sz w:val="24"/>
          <w:szCs w:val="24"/>
          <w:lang w:val="mk-MK"/>
        </w:rPr>
      </w:pPr>
      <w:r w:rsidRPr="00F84579">
        <w:rPr>
          <w:sz w:val="24"/>
          <w:szCs w:val="24"/>
          <w:lang w:val="mk-MK"/>
        </w:rPr>
        <w:t>Во рамките на законодавната регулатива</w:t>
      </w:r>
      <w:r w:rsidR="001820E2">
        <w:rPr>
          <w:sz w:val="24"/>
          <w:szCs w:val="24"/>
          <w:lang w:val="mk-MK"/>
        </w:rPr>
        <w:t xml:space="preserve"> во Хрватска</w:t>
      </w:r>
      <w:r w:rsidRPr="00F84579">
        <w:rPr>
          <w:sz w:val="24"/>
          <w:szCs w:val="24"/>
          <w:lang w:val="mk-MK"/>
        </w:rPr>
        <w:t>, вработените се признаени како релевантни чинители,</w:t>
      </w:r>
      <w:r w:rsidR="0069688F">
        <w:rPr>
          <w:rStyle w:val="FootnoteReference"/>
          <w:sz w:val="24"/>
          <w:szCs w:val="24"/>
          <w:lang w:val="mk-MK"/>
        </w:rPr>
        <w:footnoteReference w:id="586"/>
      </w:r>
      <w:r w:rsidRPr="00F84579">
        <w:rPr>
          <w:sz w:val="24"/>
          <w:szCs w:val="24"/>
          <w:lang w:val="mk-MK"/>
        </w:rPr>
        <w:t xml:space="preserve"> а принципите на транспарентност, отчетност и етички однос кон работната сила се интегрирани во политиките на корпоративно управување, во согласност со современите европски стандарди.</w:t>
      </w:r>
      <w:r w:rsidR="00B85700">
        <w:rPr>
          <w:rStyle w:val="FootnoteReference"/>
          <w:sz w:val="24"/>
          <w:szCs w:val="24"/>
          <w:lang w:val="mk-MK"/>
        </w:rPr>
        <w:footnoteReference w:id="587"/>
      </w:r>
      <w:r w:rsidRPr="00F84579">
        <w:rPr>
          <w:sz w:val="24"/>
          <w:szCs w:val="24"/>
          <w:lang w:val="mk-MK"/>
        </w:rPr>
        <w:t xml:space="preserve"> Посебен акцент се става на заштитата на малцинските акционери и регулирањето на статусните промени кај трговските друштва, со што се зајакнуваат механизмите на институционална отчетност</w:t>
      </w:r>
      <w:r w:rsidR="00F6332C">
        <w:rPr>
          <w:sz w:val="24"/>
          <w:szCs w:val="24"/>
          <w:lang w:val="en-US"/>
        </w:rPr>
        <w:t>.</w:t>
      </w:r>
      <w:r w:rsidR="00F6332C">
        <w:rPr>
          <w:rStyle w:val="FootnoteReference"/>
          <w:sz w:val="24"/>
          <w:szCs w:val="24"/>
          <w:lang w:val="en-US"/>
        </w:rPr>
        <w:footnoteReference w:id="588"/>
      </w:r>
      <w:r w:rsidR="0033505D" w:rsidRPr="0033505D">
        <w:rPr>
          <w:sz w:val="24"/>
          <w:szCs w:val="24"/>
          <w:lang w:val="mk-MK"/>
        </w:rPr>
        <w:t xml:space="preserve"> </w:t>
      </w:r>
      <w:r w:rsidR="0033505D">
        <w:rPr>
          <w:sz w:val="24"/>
          <w:szCs w:val="24"/>
          <w:lang w:val="mk-MK"/>
        </w:rPr>
        <w:t>О</w:t>
      </w:r>
      <w:r w:rsidR="0033505D" w:rsidRPr="00862C57">
        <w:rPr>
          <w:sz w:val="24"/>
          <w:szCs w:val="24"/>
          <w:lang w:val="mk-MK"/>
        </w:rPr>
        <w:t xml:space="preserve">сновниот закон што го уредува корпоративното управување, вклучително </w:t>
      </w:r>
      <w:r w:rsidR="0033505D" w:rsidRPr="00862C57">
        <w:rPr>
          <w:sz w:val="24"/>
          <w:szCs w:val="24"/>
          <w:lang w:val="mk-MK"/>
        </w:rPr>
        <w:lastRenderedPageBreak/>
        <w:t>и организацијата на акционерските друштва, моделите на управување,</w:t>
      </w:r>
      <w:r w:rsidR="00C14349">
        <w:rPr>
          <w:rStyle w:val="FootnoteReference"/>
          <w:sz w:val="24"/>
          <w:szCs w:val="24"/>
          <w:lang w:val="mk-MK"/>
        </w:rPr>
        <w:footnoteReference w:id="589"/>
      </w:r>
      <w:r w:rsidR="0033505D" w:rsidRPr="00862C57">
        <w:rPr>
          <w:sz w:val="24"/>
          <w:szCs w:val="24"/>
          <w:lang w:val="mk-MK"/>
        </w:rPr>
        <w:t xml:space="preserve"> надлежностите на управниот и надзорниот одбор и општите правила за корпоративна структура</w:t>
      </w:r>
      <w:r w:rsidR="00C14349">
        <w:rPr>
          <w:sz w:val="24"/>
          <w:szCs w:val="24"/>
          <w:lang w:val="mk-MK"/>
        </w:rPr>
        <w:t xml:space="preserve"> е Законот за трговските друштва.</w:t>
      </w:r>
      <w:r w:rsidR="00C14349">
        <w:rPr>
          <w:rStyle w:val="FootnoteReference"/>
          <w:sz w:val="24"/>
          <w:szCs w:val="24"/>
          <w:lang w:val="mk-MK"/>
        </w:rPr>
        <w:footnoteReference w:id="590"/>
      </w:r>
      <w:r w:rsidR="00C14349">
        <w:rPr>
          <w:sz w:val="24"/>
          <w:szCs w:val="24"/>
          <w:lang w:val="mk-MK"/>
        </w:rPr>
        <w:t xml:space="preserve"> </w:t>
      </w:r>
      <w:r w:rsidR="00862C57" w:rsidRPr="00862C57">
        <w:rPr>
          <w:sz w:val="24"/>
          <w:szCs w:val="24"/>
          <w:lang w:val="mk-MK"/>
        </w:rPr>
        <w:t>Покрај него, за прашањето на учеството на вработените релевантни се и</w:t>
      </w:r>
      <w:r w:rsidR="00C27407">
        <w:rPr>
          <w:sz w:val="24"/>
          <w:szCs w:val="24"/>
          <w:lang w:val="mk-MK"/>
        </w:rPr>
        <w:t xml:space="preserve"> Законот за учеството на работникот во одлучувањето,</w:t>
      </w:r>
      <w:r w:rsidR="0069688F">
        <w:rPr>
          <w:rStyle w:val="FootnoteReference"/>
          <w:sz w:val="24"/>
          <w:szCs w:val="24"/>
          <w:lang w:val="mk-MK"/>
        </w:rPr>
        <w:footnoteReference w:id="591"/>
      </w:r>
      <w:r w:rsidR="00C27407">
        <w:rPr>
          <w:sz w:val="24"/>
          <w:szCs w:val="24"/>
          <w:lang w:val="mk-MK"/>
        </w:rPr>
        <w:t xml:space="preserve"> кој</w:t>
      </w:r>
      <w:r w:rsidR="0069688F">
        <w:rPr>
          <w:sz w:val="24"/>
          <w:szCs w:val="24"/>
          <w:lang w:val="mk-MK"/>
        </w:rPr>
        <w:t xml:space="preserve"> </w:t>
      </w:r>
      <w:r w:rsidR="00862C57" w:rsidRPr="00862C57">
        <w:rPr>
          <w:sz w:val="24"/>
          <w:szCs w:val="24"/>
          <w:lang w:val="mk-MK"/>
        </w:rPr>
        <w:t>експлицитно го уредува учеството во одлучувањето, вклучително и правото на работниците да избираат свои претставници во надзорните одбори на одредени акционерски друштва, по модел инспириран од германското кодетерминациско право.</w:t>
      </w:r>
      <w:r w:rsidR="00B12E04">
        <w:rPr>
          <w:rStyle w:val="FootnoteReference"/>
          <w:sz w:val="24"/>
          <w:szCs w:val="24"/>
          <w:lang w:val="mk-MK"/>
        </w:rPr>
        <w:footnoteReference w:id="592"/>
      </w:r>
      <w:r w:rsidR="00862C57" w:rsidRPr="00862C57">
        <w:rPr>
          <w:sz w:val="24"/>
          <w:szCs w:val="24"/>
          <w:lang w:val="mk-MK"/>
        </w:rPr>
        <w:t xml:space="preserve"> </w:t>
      </w:r>
      <w:r w:rsidR="00113E50">
        <w:rPr>
          <w:sz w:val="24"/>
          <w:szCs w:val="24"/>
          <w:lang w:val="mk-MK"/>
        </w:rPr>
        <w:t>Конечно, Законот за трудот</w:t>
      </w:r>
      <w:r w:rsidR="00862C57" w:rsidRPr="00862C57">
        <w:rPr>
          <w:sz w:val="24"/>
          <w:szCs w:val="24"/>
          <w:lang w:val="mk-MK"/>
        </w:rPr>
        <w:t xml:space="preserve"> </w:t>
      </w:r>
      <w:r w:rsidR="00113E50">
        <w:rPr>
          <w:sz w:val="24"/>
          <w:szCs w:val="24"/>
          <w:lang w:val="mk-MK"/>
        </w:rPr>
        <w:t>г</w:t>
      </w:r>
      <w:r w:rsidR="00862C57" w:rsidRPr="00862C57">
        <w:rPr>
          <w:sz w:val="24"/>
          <w:szCs w:val="24"/>
          <w:lang w:val="mk-MK"/>
        </w:rPr>
        <w:t xml:space="preserve">и уредува правата на информирање, консултација и синдикално учество на вработените, но не го заменува институционалното учество во органите на управување, кое е предмет на посебниот закон за </w:t>
      </w:r>
      <w:r w:rsidR="00CB794C">
        <w:rPr>
          <w:sz w:val="24"/>
          <w:szCs w:val="24"/>
          <w:lang w:val="mk-MK"/>
        </w:rPr>
        <w:t>учеството</w:t>
      </w:r>
      <w:r w:rsidR="00862C57" w:rsidRPr="00862C57">
        <w:rPr>
          <w:sz w:val="24"/>
          <w:szCs w:val="24"/>
          <w:lang w:val="mk-MK"/>
        </w:rPr>
        <w:t xml:space="preserve"> на работниците.</w:t>
      </w:r>
      <w:r w:rsidR="00113E50">
        <w:rPr>
          <w:rStyle w:val="FootnoteReference"/>
          <w:sz w:val="24"/>
          <w:szCs w:val="24"/>
          <w:lang w:val="mk-MK"/>
        </w:rPr>
        <w:footnoteReference w:id="593"/>
      </w:r>
    </w:p>
    <w:p w14:paraId="687DD3D9" w14:textId="5539CC36" w:rsidR="00B12E04" w:rsidRDefault="007C1FAD" w:rsidP="0040717A">
      <w:pPr>
        <w:spacing w:before="240"/>
        <w:ind w:firstLine="478"/>
        <w:jc w:val="both"/>
        <w:rPr>
          <w:sz w:val="24"/>
          <w:szCs w:val="24"/>
          <w:lang w:val="mk-MK"/>
        </w:rPr>
      </w:pPr>
      <w:r>
        <w:rPr>
          <w:sz w:val="24"/>
          <w:szCs w:val="24"/>
          <w:lang w:val="mk-MK"/>
        </w:rPr>
        <w:t xml:space="preserve">Во Македонија, проблематиката на првиот и третиот закон е регулирана во своите пандани во национални рамки, додека </w:t>
      </w:r>
      <w:r w:rsidR="0040717A" w:rsidRPr="0040717A">
        <w:rPr>
          <w:sz w:val="24"/>
          <w:szCs w:val="24"/>
          <w:lang w:val="mk-MK"/>
        </w:rPr>
        <w:t>Законот за учеството на работникот во одлучувањето</w:t>
      </w:r>
      <w:r w:rsidR="0040717A">
        <w:rPr>
          <w:sz w:val="24"/>
          <w:szCs w:val="24"/>
          <w:lang w:val="mk-MK"/>
        </w:rPr>
        <w:t xml:space="preserve"> целосно отсуствува. </w:t>
      </w:r>
      <w:r w:rsidR="00B12E04" w:rsidRPr="00B12E04">
        <w:rPr>
          <w:sz w:val="24"/>
          <w:szCs w:val="24"/>
          <w:lang w:val="mk-MK"/>
        </w:rPr>
        <w:t>Законот за трговски друштва</w:t>
      </w:r>
      <w:r w:rsidR="0040717A">
        <w:rPr>
          <w:sz w:val="24"/>
          <w:szCs w:val="24"/>
          <w:lang w:val="mk-MK"/>
        </w:rPr>
        <w:t xml:space="preserve"> на Република Хрватска</w:t>
      </w:r>
      <w:r w:rsidR="00B12E04" w:rsidRPr="00B12E04">
        <w:rPr>
          <w:sz w:val="24"/>
          <w:szCs w:val="24"/>
          <w:lang w:val="mk-MK"/>
        </w:rPr>
        <w:t xml:space="preserve"> овозможува избор помеѓу едностепен и двостепен систем на управување. Во практиката, двостепениот модел доминира кај големите компании, особено кај оние котирани на Загребската берза. Овој модел предвидува раздвојување на управувачките и надзорните функции, со што се зголемува контролата врз работењето на управата. Компании како Podravka и Ericsson Nikola Tesla успешно го применуваат овој модел</w:t>
      </w:r>
      <w:r w:rsidR="003F151D">
        <w:rPr>
          <w:sz w:val="24"/>
          <w:szCs w:val="24"/>
          <w:lang w:val="mk-MK"/>
        </w:rPr>
        <w:t>.</w:t>
      </w:r>
      <w:r w:rsidR="003F151D">
        <w:rPr>
          <w:rStyle w:val="FootnoteReference"/>
          <w:sz w:val="24"/>
          <w:szCs w:val="24"/>
          <w:lang w:val="mk-MK"/>
        </w:rPr>
        <w:footnoteReference w:id="594"/>
      </w:r>
      <w:r w:rsidR="0094129D">
        <w:rPr>
          <w:sz w:val="24"/>
          <w:szCs w:val="24"/>
          <w:lang w:val="mk-MK"/>
        </w:rPr>
        <w:t xml:space="preserve"> </w:t>
      </w:r>
    </w:p>
    <w:p w14:paraId="5B65662B" w14:textId="5E37134F" w:rsidR="0094129D" w:rsidRDefault="0094129D" w:rsidP="0040717A">
      <w:pPr>
        <w:spacing w:before="240"/>
        <w:ind w:firstLine="478"/>
        <w:jc w:val="both"/>
        <w:rPr>
          <w:sz w:val="24"/>
          <w:szCs w:val="24"/>
          <w:lang w:val="mk-MK"/>
        </w:rPr>
      </w:pPr>
      <w:r w:rsidRPr="0094129D">
        <w:rPr>
          <w:sz w:val="24"/>
          <w:szCs w:val="24"/>
          <w:lang w:val="mk-MK"/>
        </w:rPr>
        <w:t xml:space="preserve">Емпириска студија спроведена врз 109 хрватски компании утврди дека надзорните одбори во просек имаат од четири до пет членови. Оваа големина на одборот е поврзана со пониски агенциски трошоци, што упатува на поефикасно донесување одлуки и подобра координација </w:t>
      </w:r>
      <w:r w:rsidR="00230D83">
        <w:rPr>
          <w:sz w:val="24"/>
          <w:szCs w:val="24"/>
          <w:lang w:val="mk-MK"/>
        </w:rPr>
        <w:t>по</w:t>
      </w:r>
      <w:r w:rsidRPr="0094129D">
        <w:rPr>
          <w:sz w:val="24"/>
          <w:szCs w:val="24"/>
          <w:lang w:val="mk-MK"/>
        </w:rPr>
        <w:t>меѓу членовите. Сепак, истата студија покажува дека високата концентрација на сопственост не води нужно кон дополнително намалување на овие трошоци. Ова укажува дека сопственичката структура сама по себе не е доволна за подобрување на корпоративното управување и го потврдува ограничениот практичен ефект на институционалните реформи.</w:t>
      </w:r>
      <w:r w:rsidR="00EE74C4">
        <w:rPr>
          <w:rStyle w:val="FootnoteReference"/>
          <w:sz w:val="24"/>
          <w:szCs w:val="24"/>
          <w:lang w:val="mk-MK"/>
        </w:rPr>
        <w:footnoteReference w:id="595"/>
      </w:r>
      <w:r w:rsidR="00930901">
        <w:rPr>
          <w:sz w:val="24"/>
          <w:szCs w:val="24"/>
          <w:lang w:val="mk-MK"/>
        </w:rPr>
        <w:t xml:space="preserve"> Во тој поглед, у</w:t>
      </w:r>
      <w:r w:rsidR="00930901" w:rsidRPr="00930901">
        <w:rPr>
          <w:sz w:val="24"/>
          <w:szCs w:val="24"/>
          <w:lang w:val="mk-MK"/>
        </w:rPr>
        <w:t>согласувањето со европските ESG стандарди значајно влијаеше врз обврските на директорите. Со закон, тие се должни да го водат друштвото во интерес на акционерите, вработените и пошироката заедница, при почитување на работничките права, еднаквите можности и принципите на општествена одговорност.</w:t>
      </w:r>
      <w:r w:rsidR="00E8094A">
        <w:rPr>
          <w:rStyle w:val="FootnoteReference"/>
          <w:sz w:val="24"/>
          <w:szCs w:val="24"/>
          <w:lang w:val="mk-MK"/>
        </w:rPr>
        <w:footnoteReference w:id="596"/>
      </w:r>
    </w:p>
    <w:p w14:paraId="47002D34" w14:textId="7426BBC2" w:rsidR="002B72C8" w:rsidRDefault="002B72C8" w:rsidP="0040717A">
      <w:pPr>
        <w:spacing w:before="240"/>
        <w:ind w:firstLine="478"/>
        <w:jc w:val="both"/>
        <w:rPr>
          <w:sz w:val="24"/>
          <w:szCs w:val="24"/>
          <w:lang w:val="mk-MK"/>
        </w:rPr>
      </w:pPr>
      <w:r w:rsidRPr="002B72C8">
        <w:rPr>
          <w:sz w:val="24"/>
          <w:szCs w:val="24"/>
          <w:lang w:val="mk-MK"/>
        </w:rPr>
        <w:t>Во Хрватска нема централизирани официјални податоци кои јасно ги наведуваат вкупниот број на акционерски друштва и вкупниот број на издадени акции регистрирани во најновите години. Историските процен</w:t>
      </w:r>
      <w:r>
        <w:rPr>
          <w:sz w:val="24"/>
          <w:szCs w:val="24"/>
          <w:lang w:val="mk-MK"/>
        </w:rPr>
        <w:t>к</w:t>
      </w:r>
      <w:r w:rsidRPr="002B72C8">
        <w:rPr>
          <w:sz w:val="24"/>
          <w:szCs w:val="24"/>
          <w:lang w:val="mk-MK"/>
        </w:rPr>
        <w:t xml:space="preserve">и укажуваат дека во минатото имало приближно околу 3.000 акционерски друштва, </w:t>
      </w:r>
      <w:r w:rsidR="006842E7">
        <w:rPr>
          <w:sz w:val="24"/>
          <w:szCs w:val="24"/>
          <w:lang w:val="mk-MK"/>
        </w:rPr>
        <w:t>што слично како во Србија и Македонија го претс</w:t>
      </w:r>
      <w:r w:rsidR="00444CAD">
        <w:rPr>
          <w:sz w:val="24"/>
          <w:szCs w:val="24"/>
          <w:lang w:val="mk-MK"/>
        </w:rPr>
        <w:t>т</w:t>
      </w:r>
      <w:r w:rsidR="006842E7">
        <w:rPr>
          <w:sz w:val="24"/>
          <w:szCs w:val="24"/>
          <w:lang w:val="mk-MK"/>
        </w:rPr>
        <w:t>авувало</w:t>
      </w:r>
      <w:r w:rsidRPr="002B72C8">
        <w:rPr>
          <w:sz w:val="24"/>
          <w:szCs w:val="24"/>
          <w:lang w:val="mk-MK"/>
        </w:rPr>
        <w:t xml:space="preserve"> мал</w:t>
      </w:r>
      <w:r w:rsidR="006842E7">
        <w:rPr>
          <w:sz w:val="24"/>
          <w:szCs w:val="24"/>
          <w:lang w:val="mk-MK"/>
        </w:rPr>
        <w:t>цинскиот</w:t>
      </w:r>
      <w:r w:rsidRPr="002B72C8">
        <w:rPr>
          <w:sz w:val="24"/>
          <w:szCs w:val="24"/>
          <w:lang w:val="mk-MK"/>
        </w:rPr>
        <w:t xml:space="preserve"> дел од вкупните деловни субјекти, при што релативно </w:t>
      </w:r>
      <w:r w:rsidRPr="002B72C8">
        <w:rPr>
          <w:sz w:val="24"/>
          <w:szCs w:val="24"/>
          <w:lang w:val="mk-MK"/>
        </w:rPr>
        <w:lastRenderedPageBreak/>
        <w:t>мал број од нив котираат на организираниот пазар.</w:t>
      </w:r>
      <w:r w:rsidR="001042D0">
        <w:rPr>
          <w:rStyle w:val="FootnoteReference"/>
          <w:sz w:val="24"/>
          <w:szCs w:val="24"/>
          <w:lang w:val="mk-MK"/>
        </w:rPr>
        <w:footnoteReference w:id="597"/>
      </w:r>
      <w:r w:rsidRPr="002B72C8">
        <w:rPr>
          <w:sz w:val="24"/>
          <w:szCs w:val="24"/>
          <w:lang w:val="mk-MK"/>
        </w:rPr>
        <w:t xml:space="preserve"> Податоците од депозитарниот систем укажуваат на доминација на дематеријализирани акции и на ограничен број на класични или хартиски форми на акции. За одредени примери на големи јавни акционери може да се види дека поединечни компании имаат милионски количества на издадени акции</w:t>
      </w:r>
      <w:r w:rsidR="00746E8C">
        <w:rPr>
          <w:sz w:val="24"/>
          <w:szCs w:val="24"/>
          <w:lang w:val="mk-MK"/>
        </w:rPr>
        <w:t>, како на пример</w:t>
      </w:r>
      <w:r w:rsidRPr="002B72C8">
        <w:rPr>
          <w:sz w:val="24"/>
          <w:szCs w:val="24"/>
          <w:lang w:val="mk-MK"/>
        </w:rPr>
        <w:t xml:space="preserve"> Podravka, HEP</w:t>
      </w:r>
      <w:r w:rsidR="00746E8C">
        <w:rPr>
          <w:sz w:val="24"/>
          <w:szCs w:val="24"/>
          <w:lang w:val="mk-MK"/>
        </w:rPr>
        <w:t xml:space="preserve"> и</w:t>
      </w:r>
      <w:r w:rsidRPr="002B72C8">
        <w:rPr>
          <w:sz w:val="24"/>
          <w:szCs w:val="24"/>
          <w:lang w:val="mk-MK"/>
        </w:rPr>
        <w:t xml:space="preserve"> Institut IGH, што укажува на значителна концентрација на капитал и комплексност на капиталните структури на најголемите друштва во земјата</w:t>
      </w:r>
      <w:r w:rsidR="00746E8C">
        <w:rPr>
          <w:sz w:val="24"/>
          <w:szCs w:val="24"/>
          <w:lang w:val="mk-MK"/>
        </w:rPr>
        <w:t>.</w:t>
      </w:r>
    </w:p>
    <w:p w14:paraId="2AFE2D90" w14:textId="3FBD58C4" w:rsidR="00746E8C" w:rsidRDefault="006B0519" w:rsidP="0040717A">
      <w:pPr>
        <w:spacing w:before="240"/>
        <w:ind w:firstLine="478"/>
        <w:jc w:val="both"/>
        <w:rPr>
          <w:sz w:val="24"/>
          <w:szCs w:val="24"/>
          <w:lang w:val="mk-MK"/>
        </w:rPr>
      </w:pPr>
      <w:r w:rsidRPr="006B0519">
        <w:rPr>
          <w:sz w:val="24"/>
          <w:szCs w:val="24"/>
          <w:lang w:val="mk-MK"/>
        </w:rPr>
        <w:t>Во Хрватска, најголемите акционерски друштва често имаат илјадници до десетици илјади вработени, што укажува на нивна важна улога како работодав</w:t>
      </w:r>
      <w:r w:rsidR="003D21FE">
        <w:rPr>
          <w:sz w:val="24"/>
          <w:szCs w:val="24"/>
          <w:lang w:val="mk-MK"/>
        </w:rPr>
        <w:t>ач</w:t>
      </w:r>
      <w:r w:rsidRPr="006B0519">
        <w:rPr>
          <w:sz w:val="24"/>
          <w:szCs w:val="24"/>
          <w:lang w:val="mk-MK"/>
        </w:rPr>
        <w:t>и на национално ниво. За споредба</w:t>
      </w:r>
      <w:r w:rsidR="003D21FE">
        <w:rPr>
          <w:sz w:val="24"/>
          <w:szCs w:val="24"/>
          <w:lang w:val="mk-MK"/>
        </w:rPr>
        <w:t>,</w:t>
      </w:r>
      <w:r w:rsidRPr="006B0519">
        <w:rPr>
          <w:sz w:val="24"/>
          <w:szCs w:val="24"/>
          <w:lang w:val="mk-MK"/>
        </w:rPr>
        <w:t xml:space="preserve"> во Македонија, иако нема комплетни официјални податоци според сите акционерски друштва, најголемите компании обично имаат стотици до неколку илјади вработени,</w:t>
      </w:r>
      <w:r w:rsidR="000303F6">
        <w:rPr>
          <w:rStyle w:val="FootnoteReference"/>
          <w:sz w:val="24"/>
          <w:szCs w:val="24"/>
          <w:lang w:val="mk-MK"/>
        </w:rPr>
        <w:footnoteReference w:id="598"/>
      </w:r>
      <w:r w:rsidRPr="006B0519">
        <w:rPr>
          <w:sz w:val="24"/>
          <w:szCs w:val="24"/>
          <w:lang w:val="mk-MK"/>
        </w:rPr>
        <w:t xml:space="preserve"> а не десетици илјади како во најголемите хрватски примери.</w:t>
      </w:r>
      <w:r w:rsidR="00A71BCD">
        <w:rPr>
          <w:rStyle w:val="FootnoteReference"/>
          <w:sz w:val="24"/>
          <w:szCs w:val="24"/>
          <w:lang w:val="mk-MK"/>
        </w:rPr>
        <w:footnoteReference w:id="599"/>
      </w:r>
      <w:r w:rsidRPr="006B0519">
        <w:rPr>
          <w:sz w:val="24"/>
          <w:szCs w:val="24"/>
          <w:lang w:val="mk-MK"/>
        </w:rPr>
        <w:t xml:space="preserve"> </w:t>
      </w:r>
      <w:r w:rsidR="0089792A">
        <w:rPr>
          <w:sz w:val="24"/>
          <w:szCs w:val="24"/>
          <w:lang w:val="mk-MK"/>
        </w:rPr>
        <w:t>Сепак, в</w:t>
      </w:r>
      <w:r w:rsidRPr="006B0519">
        <w:rPr>
          <w:sz w:val="24"/>
          <w:szCs w:val="24"/>
          <w:lang w:val="mk-MK"/>
        </w:rPr>
        <w:t>исока</w:t>
      </w:r>
      <w:r w:rsidR="0089792A">
        <w:rPr>
          <w:sz w:val="24"/>
          <w:szCs w:val="24"/>
          <w:lang w:val="mk-MK"/>
        </w:rPr>
        <w:t>та</w:t>
      </w:r>
      <w:r w:rsidRPr="006B0519">
        <w:rPr>
          <w:sz w:val="24"/>
          <w:szCs w:val="24"/>
          <w:lang w:val="mk-MK"/>
        </w:rPr>
        <w:t xml:space="preserve"> концентрација на вработени во големите акционерски друштва во Хрватска, десетте најголеми работодавци имаат од ~13.000 (најмногу) до ~3.000 (најмалку) вработени</w:t>
      </w:r>
      <w:r w:rsidR="00BA622C">
        <w:rPr>
          <w:sz w:val="24"/>
          <w:szCs w:val="24"/>
          <w:lang w:val="mk-MK"/>
        </w:rPr>
        <w:t xml:space="preserve"> и</w:t>
      </w:r>
      <w:r w:rsidRPr="006B0519">
        <w:rPr>
          <w:sz w:val="24"/>
          <w:szCs w:val="24"/>
          <w:lang w:val="mk-MK"/>
        </w:rPr>
        <w:t xml:space="preserve"> најголемите работодав</w:t>
      </w:r>
      <w:r w:rsidR="00BA622C">
        <w:rPr>
          <w:sz w:val="24"/>
          <w:szCs w:val="24"/>
          <w:lang w:val="mk-MK"/>
        </w:rPr>
        <w:t>ач</w:t>
      </w:r>
      <w:r w:rsidRPr="006B0519">
        <w:rPr>
          <w:sz w:val="24"/>
          <w:szCs w:val="24"/>
          <w:lang w:val="mk-MK"/>
        </w:rPr>
        <w:t xml:space="preserve">и се од енергетика (INA), телекомуникации (HT), прехранбена индустрија (Podravka, Atlantic), финансиски сектор (Zagrebačka banka), и индустриски производство (Končar, Ericsson). </w:t>
      </w:r>
      <w:r w:rsidR="00910C53">
        <w:rPr>
          <w:sz w:val="24"/>
          <w:szCs w:val="24"/>
          <w:lang w:val="mk-MK"/>
        </w:rPr>
        <w:t>Ова е генерално споредливо</w:t>
      </w:r>
      <w:r w:rsidRPr="006B0519">
        <w:rPr>
          <w:sz w:val="24"/>
          <w:szCs w:val="24"/>
          <w:lang w:val="mk-MK"/>
        </w:rPr>
        <w:t xml:space="preserve"> </w:t>
      </w:r>
      <w:r w:rsidR="00910C53">
        <w:rPr>
          <w:sz w:val="24"/>
          <w:szCs w:val="24"/>
          <w:lang w:val="mk-MK"/>
        </w:rPr>
        <w:t>с</w:t>
      </w:r>
      <w:r w:rsidRPr="006B0519">
        <w:rPr>
          <w:sz w:val="24"/>
          <w:szCs w:val="24"/>
          <w:lang w:val="mk-MK"/>
        </w:rPr>
        <w:t xml:space="preserve">о Македонија, </w:t>
      </w:r>
      <w:r w:rsidR="00910C53">
        <w:rPr>
          <w:sz w:val="24"/>
          <w:szCs w:val="24"/>
          <w:lang w:val="mk-MK"/>
        </w:rPr>
        <w:t xml:space="preserve">каде сепак </w:t>
      </w:r>
      <w:r w:rsidRPr="006B0519">
        <w:rPr>
          <w:sz w:val="24"/>
          <w:szCs w:val="24"/>
          <w:lang w:val="mk-MK"/>
        </w:rPr>
        <w:t>најголемите акционерски друштва генерално вработуваат помалку вработени по компанија отколку нивните хрватски паралели.</w:t>
      </w:r>
      <w:r w:rsidR="00910C53">
        <w:rPr>
          <w:rStyle w:val="FootnoteReference"/>
          <w:sz w:val="24"/>
          <w:szCs w:val="24"/>
          <w:lang w:val="mk-MK"/>
        </w:rPr>
        <w:footnoteReference w:id="600"/>
      </w:r>
      <w:r w:rsidRPr="006B0519">
        <w:rPr>
          <w:sz w:val="24"/>
          <w:szCs w:val="24"/>
          <w:lang w:val="mk-MK"/>
        </w:rPr>
        <w:t xml:space="preserve"> </w:t>
      </w:r>
    </w:p>
    <w:p w14:paraId="3A38D77E" w14:textId="74A71C2E" w:rsidR="003F151D" w:rsidRDefault="00A50903" w:rsidP="00AA5634">
      <w:pPr>
        <w:spacing w:before="240"/>
        <w:ind w:firstLine="478"/>
        <w:jc w:val="both"/>
        <w:rPr>
          <w:sz w:val="24"/>
          <w:szCs w:val="24"/>
          <w:lang w:val="mk-MK"/>
        </w:rPr>
      </w:pPr>
      <w:r>
        <w:rPr>
          <w:sz w:val="24"/>
          <w:szCs w:val="24"/>
          <w:lang w:val="mk-MK"/>
        </w:rPr>
        <w:t xml:space="preserve">На пример, </w:t>
      </w:r>
      <w:r w:rsidR="003F151D" w:rsidRPr="003F151D">
        <w:rPr>
          <w:sz w:val="24"/>
          <w:szCs w:val="24"/>
          <w:lang w:val="mk-MK"/>
        </w:rPr>
        <w:t xml:space="preserve">Алкалоид АД Скопје има околу 1580 вработени во земјата </w:t>
      </w:r>
      <w:r>
        <w:rPr>
          <w:sz w:val="24"/>
          <w:szCs w:val="24"/>
          <w:lang w:val="mk-MK"/>
        </w:rPr>
        <w:t>и</w:t>
      </w:r>
      <w:r w:rsidR="003F151D" w:rsidRPr="003F151D">
        <w:rPr>
          <w:sz w:val="24"/>
          <w:szCs w:val="24"/>
          <w:lang w:val="mk-MK"/>
        </w:rPr>
        <w:t xml:space="preserve"> 420 во странство, </w:t>
      </w:r>
      <w:r>
        <w:rPr>
          <w:sz w:val="24"/>
          <w:szCs w:val="24"/>
          <w:lang w:val="mk-MK"/>
        </w:rPr>
        <w:t>додека Витаминка АД</w:t>
      </w:r>
      <w:r w:rsidR="003F151D" w:rsidRPr="003F151D">
        <w:rPr>
          <w:sz w:val="24"/>
          <w:szCs w:val="24"/>
          <w:lang w:val="mk-MK"/>
        </w:rPr>
        <w:t xml:space="preserve"> Прилеп има околу 690 вработени. Овие примери, иако не се репрезентативни за целата популација акционерски друштва, укажуваат дека акционерските друштва што оперираат со значајни економски операции имаат стотици до над илјада вработени, што е многу повисоко од најголемиот дел од микро и мали компании во</w:t>
      </w:r>
      <w:r w:rsidR="0071636B">
        <w:rPr>
          <w:sz w:val="24"/>
          <w:szCs w:val="24"/>
          <w:lang w:val="mk-MK"/>
        </w:rPr>
        <w:t xml:space="preserve"> Хрватска, но и</w:t>
      </w:r>
      <w:r w:rsidR="003F151D" w:rsidRPr="003F151D">
        <w:rPr>
          <w:sz w:val="24"/>
          <w:szCs w:val="24"/>
          <w:lang w:val="mk-MK"/>
        </w:rPr>
        <w:t xml:space="preserve"> Македонија, каде што 82% </w:t>
      </w:r>
      <w:r w:rsidR="0071636B">
        <w:rPr>
          <w:sz w:val="24"/>
          <w:szCs w:val="24"/>
          <w:lang w:val="mk-MK"/>
        </w:rPr>
        <w:t xml:space="preserve">од правните субјекти </w:t>
      </w:r>
      <w:r w:rsidR="003F151D" w:rsidRPr="003F151D">
        <w:rPr>
          <w:sz w:val="24"/>
          <w:szCs w:val="24"/>
          <w:lang w:val="mk-MK"/>
        </w:rPr>
        <w:t>имаат помалку од 10 вработени и само 0,3% над 250 вработени.</w:t>
      </w:r>
      <w:r w:rsidR="0071636B">
        <w:rPr>
          <w:rStyle w:val="FootnoteReference"/>
          <w:sz w:val="24"/>
          <w:szCs w:val="24"/>
          <w:lang w:val="mk-MK"/>
        </w:rPr>
        <w:footnoteReference w:id="601"/>
      </w:r>
      <w:r w:rsidR="003F151D" w:rsidRPr="003F151D">
        <w:rPr>
          <w:sz w:val="24"/>
          <w:szCs w:val="24"/>
          <w:lang w:val="mk-MK"/>
        </w:rPr>
        <w:t xml:space="preserve"> Од овие примерни податоци може да се заклучи дека, ако се пресметува едноставна просечна вредност за акционерски друштва со значајно стопанско присуство, таа најверојатно би надминувала неколку стотици вработени по компанија, што е генерално повеќе од обичниот просек за микро/мали компании</w:t>
      </w:r>
      <w:r w:rsidR="00177A19">
        <w:rPr>
          <w:sz w:val="24"/>
          <w:szCs w:val="24"/>
          <w:lang w:val="mk-MK"/>
        </w:rPr>
        <w:t>.</w:t>
      </w:r>
      <w:r w:rsidR="00177A19">
        <w:rPr>
          <w:rStyle w:val="FootnoteReference"/>
          <w:sz w:val="24"/>
          <w:szCs w:val="24"/>
          <w:lang w:val="mk-MK"/>
        </w:rPr>
        <w:footnoteReference w:id="602"/>
      </w:r>
      <w:r w:rsidR="00AA5634">
        <w:rPr>
          <w:sz w:val="24"/>
          <w:szCs w:val="24"/>
          <w:lang w:val="mk-MK"/>
        </w:rPr>
        <w:t xml:space="preserve"> Генерално, сликата е иста и во сосе</w:t>
      </w:r>
      <w:r w:rsidR="002B5A9E">
        <w:rPr>
          <w:sz w:val="24"/>
          <w:szCs w:val="24"/>
          <w:lang w:val="mk-MK"/>
        </w:rPr>
        <w:t>д</w:t>
      </w:r>
      <w:r w:rsidR="00AA5634">
        <w:rPr>
          <w:sz w:val="24"/>
          <w:szCs w:val="24"/>
          <w:lang w:val="mk-MK"/>
        </w:rPr>
        <w:t xml:space="preserve">на Србија каде на </w:t>
      </w:r>
      <w:r w:rsidR="00AA5634">
        <w:rPr>
          <w:sz w:val="24"/>
          <w:szCs w:val="24"/>
          <w:lang w:val="mk-MK"/>
        </w:rPr>
        <w:lastRenderedPageBreak/>
        <w:t>пример</w:t>
      </w:r>
      <w:r w:rsidR="003F151D" w:rsidRPr="003F151D">
        <w:rPr>
          <w:sz w:val="24"/>
          <w:szCs w:val="24"/>
          <w:lang w:val="mk-MK"/>
        </w:rPr>
        <w:t xml:space="preserve"> Elektroprivreda Srbije вработува околу 19.595 лица.</w:t>
      </w:r>
      <w:r w:rsidR="00D73D0D">
        <w:rPr>
          <w:rStyle w:val="FootnoteReference"/>
          <w:sz w:val="24"/>
          <w:szCs w:val="24"/>
          <w:lang w:val="mk-MK"/>
        </w:rPr>
        <w:footnoteReference w:id="603"/>
      </w:r>
      <w:r w:rsidR="003F151D" w:rsidRPr="003F151D">
        <w:rPr>
          <w:sz w:val="24"/>
          <w:szCs w:val="24"/>
          <w:lang w:val="mk-MK"/>
        </w:rPr>
        <w:t xml:space="preserve"> </w:t>
      </w:r>
    </w:p>
    <w:p w14:paraId="4F3EB571" w14:textId="43EDB2A7" w:rsidR="00311C3C" w:rsidRDefault="00D61376" w:rsidP="0075024B">
      <w:pPr>
        <w:spacing w:before="240"/>
        <w:ind w:firstLine="478"/>
        <w:jc w:val="both"/>
        <w:rPr>
          <w:sz w:val="24"/>
          <w:szCs w:val="24"/>
          <w:lang w:val="mk-MK"/>
        </w:rPr>
      </w:pPr>
      <w:r>
        <w:rPr>
          <w:sz w:val="24"/>
          <w:szCs w:val="24"/>
          <w:lang w:val="mk-MK"/>
        </w:rPr>
        <w:t xml:space="preserve">Главните разлики помеѓу Македонија и Србија во однос на Хрватска се појавуваат кога </w:t>
      </w:r>
      <w:r w:rsidR="00C00A9B">
        <w:rPr>
          <w:sz w:val="24"/>
          <w:szCs w:val="24"/>
          <w:lang w:val="mk-MK"/>
        </w:rPr>
        <w:t xml:space="preserve">ќе се погледне подлабоко во однос на спроведувањето на важечките директиви од оваа област. Конкретно, </w:t>
      </w:r>
      <w:r w:rsidR="00C00A9B" w:rsidRPr="00C00A9B">
        <w:rPr>
          <w:sz w:val="24"/>
          <w:szCs w:val="24"/>
          <w:lang w:val="mk-MK"/>
        </w:rPr>
        <w:t>Директивата за известување за корпоративна одржливост (CSRD), која беше транспонирана во хрватското право на 27.07.2024 година преку измени на Законот за сметководство, Законот за ревизија и Законот за пазар на капитал, воведе обврска за големите субјекти од јавен интерес со над 500 вработени да објавуваат извештаи за условите за работа, социјалниот дијалог и мерките за заштита на човековите права.</w:t>
      </w:r>
      <w:r w:rsidR="002260D7">
        <w:rPr>
          <w:rStyle w:val="FootnoteReference"/>
          <w:sz w:val="24"/>
          <w:szCs w:val="24"/>
          <w:lang w:val="mk-MK"/>
        </w:rPr>
        <w:footnoteReference w:id="604"/>
      </w:r>
      <w:r w:rsidR="0000458F">
        <w:rPr>
          <w:sz w:val="24"/>
          <w:szCs w:val="24"/>
          <w:lang w:val="en-US"/>
        </w:rPr>
        <w:t xml:space="preserve"> </w:t>
      </w:r>
      <w:r w:rsidR="0000458F" w:rsidRPr="0000458F">
        <w:rPr>
          <w:sz w:val="24"/>
          <w:szCs w:val="24"/>
          <w:lang w:val="mk-MK"/>
        </w:rPr>
        <w:t>Најавената Директива за должно внимание за корпоративна одржливост (CSDDD) дополнително ќе ја прошири одговорноста на управата на целокупниот синџир</w:t>
      </w:r>
      <w:r w:rsidR="00C1761E">
        <w:rPr>
          <w:sz w:val="24"/>
          <w:szCs w:val="24"/>
          <w:lang w:val="mk-MK"/>
        </w:rPr>
        <w:t xml:space="preserve"> за произведување на пазарна</w:t>
      </w:r>
      <w:r w:rsidR="0000458F" w:rsidRPr="0000458F">
        <w:rPr>
          <w:sz w:val="24"/>
          <w:szCs w:val="24"/>
          <w:lang w:val="mk-MK"/>
        </w:rPr>
        <w:t xml:space="preserve"> вредност, вклучително и добавувачите, особено во однос на работничките права и безбедноста при работа. Нејзината транспозиција се очекува да наметне дополнителни механизми на надзор и деловна ревизија</w:t>
      </w:r>
      <w:r w:rsidR="00063F93">
        <w:rPr>
          <w:sz w:val="24"/>
          <w:szCs w:val="24"/>
          <w:lang w:val="mk-MK"/>
        </w:rPr>
        <w:t>.</w:t>
      </w:r>
      <w:r w:rsidR="00063F93">
        <w:rPr>
          <w:rStyle w:val="FootnoteReference"/>
          <w:sz w:val="24"/>
          <w:szCs w:val="24"/>
          <w:lang w:val="mk-MK"/>
        </w:rPr>
        <w:footnoteReference w:id="605"/>
      </w:r>
      <w:r w:rsidR="0075024B">
        <w:rPr>
          <w:sz w:val="24"/>
          <w:szCs w:val="24"/>
          <w:lang w:val="mk-MK"/>
        </w:rPr>
        <w:t xml:space="preserve"> </w:t>
      </w:r>
      <w:r w:rsidR="0075024B" w:rsidRPr="0075024B">
        <w:rPr>
          <w:sz w:val="24"/>
          <w:szCs w:val="24"/>
          <w:lang w:val="mk-MK"/>
        </w:rPr>
        <w:t>Хрватска ја има транспонирано и Директивата 2001/86/ЕЗ, која ја уредува вклученоста на вработените во европските акционерски друштва (Societas Europaea, SE). Со ова се обезбедува право на информирање, консултација и, во одредени случаи, учество во надзорните одбори. Сепак, примената на овие одредби е ограничена поради малиот број регистрирани SE друштва во земјата</w:t>
      </w:r>
      <w:r w:rsidR="0075024B">
        <w:rPr>
          <w:sz w:val="24"/>
          <w:szCs w:val="24"/>
          <w:lang w:val="mk-MK"/>
        </w:rPr>
        <w:t xml:space="preserve">. </w:t>
      </w:r>
    </w:p>
    <w:p w14:paraId="38B73D2E" w14:textId="42A6B987" w:rsidR="0075024B" w:rsidRDefault="0075024B" w:rsidP="0075024B">
      <w:pPr>
        <w:spacing w:before="240"/>
        <w:ind w:firstLine="478"/>
        <w:jc w:val="both"/>
        <w:rPr>
          <w:sz w:val="24"/>
          <w:szCs w:val="24"/>
          <w:lang w:val="en-US"/>
        </w:rPr>
      </w:pPr>
      <w:r>
        <w:rPr>
          <w:sz w:val="24"/>
          <w:szCs w:val="24"/>
          <w:lang w:val="mk-MK"/>
        </w:rPr>
        <w:t>Овој начин на транспонирање на директивите и обврските што тие ги налагаат, ја ставаат Хрватска во многу подобра позиција од Србија и Македонија</w:t>
      </w:r>
      <w:r w:rsidR="00DD688F">
        <w:rPr>
          <w:sz w:val="24"/>
          <w:szCs w:val="24"/>
          <w:lang w:val="mk-MK"/>
        </w:rPr>
        <w:t xml:space="preserve"> затоа што легислативата на компаниите им нуди постоечка структура за обезбедување вклученост на вработените. Сепак, п</w:t>
      </w:r>
      <w:r w:rsidR="00DD688F" w:rsidRPr="00DD688F">
        <w:rPr>
          <w:sz w:val="24"/>
          <w:szCs w:val="24"/>
          <w:lang w:val="mk-MK"/>
        </w:rPr>
        <w:t>равната рамка не наложува задолжително вклучување на претставници на вработените во органите на управување кај приватните акционерски друштва. Ова зависи од статутот на друштвото или од колективен договор. Во јавните претпријатија, како што е Hrvatska elektroprivreda (HEP), еден член на надзорниот одбор доаѓа од редовите на вработените, додека останатите членови ги именуваат Владата и собранието на акционери.</w:t>
      </w:r>
      <w:r w:rsidR="00FB743B">
        <w:rPr>
          <w:rStyle w:val="FootnoteReference"/>
          <w:sz w:val="24"/>
          <w:szCs w:val="24"/>
          <w:lang w:val="mk-MK"/>
        </w:rPr>
        <w:footnoteReference w:id="606"/>
      </w:r>
      <w:r w:rsidR="00DD688F" w:rsidRPr="00DD688F">
        <w:rPr>
          <w:sz w:val="24"/>
          <w:szCs w:val="24"/>
          <w:lang w:val="mk-MK"/>
        </w:rPr>
        <w:t xml:space="preserve"> Мандатот на членовите обично трае четири години со можност за повторен избор.</w:t>
      </w:r>
      <w:r w:rsidR="00AB3549">
        <w:rPr>
          <w:rStyle w:val="FootnoteReference"/>
          <w:sz w:val="24"/>
          <w:szCs w:val="24"/>
          <w:lang w:val="mk-MK"/>
        </w:rPr>
        <w:footnoteReference w:id="607"/>
      </w:r>
    </w:p>
    <w:p w14:paraId="2D9F8A79" w14:textId="1785C2C6" w:rsidR="00B919C4" w:rsidRDefault="00B919C4" w:rsidP="0075024B">
      <w:pPr>
        <w:spacing w:before="240"/>
        <w:ind w:firstLine="478"/>
        <w:jc w:val="both"/>
        <w:rPr>
          <w:sz w:val="24"/>
          <w:szCs w:val="24"/>
          <w:lang w:val="mk-MK"/>
        </w:rPr>
      </w:pPr>
      <w:r w:rsidRPr="00B919C4">
        <w:rPr>
          <w:sz w:val="24"/>
          <w:szCs w:val="24"/>
          <w:lang w:val="mk-MK"/>
        </w:rPr>
        <w:t>На национално ниво, Законот за труд од 2014 година, со измени од 2023 година, им гарантира на вработените право на информирање и консултација во врска со прашања како промени во сопственоста, реорганизација и технолошки иновации. Во компании со повеќе од 20 вработени може да се формира работнички совет, но тој има исклучиво советодавна улога.</w:t>
      </w:r>
      <w:r w:rsidR="00557522">
        <w:rPr>
          <w:sz w:val="24"/>
          <w:szCs w:val="24"/>
          <w:lang w:val="mk-MK"/>
        </w:rPr>
        <w:t xml:space="preserve"> Во овој дел, решенијата се речиси идентични со примерите од Македонија и Србија. </w:t>
      </w:r>
      <w:r w:rsidR="008E7EF3" w:rsidRPr="008E7EF3">
        <w:rPr>
          <w:sz w:val="24"/>
          <w:szCs w:val="24"/>
          <w:lang w:val="mk-MK"/>
        </w:rPr>
        <w:t xml:space="preserve">И покрај напредната законска рамка и транспозицијата на европските директиви кои формално овозможуваат учество на вработените, практиката во Хрватска покажува значителен јаз помеѓу нормативните решенија и нивната реална </w:t>
      </w:r>
      <w:r w:rsidR="008E7EF3" w:rsidRPr="008E7EF3">
        <w:rPr>
          <w:sz w:val="24"/>
          <w:szCs w:val="24"/>
          <w:lang w:val="mk-MK"/>
        </w:rPr>
        <w:lastRenderedPageBreak/>
        <w:t>примена. Механизмите на работничко учество во приватниот сектор остануваат ограничени и ретко се користат. Ова е резултат на високата концентрација на сопственост, затворените управувачки структури и релативно слабото влијание на пазарот на капитал. Овие структурни карактеристики дополнително го намалуваат потенцијалот за развој на партиципативно корпоративно управување, бидејќи не поттикнуваат вклучување на вработените во стратешкото донесување одлуки</w:t>
      </w:r>
      <w:r w:rsidR="006F48D7">
        <w:rPr>
          <w:sz w:val="24"/>
          <w:szCs w:val="24"/>
          <w:lang w:val="mk-MK"/>
        </w:rPr>
        <w:t>.</w:t>
      </w:r>
    </w:p>
    <w:p w14:paraId="758E1EC2" w14:textId="33E2D52D" w:rsidR="00A15E23" w:rsidRDefault="006B1937" w:rsidP="0075024B">
      <w:pPr>
        <w:spacing w:before="240"/>
        <w:ind w:firstLine="478"/>
        <w:jc w:val="both"/>
        <w:rPr>
          <w:sz w:val="24"/>
          <w:szCs w:val="24"/>
          <w:lang w:val="mk-MK"/>
        </w:rPr>
      </w:pPr>
      <w:r w:rsidRPr="006B1937">
        <w:rPr>
          <w:sz w:val="24"/>
          <w:szCs w:val="24"/>
          <w:lang w:val="mk-MK"/>
        </w:rPr>
        <w:t>Од друга страна, во јавните претпријатија учеството е институционализирано преку формални механизми, но неговото влијание врз стратешките одлуки останува во голема мера симболично. Емпириските истражувања покажуваат дека, иако вработените во јавниот сектор изразуваат релативно високо ниво на задоволство од условите за работа, нивното реално влијание врз управувањето и донесувањето одлуки е минимално.</w:t>
      </w:r>
      <w:r w:rsidR="006324DF">
        <w:rPr>
          <w:rStyle w:val="FootnoteReference"/>
          <w:sz w:val="24"/>
          <w:szCs w:val="24"/>
          <w:lang w:val="mk-MK"/>
        </w:rPr>
        <w:footnoteReference w:id="608"/>
      </w:r>
      <w:r w:rsidRPr="006B1937">
        <w:rPr>
          <w:sz w:val="24"/>
          <w:szCs w:val="24"/>
          <w:lang w:val="mk-MK"/>
        </w:rPr>
        <w:t xml:space="preserve"> Во овој контекст, учеството се сведува на процедурална обврска, без суштинско вклучување на вработените во обликувањето на организациските политики. Ова укажува дека, и покрај формалното постоење, партиципативните модели на управување во Хрватска сè уште не се функционални инструменти на демократско корпоративно управување.</w:t>
      </w:r>
      <w:r w:rsidR="00542C67">
        <w:rPr>
          <w:rStyle w:val="FootnoteReference"/>
          <w:sz w:val="24"/>
          <w:szCs w:val="24"/>
          <w:lang w:val="mk-MK"/>
        </w:rPr>
        <w:footnoteReference w:id="609"/>
      </w:r>
    </w:p>
    <w:p w14:paraId="20086DBF" w14:textId="3F1250A8" w:rsidR="00FD274E" w:rsidRDefault="00357096" w:rsidP="0075024B">
      <w:pPr>
        <w:spacing w:before="240"/>
        <w:ind w:firstLine="478"/>
        <w:jc w:val="both"/>
        <w:rPr>
          <w:sz w:val="24"/>
          <w:szCs w:val="24"/>
          <w:lang w:val="en-US"/>
        </w:rPr>
      </w:pPr>
      <w:r>
        <w:rPr>
          <w:sz w:val="24"/>
          <w:szCs w:val="24"/>
          <w:lang w:val="mk-MK"/>
        </w:rPr>
        <w:t>Како во Македонија, Србија и Босна, така и во Хрватска, п</w:t>
      </w:r>
      <w:r w:rsidR="00FD274E" w:rsidRPr="00FD274E">
        <w:rPr>
          <w:sz w:val="24"/>
          <w:szCs w:val="24"/>
          <w:lang w:val="mk-MK"/>
        </w:rPr>
        <w:t>ринципот на работничко учество б</w:t>
      </w:r>
      <w:r>
        <w:rPr>
          <w:sz w:val="24"/>
          <w:szCs w:val="24"/>
          <w:lang w:val="mk-MK"/>
        </w:rPr>
        <w:t>ил</w:t>
      </w:r>
      <w:r w:rsidR="00FD274E" w:rsidRPr="00FD274E">
        <w:rPr>
          <w:sz w:val="24"/>
          <w:szCs w:val="24"/>
          <w:lang w:val="mk-MK"/>
        </w:rPr>
        <w:t xml:space="preserve"> силно присутен во југословенскиот модел на самоуправување, но транзицијата кон пазарна економија во 1990</w:t>
      </w:r>
      <w:r>
        <w:rPr>
          <w:sz w:val="24"/>
          <w:szCs w:val="24"/>
          <w:lang w:val="mk-MK"/>
        </w:rPr>
        <w:t>тите</w:t>
      </w:r>
      <w:r w:rsidR="00FD274E" w:rsidRPr="00FD274E">
        <w:rPr>
          <w:sz w:val="24"/>
          <w:szCs w:val="24"/>
          <w:lang w:val="mk-MK"/>
        </w:rPr>
        <w:t xml:space="preserve"> години значително го намали</w:t>
      </w:r>
      <w:r>
        <w:rPr>
          <w:sz w:val="24"/>
          <w:szCs w:val="24"/>
          <w:lang w:val="mk-MK"/>
        </w:rPr>
        <w:t>ла</w:t>
      </w:r>
      <w:r w:rsidR="00FD274E" w:rsidRPr="00FD274E">
        <w:rPr>
          <w:sz w:val="24"/>
          <w:szCs w:val="24"/>
          <w:lang w:val="mk-MK"/>
        </w:rPr>
        <w:t xml:space="preserve"> неговиот опфат. Современото хрватско право не пропишува систем на коодлучување споредлив со германскиот или со други континентално европски модели. Наместо тоа, учеството на вработените главно се остварува преку институцијата на работничкиот совет, регулирана со Законот за труд.</w:t>
      </w:r>
      <w:r w:rsidR="000C0209">
        <w:rPr>
          <w:sz w:val="24"/>
          <w:szCs w:val="24"/>
          <w:lang w:val="en-US"/>
        </w:rPr>
        <w:t xml:space="preserve"> </w:t>
      </w:r>
    </w:p>
    <w:p w14:paraId="53F2189D" w14:textId="55332E4F" w:rsidR="000C0209" w:rsidRDefault="000C0209" w:rsidP="0075024B">
      <w:pPr>
        <w:spacing w:before="240"/>
        <w:ind w:firstLine="478"/>
        <w:jc w:val="both"/>
        <w:rPr>
          <w:sz w:val="24"/>
          <w:szCs w:val="24"/>
          <w:lang w:val="mk-MK"/>
        </w:rPr>
      </w:pPr>
      <w:r w:rsidRPr="000C0209">
        <w:rPr>
          <w:sz w:val="24"/>
          <w:szCs w:val="24"/>
          <w:lang w:val="mk-MK"/>
        </w:rPr>
        <w:t>Законот за труд им гарантира на работниците право на информирање и консултација во врска со реструктурирање, отпуштања и безбедност при работа. Сепак, застапеноста на вработените во управните или надзорните одбори не е законска обврска. Единств</w:t>
      </w:r>
      <w:r w:rsidR="00F139B2">
        <w:rPr>
          <w:sz w:val="24"/>
          <w:szCs w:val="24"/>
          <w:lang w:val="mk-MK"/>
        </w:rPr>
        <w:t>ен делумен</w:t>
      </w:r>
      <w:r w:rsidRPr="000C0209">
        <w:rPr>
          <w:sz w:val="24"/>
          <w:szCs w:val="24"/>
          <w:lang w:val="mk-MK"/>
        </w:rPr>
        <w:t xml:space="preserve"> исклучок претставуваат државните или поранешно приватизираните компании, каде во зависност од договорите за приватизација и колективните договори, вработените можат да задржат одредени права на </w:t>
      </w:r>
      <w:r w:rsidR="0067187D">
        <w:rPr>
          <w:sz w:val="24"/>
          <w:szCs w:val="24"/>
          <w:lang w:val="mk-MK"/>
        </w:rPr>
        <w:t>вклученост во претставувањето</w:t>
      </w:r>
      <w:r w:rsidRPr="000C0209">
        <w:rPr>
          <w:sz w:val="24"/>
          <w:szCs w:val="24"/>
          <w:lang w:val="mk-MK"/>
        </w:rPr>
        <w:t>.</w:t>
      </w:r>
      <w:r w:rsidR="0067187D">
        <w:rPr>
          <w:rStyle w:val="FootnoteReference"/>
          <w:sz w:val="24"/>
          <w:szCs w:val="24"/>
          <w:lang w:val="mk-MK"/>
        </w:rPr>
        <w:footnoteReference w:id="610"/>
      </w:r>
    </w:p>
    <w:p w14:paraId="203B2798" w14:textId="352E171F" w:rsidR="00581ADA" w:rsidRDefault="00581ADA" w:rsidP="0075024B">
      <w:pPr>
        <w:spacing w:before="240"/>
        <w:ind w:firstLine="478"/>
        <w:jc w:val="both"/>
        <w:rPr>
          <w:sz w:val="24"/>
          <w:szCs w:val="24"/>
          <w:lang w:val="mk-MK"/>
        </w:rPr>
      </w:pPr>
      <w:r w:rsidRPr="00581ADA">
        <w:rPr>
          <w:sz w:val="24"/>
          <w:szCs w:val="24"/>
          <w:lang w:val="mk-MK"/>
        </w:rPr>
        <w:t xml:space="preserve">Членството во Европската Унија значајно влијаеше врз хрватското законодавство, особено преку транспозицијата на директивите за информирање и консултација на </w:t>
      </w:r>
      <w:r w:rsidRPr="00581ADA">
        <w:rPr>
          <w:sz w:val="24"/>
          <w:szCs w:val="24"/>
          <w:lang w:val="mk-MK"/>
        </w:rPr>
        <w:lastRenderedPageBreak/>
        <w:t xml:space="preserve">вработените и за европските работнички совети. Сепак, практичниот ефект од овие мерки останува скромен. Академските истражувања укажуваат дека работничките совети во Хрватска често се соочуваат со слаба институционална </w:t>
      </w:r>
      <w:r w:rsidR="00396B2E">
        <w:rPr>
          <w:sz w:val="24"/>
          <w:szCs w:val="24"/>
          <w:lang w:val="mk-MK"/>
        </w:rPr>
        <w:t>подготвеност</w:t>
      </w:r>
      <w:r w:rsidRPr="00581ADA">
        <w:rPr>
          <w:sz w:val="24"/>
          <w:szCs w:val="24"/>
          <w:lang w:val="mk-MK"/>
        </w:rPr>
        <w:t>, ограничено влијание и недоволно признавање од страна на работодавачите. Оттука, учеството на вработените во Хрватска останува претежно консултативно, а не одлучувачко, што ја позиционира земјата поблиску до англосаксонскиот модел на примат на акционерите отколку до континенталниот модел на споделено управување.</w:t>
      </w:r>
    </w:p>
    <w:p w14:paraId="43ED785E" w14:textId="0CB9361A" w:rsidR="0013315F" w:rsidRDefault="0013315F" w:rsidP="0075024B">
      <w:pPr>
        <w:spacing w:before="240"/>
        <w:ind w:firstLine="478"/>
        <w:jc w:val="both"/>
        <w:rPr>
          <w:sz w:val="24"/>
          <w:szCs w:val="24"/>
          <w:lang w:val="mk-MK"/>
        </w:rPr>
      </w:pPr>
      <w:r>
        <w:rPr>
          <w:sz w:val="24"/>
          <w:szCs w:val="24"/>
          <w:lang w:val="mk-MK"/>
        </w:rPr>
        <w:t>Заклуч</w:t>
      </w:r>
      <w:r w:rsidR="00A73559">
        <w:rPr>
          <w:sz w:val="24"/>
          <w:szCs w:val="24"/>
          <w:lang w:val="mk-MK"/>
        </w:rPr>
        <w:t xml:space="preserve">окот е дека </w:t>
      </w:r>
      <w:r w:rsidR="00A73559" w:rsidRPr="00A73559">
        <w:rPr>
          <w:sz w:val="24"/>
          <w:szCs w:val="24"/>
          <w:lang w:val="mk-MK"/>
        </w:rPr>
        <w:t>Македонија може да извлече јасни, но ограничени поуки од хрватското искуство во областа на корпоративното управување и учеството на вработените. Прво, релевантен и позитивен пример претставува хрватскиот Закон за учеството на работниците во одлучувањето, кој експлицитно го уредува правото на информирање, консултација и во одредени случаи, учество на работниците во надзорните одбори.</w:t>
      </w:r>
      <w:r w:rsidR="00A73559">
        <w:rPr>
          <w:rStyle w:val="FootnoteReference"/>
          <w:sz w:val="24"/>
          <w:szCs w:val="24"/>
          <w:lang w:val="mk-MK"/>
        </w:rPr>
        <w:footnoteReference w:id="611"/>
      </w:r>
      <w:r w:rsidR="00A73559" w:rsidRPr="00A73559">
        <w:rPr>
          <w:sz w:val="24"/>
          <w:szCs w:val="24"/>
          <w:lang w:val="mk-MK"/>
        </w:rPr>
        <w:t xml:space="preserve"> Овој закон создава јасна нормативна рамка што оди подалеку од општите одредби на </w:t>
      </w:r>
      <w:r w:rsidR="00F66EE9">
        <w:rPr>
          <w:sz w:val="24"/>
          <w:szCs w:val="24"/>
          <w:lang w:val="mk-MK"/>
        </w:rPr>
        <w:t xml:space="preserve">деловното и </w:t>
      </w:r>
      <w:r w:rsidR="00A73559" w:rsidRPr="00A73559">
        <w:rPr>
          <w:sz w:val="24"/>
          <w:szCs w:val="24"/>
          <w:lang w:val="mk-MK"/>
        </w:rPr>
        <w:t>трудовото право и ја издвојува Хрватска од повеќето постјугословенски системи, вклучително и Македонија, каде учеството на вработените останува расцепкано помеѓу Законот за работни односи и корпоративното законодавство, без јасен институционален дизајн</w:t>
      </w:r>
      <w:r w:rsidR="00F66EE9">
        <w:rPr>
          <w:sz w:val="24"/>
          <w:szCs w:val="24"/>
          <w:lang w:val="mk-MK"/>
        </w:rPr>
        <w:t xml:space="preserve"> или некакво законско решение</w:t>
      </w:r>
      <w:r w:rsidR="00A73559" w:rsidRPr="00A73559">
        <w:rPr>
          <w:sz w:val="24"/>
          <w:szCs w:val="24"/>
          <w:lang w:val="mk-MK"/>
        </w:rPr>
        <w:t>.</w:t>
      </w:r>
      <w:r w:rsidR="00233CE6">
        <w:rPr>
          <w:rStyle w:val="FootnoteReference"/>
          <w:sz w:val="24"/>
          <w:szCs w:val="24"/>
          <w:lang w:val="mk-MK"/>
        </w:rPr>
        <w:footnoteReference w:id="612"/>
      </w:r>
    </w:p>
    <w:p w14:paraId="1057376E" w14:textId="33F4CE9D" w:rsidR="00931087" w:rsidRDefault="00931087" w:rsidP="0075024B">
      <w:pPr>
        <w:spacing w:before="240"/>
        <w:ind w:firstLine="478"/>
        <w:jc w:val="both"/>
        <w:rPr>
          <w:sz w:val="24"/>
          <w:szCs w:val="24"/>
          <w:lang w:val="mk-MK"/>
        </w:rPr>
      </w:pPr>
      <w:r w:rsidRPr="00931087">
        <w:rPr>
          <w:sz w:val="24"/>
          <w:szCs w:val="24"/>
          <w:lang w:val="mk-MK"/>
        </w:rPr>
        <w:t>Второ, членството на Хрватска во Европската унија има значајно влијание врз развојот на оваа рамка, особено преку систематската транспозиција на директивите на ЕУ за информирање и консултација на вработените, европските работнички совети, како и поновите директиви од областа на одржливост</w:t>
      </w:r>
      <w:r w:rsidR="000514A4">
        <w:rPr>
          <w:sz w:val="24"/>
          <w:szCs w:val="24"/>
          <w:lang w:val="mk-MK"/>
        </w:rPr>
        <w:t>а</w:t>
      </w:r>
      <w:r w:rsidRPr="00931087">
        <w:rPr>
          <w:sz w:val="24"/>
          <w:szCs w:val="24"/>
          <w:lang w:val="mk-MK"/>
        </w:rPr>
        <w:t>, ESG и корпоративна</w:t>
      </w:r>
      <w:r w:rsidR="000514A4">
        <w:rPr>
          <w:sz w:val="24"/>
          <w:szCs w:val="24"/>
          <w:lang w:val="mk-MK"/>
        </w:rPr>
        <w:t>та</w:t>
      </w:r>
      <w:r w:rsidRPr="00931087">
        <w:rPr>
          <w:sz w:val="24"/>
          <w:szCs w:val="24"/>
          <w:lang w:val="mk-MK"/>
        </w:rPr>
        <w:t xml:space="preserve"> одговорност. За Македонија, ова искуство е релевантно бидејќи покажува дека правната хармонизација може да се искористи како поттик за институционално зајакнување, дури и во отсуство на целосно развиен пазар на капитал.</w:t>
      </w:r>
      <w:r w:rsidR="001D11B6">
        <w:rPr>
          <w:rStyle w:val="FootnoteReference"/>
          <w:sz w:val="24"/>
          <w:szCs w:val="24"/>
          <w:lang w:val="mk-MK"/>
        </w:rPr>
        <w:footnoteReference w:id="613"/>
      </w:r>
      <w:r w:rsidR="001D11B6">
        <w:rPr>
          <w:sz w:val="24"/>
          <w:szCs w:val="24"/>
          <w:lang w:val="mk-MK"/>
        </w:rPr>
        <w:t xml:space="preserve"> </w:t>
      </w:r>
      <w:r w:rsidR="001D11B6" w:rsidRPr="001D11B6">
        <w:rPr>
          <w:sz w:val="24"/>
          <w:szCs w:val="24"/>
          <w:lang w:val="mk-MK"/>
        </w:rPr>
        <w:t xml:space="preserve">Сепак, критичната поука од хрватскиот пример е ограничениот практичен ефект на овие нормативни решенија. И покрај релативно напредната законодавна рамка и формалната усогласеност со европските стандарди, учеството на вработените во пракса останува скромно, особено во приватниот сектор. Високата концентрација на сопственоста, затворените управувачки структури и слабата улога на пазарот на капитал значително го редуцираат реалното влијание на работничките претставници врз стратешкото одлучување. Дури и во јавните претпријатија, каде учеството е институционализирано, </w:t>
      </w:r>
      <w:r w:rsidR="0099178E">
        <w:rPr>
          <w:sz w:val="24"/>
          <w:szCs w:val="24"/>
          <w:lang w:val="mk-MK"/>
        </w:rPr>
        <w:t>дејството нај</w:t>
      </w:r>
      <w:r w:rsidR="001D11B6" w:rsidRPr="001D11B6">
        <w:rPr>
          <w:sz w:val="24"/>
          <w:szCs w:val="24"/>
          <w:lang w:val="mk-MK"/>
        </w:rPr>
        <w:t xml:space="preserve">често е симболично и </w:t>
      </w:r>
      <w:r w:rsidR="0099178E">
        <w:rPr>
          <w:sz w:val="24"/>
          <w:szCs w:val="24"/>
          <w:lang w:val="mk-MK"/>
        </w:rPr>
        <w:t>процедурално</w:t>
      </w:r>
      <w:r w:rsidR="001D11B6" w:rsidRPr="001D11B6">
        <w:rPr>
          <w:sz w:val="24"/>
          <w:szCs w:val="24"/>
          <w:lang w:val="mk-MK"/>
        </w:rPr>
        <w:t>, а не суштинско.</w:t>
      </w:r>
    </w:p>
    <w:p w14:paraId="15085709" w14:textId="77E040E0" w:rsidR="0099178E" w:rsidRDefault="00A145FD" w:rsidP="0075024B">
      <w:pPr>
        <w:spacing w:before="240"/>
        <w:ind w:firstLine="478"/>
        <w:jc w:val="both"/>
        <w:rPr>
          <w:sz w:val="24"/>
          <w:szCs w:val="24"/>
          <w:lang w:val="mk-MK"/>
        </w:rPr>
      </w:pPr>
      <w:r w:rsidRPr="00A145FD">
        <w:rPr>
          <w:sz w:val="24"/>
          <w:szCs w:val="24"/>
          <w:lang w:val="mk-MK"/>
        </w:rPr>
        <w:t xml:space="preserve">Овие наоди беа критички тестирани и дискутирани во рамките на истражувачката работа со проф. д-р Ирма Машовиќ Муратовиќ, која има изразена експертиза за хрватскиот систем и чија докторска дисертација е од областа на економските науки, со посебен фокус на економските ефекти и институционалните ограничувања </w:t>
      </w:r>
      <w:r>
        <w:rPr>
          <w:sz w:val="24"/>
          <w:szCs w:val="24"/>
          <w:lang w:val="mk-MK"/>
        </w:rPr>
        <w:t>на пост-југословенските републики</w:t>
      </w:r>
      <w:r w:rsidRPr="00A145FD">
        <w:rPr>
          <w:sz w:val="24"/>
          <w:szCs w:val="24"/>
          <w:lang w:val="mk-MK"/>
        </w:rPr>
        <w:t>. Нејзината анализа ја потврдува тезата дека нормативното проширување на правата на вработените, само по себе, не води до значајна промена во корпоративното управување доколку не е придружено со економски поттик, соодветна корпоративна култура и реална распределба на моќта во управувачките структури.</w:t>
      </w:r>
    </w:p>
    <w:p w14:paraId="7CDE79BF" w14:textId="789A083B" w:rsidR="005D62DB" w:rsidRDefault="00713C3F" w:rsidP="005245B2">
      <w:pPr>
        <w:spacing w:before="240" w:after="240"/>
        <w:ind w:firstLine="478"/>
        <w:jc w:val="both"/>
        <w:rPr>
          <w:sz w:val="24"/>
          <w:szCs w:val="24"/>
          <w:lang w:val="mk-MK"/>
        </w:rPr>
      </w:pPr>
      <w:r w:rsidRPr="00713C3F">
        <w:rPr>
          <w:sz w:val="24"/>
          <w:szCs w:val="24"/>
          <w:lang w:val="mk-MK"/>
        </w:rPr>
        <w:lastRenderedPageBreak/>
        <w:t>Оттука, клучната лекција за Македонија не е механичко преземање на хрватскиот модел, туку внимателно разбирање на неговите ограничувања. Хрватското искуство покажува дека јасната правна рамка и усогласеноста со европското право се неопходни, но не и доволни услови. За да има реален ефект, евентуалните реформи во Македонија би морале да бидат поврзани со пошироки економски и институционални промени, со јасна цел да се надмине формализмот и да се создаде функционално</w:t>
      </w:r>
      <w:r w:rsidR="006E0A45">
        <w:rPr>
          <w:sz w:val="24"/>
          <w:szCs w:val="24"/>
          <w:lang w:val="mk-MK"/>
        </w:rPr>
        <w:t xml:space="preserve"> </w:t>
      </w:r>
      <w:r w:rsidRPr="00713C3F">
        <w:rPr>
          <w:sz w:val="24"/>
          <w:szCs w:val="24"/>
          <w:lang w:val="mk-MK"/>
        </w:rPr>
        <w:t>учество на вработените во корпоративното управување.</w:t>
      </w:r>
      <w:r w:rsidR="00373595">
        <w:rPr>
          <w:sz w:val="24"/>
          <w:szCs w:val="24"/>
          <w:lang w:val="mk-MK"/>
        </w:rPr>
        <w:t xml:space="preserve"> Во таа линија, </w:t>
      </w:r>
      <w:r w:rsidR="00373595" w:rsidRPr="00373595">
        <w:rPr>
          <w:sz w:val="24"/>
          <w:szCs w:val="24"/>
          <w:lang w:val="mk-MK"/>
        </w:rPr>
        <w:t>природен следен чекор во компаративната анализа е преминот од Хрватска кон Словенија, како правен и институционален систем кој често се перципира како најконзистентен и најразвиен пример на континентално корпоративно управување во постјугословенскиот простор. Додека хрватското искуство јасно покажува дека формално напредната нормативна рамка и транспозицијата на европските директиви не се доволни за суштинско учество на вработените, словенечкиот модел нуди поинаква перспектива, во која работничкото учество е подлабоко вградено во институционалната архитектура и економската пракса.</w:t>
      </w:r>
      <w:r w:rsidR="003E2419">
        <w:rPr>
          <w:rStyle w:val="FootnoteReference"/>
          <w:sz w:val="24"/>
          <w:szCs w:val="24"/>
          <w:lang w:val="mk-MK"/>
        </w:rPr>
        <w:footnoteReference w:id="614"/>
      </w:r>
      <w:r w:rsidR="00373595" w:rsidRPr="00373595">
        <w:rPr>
          <w:sz w:val="24"/>
          <w:szCs w:val="24"/>
          <w:lang w:val="mk-MK"/>
        </w:rPr>
        <w:t xml:space="preserve"> </w:t>
      </w:r>
    </w:p>
    <w:p w14:paraId="4595CE17" w14:textId="0756B2F8" w:rsidR="005D62DB" w:rsidRPr="00D22054" w:rsidRDefault="0077261B" w:rsidP="009330C0">
      <w:pPr>
        <w:pStyle w:val="Heading1"/>
        <w:numPr>
          <w:ilvl w:val="0"/>
          <w:numId w:val="7"/>
        </w:numPr>
        <w:jc w:val="both"/>
      </w:pPr>
      <w:bookmarkStart w:id="71" w:name="_Toc230523924"/>
      <w:r>
        <w:rPr>
          <w:lang w:val="mk-MK"/>
        </w:rPr>
        <w:t>Х</w:t>
      </w:r>
      <w:r w:rsidRPr="0077261B">
        <w:rPr>
          <w:lang w:val="mk-MK"/>
        </w:rPr>
        <w:t>ибрид</w:t>
      </w:r>
      <w:r>
        <w:rPr>
          <w:lang w:val="mk-MK"/>
        </w:rPr>
        <w:t>ниот</w:t>
      </w:r>
      <w:r w:rsidRPr="0077261B">
        <w:rPr>
          <w:lang w:val="mk-MK"/>
        </w:rPr>
        <w:t xml:space="preserve"> модел на корпоративно управување и институционализирано учество на вработените</w:t>
      </w:r>
      <w:r w:rsidR="00DA72DC">
        <w:rPr>
          <w:lang w:val="mk-MK"/>
        </w:rPr>
        <w:t xml:space="preserve"> во Република Словенија</w:t>
      </w:r>
      <w:bookmarkEnd w:id="71"/>
    </w:p>
    <w:p w14:paraId="26545D36" w14:textId="2EF38DB3" w:rsidR="005D62DB" w:rsidRDefault="00E16058" w:rsidP="00E16058">
      <w:pPr>
        <w:spacing w:before="240"/>
        <w:ind w:firstLine="478"/>
        <w:jc w:val="both"/>
        <w:rPr>
          <w:sz w:val="24"/>
          <w:szCs w:val="24"/>
          <w:lang w:val="en-US"/>
        </w:rPr>
      </w:pPr>
      <w:r w:rsidRPr="00E16058">
        <w:rPr>
          <w:sz w:val="24"/>
          <w:szCs w:val="24"/>
          <w:lang w:val="mk-MK"/>
        </w:rPr>
        <w:t>Словенија претставува посебен случај во регионот, кој често се опишува како „хибриден“ систем што комбинира елементи на континенталната европска кодетерминација со наследствата од југословенскиот систем на самоуправување. Законот за трговски друштва ја обезбедува основната рамка за корпоративното управување, дозволувајќи избор помеѓу двостепен систем со надзорен и управен одбор и едностепен систем со управен одбор.</w:t>
      </w:r>
      <w:r w:rsidR="00730576">
        <w:rPr>
          <w:rStyle w:val="FootnoteReference"/>
          <w:sz w:val="24"/>
          <w:szCs w:val="24"/>
          <w:lang w:val="mk-MK"/>
        </w:rPr>
        <w:footnoteReference w:id="615"/>
      </w:r>
    </w:p>
    <w:p w14:paraId="25489FE8" w14:textId="0CB63A66" w:rsidR="0095606E" w:rsidRDefault="00B4612D" w:rsidP="00E16058">
      <w:pPr>
        <w:spacing w:before="240"/>
        <w:ind w:firstLine="478"/>
        <w:jc w:val="both"/>
        <w:rPr>
          <w:sz w:val="24"/>
          <w:szCs w:val="24"/>
          <w:lang w:val="mk-MK"/>
        </w:rPr>
      </w:pPr>
      <w:r w:rsidRPr="00B4612D">
        <w:rPr>
          <w:sz w:val="24"/>
          <w:szCs w:val="24"/>
          <w:lang w:val="mk-MK"/>
        </w:rPr>
        <w:t xml:space="preserve">Како членка на Европската унија и земја со релативно развиен пазар на капитал, Словенија применува модел на корпоративно управување што ги комбинира елементите на континенталниот правен систем со влијанието на европските директиви. Специфичноста на словенечкиот модел произлегува од процесот на приватизација, при што државата задржа значителни сопственички удели во стратешките сектори преку фондови и директна сопственост. Оваа структура овозможи политичките актери да </w:t>
      </w:r>
      <w:r w:rsidR="007A65F7">
        <w:rPr>
          <w:sz w:val="24"/>
          <w:szCs w:val="24"/>
          <w:lang w:val="mk-MK"/>
        </w:rPr>
        <w:t>имаат</w:t>
      </w:r>
      <w:r w:rsidRPr="00B4612D">
        <w:rPr>
          <w:sz w:val="24"/>
          <w:szCs w:val="24"/>
          <w:lang w:val="mk-MK"/>
        </w:rPr>
        <w:t xml:space="preserve"> одредено влијание врз управувачките одлуки, вклучително и врз именувањето на членовите на надзорните одбори, што во одредени случаи </w:t>
      </w:r>
      <w:r w:rsidR="00FD6D1F">
        <w:rPr>
          <w:sz w:val="24"/>
          <w:szCs w:val="24"/>
          <w:lang w:val="mk-MK"/>
        </w:rPr>
        <w:t xml:space="preserve">се тврди дека </w:t>
      </w:r>
      <w:r w:rsidRPr="00B4612D">
        <w:rPr>
          <w:sz w:val="24"/>
          <w:szCs w:val="24"/>
          <w:lang w:val="mk-MK"/>
        </w:rPr>
        <w:t>дове</w:t>
      </w:r>
      <w:r w:rsidR="00FD6D1F">
        <w:rPr>
          <w:sz w:val="24"/>
          <w:szCs w:val="24"/>
          <w:lang w:val="mk-MK"/>
        </w:rPr>
        <w:t>ло</w:t>
      </w:r>
      <w:r w:rsidRPr="00B4612D">
        <w:rPr>
          <w:sz w:val="24"/>
          <w:szCs w:val="24"/>
          <w:lang w:val="mk-MK"/>
        </w:rPr>
        <w:t xml:space="preserve"> до судири на интереси и </w:t>
      </w:r>
      <w:r w:rsidR="00FD6D1F">
        <w:rPr>
          <w:sz w:val="24"/>
          <w:szCs w:val="24"/>
          <w:lang w:val="mk-MK"/>
        </w:rPr>
        <w:t xml:space="preserve">дека </w:t>
      </w:r>
      <w:r w:rsidRPr="00B4612D">
        <w:rPr>
          <w:sz w:val="24"/>
          <w:szCs w:val="24"/>
          <w:lang w:val="mk-MK"/>
        </w:rPr>
        <w:t>го забави</w:t>
      </w:r>
      <w:r w:rsidR="00FD6D1F">
        <w:rPr>
          <w:sz w:val="24"/>
          <w:szCs w:val="24"/>
          <w:lang w:val="mk-MK"/>
        </w:rPr>
        <w:t>ло</w:t>
      </w:r>
      <w:r w:rsidRPr="00B4612D">
        <w:rPr>
          <w:sz w:val="24"/>
          <w:szCs w:val="24"/>
          <w:lang w:val="mk-MK"/>
        </w:rPr>
        <w:t xml:space="preserve"> развојот на корпоративното управување.</w:t>
      </w:r>
      <w:r w:rsidR="00FD6D1F">
        <w:rPr>
          <w:rStyle w:val="FootnoteReference"/>
          <w:sz w:val="24"/>
          <w:szCs w:val="24"/>
          <w:lang w:val="mk-MK"/>
        </w:rPr>
        <w:footnoteReference w:id="616"/>
      </w:r>
      <w:r w:rsidRPr="00B4612D">
        <w:rPr>
          <w:sz w:val="24"/>
          <w:szCs w:val="24"/>
          <w:lang w:val="mk-MK"/>
        </w:rPr>
        <w:t xml:space="preserve"> </w:t>
      </w:r>
      <w:r w:rsidR="009C1CB0">
        <w:rPr>
          <w:sz w:val="24"/>
          <w:szCs w:val="24"/>
          <w:lang w:val="mk-MK"/>
        </w:rPr>
        <w:t>Сепак, и</w:t>
      </w:r>
      <w:r w:rsidRPr="00B4612D">
        <w:rPr>
          <w:sz w:val="24"/>
          <w:szCs w:val="24"/>
          <w:lang w:val="mk-MK"/>
        </w:rPr>
        <w:t>ако регулаторната рамка во последните години е значително модернизирана, транспарентноста и заштитата на малцинските акционери и понатаму претставуваат предизвик</w:t>
      </w:r>
      <w:r w:rsidR="001A6F89">
        <w:rPr>
          <w:sz w:val="24"/>
          <w:szCs w:val="24"/>
          <w:lang w:val="mk-MK"/>
        </w:rPr>
        <w:t>.</w:t>
      </w:r>
      <w:r w:rsidR="001A6F89">
        <w:rPr>
          <w:rStyle w:val="FootnoteReference"/>
          <w:sz w:val="24"/>
          <w:szCs w:val="24"/>
          <w:lang w:val="mk-MK"/>
        </w:rPr>
        <w:footnoteReference w:id="617"/>
      </w:r>
    </w:p>
    <w:p w14:paraId="09AB667A" w14:textId="05AF4278" w:rsidR="00FA01A1" w:rsidRDefault="00FA01A1" w:rsidP="00E16058">
      <w:pPr>
        <w:spacing w:before="240"/>
        <w:ind w:firstLine="478"/>
        <w:jc w:val="both"/>
        <w:rPr>
          <w:sz w:val="24"/>
          <w:szCs w:val="24"/>
          <w:lang w:val="mk-MK"/>
        </w:rPr>
      </w:pPr>
      <w:r w:rsidRPr="00FA01A1">
        <w:rPr>
          <w:sz w:val="24"/>
          <w:szCs w:val="24"/>
          <w:lang w:val="mk-MK"/>
        </w:rPr>
        <w:t>Регулацијата на акционерските друштва во Словенија е уредена со Законот за трговски друштва, кој овозможува избор помеѓу едностепен и двостепен систем на управување. И покрај нормативната флексибилност, во практиката доминира двостепениот модел, особено кај големите компании котирани на Љубљанската берза.</w:t>
      </w:r>
      <w:r w:rsidR="000F7996">
        <w:rPr>
          <w:rStyle w:val="FootnoteReference"/>
          <w:sz w:val="24"/>
          <w:szCs w:val="24"/>
          <w:lang w:val="mk-MK"/>
        </w:rPr>
        <w:footnoteReference w:id="618"/>
      </w:r>
      <w:r w:rsidRPr="00FA01A1">
        <w:rPr>
          <w:sz w:val="24"/>
          <w:szCs w:val="24"/>
          <w:lang w:val="mk-MK"/>
        </w:rPr>
        <w:t xml:space="preserve"> </w:t>
      </w:r>
      <w:r w:rsidRPr="00FA01A1">
        <w:rPr>
          <w:sz w:val="24"/>
          <w:szCs w:val="24"/>
          <w:lang w:val="mk-MK"/>
        </w:rPr>
        <w:lastRenderedPageBreak/>
        <w:t>Овој модел се одликува со јасна поделба на надзорните и управувачките функции, при што надзорниот одбор има клучна улога во именувањето и контролата на работата на управниот одбор. Собранието на акционери е задолжително и мора да се одржува најмалку еднаш годишно, независно од избраниот модел.</w:t>
      </w:r>
      <w:r w:rsidR="00BB2DB0">
        <w:rPr>
          <w:rStyle w:val="FootnoteReference"/>
          <w:sz w:val="24"/>
          <w:szCs w:val="24"/>
          <w:lang w:val="mk-MK"/>
        </w:rPr>
        <w:footnoteReference w:id="619"/>
      </w:r>
      <w:r w:rsidRPr="00FA01A1">
        <w:rPr>
          <w:sz w:val="24"/>
          <w:szCs w:val="24"/>
          <w:lang w:val="mk-MK"/>
        </w:rPr>
        <w:t xml:space="preserve"> Компании како Krka d.d. и Petrol d.d. функционираат во рамки на овој модел со висок степен на професионализација и транспарентност, што е потврдено и во извештаите на Агенцијата за јавен надзор на ревизијата.</w:t>
      </w:r>
      <w:r w:rsidR="00D53C47">
        <w:rPr>
          <w:rStyle w:val="FootnoteReference"/>
          <w:sz w:val="24"/>
          <w:szCs w:val="24"/>
          <w:lang w:val="mk-MK"/>
        </w:rPr>
        <w:footnoteReference w:id="620"/>
      </w:r>
    </w:p>
    <w:p w14:paraId="65AF93C6" w14:textId="14B4810D" w:rsidR="00BF56C2" w:rsidRDefault="00BF56C2" w:rsidP="00E16058">
      <w:pPr>
        <w:spacing w:before="240"/>
        <w:ind w:firstLine="478"/>
        <w:jc w:val="both"/>
        <w:rPr>
          <w:sz w:val="24"/>
          <w:szCs w:val="24"/>
          <w:lang w:val="mk-MK"/>
        </w:rPr>
      </w:pPr>
      <w:r w:rsidRPr="00BF56C2">
        <w:rPr>
          <w:sz w:val="24"/>
          <w:szCs w:val="24"/>
          <w:lang w:val="mk-MK"/>
        </w:rPr>
        <w:t xml:space="preserve">Учеството на вработените во управувачките структури во Словенија има посилна институционална основа отколку во </w:t>
      </w:r>
      <w:r w:rsidR="00CC63F4">
        <w:rPr>
          <w:sz w:val="24"/>
          <w:szCs w:val="24"/>
          <w:lang w:val="mk-MK"/>
        </w:rPr>
        <w:t xml:space="preserve">Босна, </w:t>
      </w:r>
      <w:r w:rsidRPr="00BF56C2">
        <w:rPr>
          <w:sz w:val="24"/>
          <w:szCs w:val="24"/>
          <w:lang w:val="mk-MK"/>
        </w:rPr>
        <w:t>Србија и Хрватска. Според Законот за работни одно</w:t>
      </w:r>
      <w:r w:rsidR="00CC63F4">
        <w:rPr>
          <w:sz w:val="24"/>
          <w:szCs w:val="24"/>
          <w:lang w:val="mk-MK"/>
        </w:rPr>
        <w:t>си</w:t>
      </w:r>
      <w:r w:rsidRPr="00BF56C2">
        <w:rPr>
          <w:sz w:val="24"/>
          <w:szCs w:val="24"/>
          <w:lang w:val="mk-MK"/>
        </w:rPr>
        <w:t>, вработените имаат право на информирање и консултација, како и на директно учество во надзорните одбори во одредени случаи.</w:t>
      </w:r>
      <w:r w:rsidR="009C645F">
        <w:rPr>
          <w:rStyle w:val="FootnoteReference"/>
          <w:sz w:val="24"/>
          <w:szCs w:val="24"/>
          <w:lang w:val="mk-MK"/>
        </w:rPr>
        <w:footnoteReference w:id="621"/>
      </w:r>
      <w:r w:rsidRPr="00BF56C2">
        <w:rPr>
          <w:sz w:val="24"/>
          <w:szCs w:val="24"/>
          <w:lang w:val="mk-MK"/>
        </w:rPr>
        <w:t xml:space="preserve"> Дополнително, Законот за учество на работниците во управувањето задолжително предвидува вклучување на претставници на вработените во надзорните одбори на друштва со повеќе од 50 вработени, при што претставниците се избираат од самите вработени преку демократски процедури.</w:t>
      </w:r>
      <w:r w:rsidR="009C645F">
        <w:rPr>
          <w:rStyle w:val="FootnoteReference"/>
          <w:sz w:val="24"/>
          <w:szCs w:val="24"/>
          <w:lang w:val="mk-MK"/>
        </w:rPr>
        <w:footnoteReference w:id="622"/>
      </w:r>
    </w:p>
    <w:p w14:paraId="1F51C793" w14:textId="7B5E6973" w:rsidR="003B6DE6" w:rsidRDefault="004A0FC2" w:rsidP="00E16058">
      <w:pPr>
        <w:spacing w:before="240"/>
        <w:ind w:firstLine="478"/>
        <w:jc w:val="both"/>
        <w:rPr>
          <w:sz w:val="24"/>
          <w:szCs w:val="24"/>
          <w:lang w:val="mk-MK"/>
        </w:rPr>
      </w:pPr>
      <w:r w:rsidRPr="004A0FC2">
        <w:rPr>
          <w:sz w:val="24"/>
          <w:szCs w:val="24"/>
          <w:lang w:val="mk-MK"/>
        </w:rPr>
        <w:t>Во јавните претпријатија, како Словенски железници и Пошта Словеније, претставниците на вработените сочинуваат значаен дел од надзорните одбори и учествуваат во стратешкото одлучување, особено во прашања поврзани со условите за работа, реорганизацијата и инвестициите.</w:t>
      </w:r>
      <w:r w:rsidR="00E36092">
        <w:rPr>
          <w:rStyle w:val="FootnoteReference"/>
          <w:sz w:val="24"/>
          <w:szCs w:val="24"/>
          <w:lang w:val="mk-MK"/>
        </w:rPr>
        <w:footnoteReference w:id="623"/>
      </w:r>
      <w:r w:rsidRPr="004A0FC2">
        <w:rPr>
          <w:sz w:val="24"/>
          <w:szCs w:val="24"/>
          <w:lang w:val="mk-MK"/>
        </w:rPr>
        <w:t xml:space="preserve"> Словенија е една од ретките земји во регионот што целосно ги имплементирала одредбите на Директивата 2001/86/ЕЗ за учество на вработените во европските акционерски друштва (SE), при што компании како Gorenje ја користат оваа правна форма за интернационализација на работењето, задржувајќи го моделот на партиципативно управување.</w:t>
      </w:r>
      <w:r w:rsidR="002B315E">
        <w:rPr>
          <w:rStyle w:val="FootnoteReference"/>
          <w:sz w:val="24"/>
          <w:szCs w:val="24"/>
          <w:lang w:val="mk-MK"/>
        </w:rPr>
        <w:footnoteReference w:id="624"/>
      </w:r>
      <w:r w:rsidR="002B315E">
        <w:rPr>
          <w:sz w:val="24"/>
          <w:szCs w:val="24"/>
          <w:lang w:val="mk-MK"/>
        </w:rPr>
        <w:t xml:space="preserve"> Ова е уште еден од сегментите </w:t>
      </w:r>
      <w:r w:rsidR="00E6158D">
        <w:rPr>
          <w:sz w:val="24"/>
          <w:szCs w:val="24"/>
          <w:lang w:val="mk-MK"/>
        </w:rPr>
        <w:t xml:space="preserve">што </w:t>
      </w:r>
      <w:r w:rsidR="00216CC2">
        <w:rPr>
          <w:sz w:val="24"/>
          <w:szCs w:val="24"/>
          <w:lang w:val="mk-MK"/>
        </w:rPr>
        <w:t xml:space="preserve">друштвата во </w:t>
      </w:r>
      <w:r w:rsidR="00E6158D">
        <w:rPr>
          <w:sz w:val="24"/>
          <w:szCs w:val="24"/>
          <w:lang w:val="mk-MK"/>
        </w:rPr>
        <w:t xml:space="preserve">Македонија, Босна, Србија и Хрватска </w:t>
      </w:r>
      <w:r w:rsidR="003B6DE6">
        <w:rPr>
          <w:sz w:val="24"/>
          <w:szCs w:val="24"/>
          <w:lang w:val="mk-MK"/>
        </w:rPr>
        <w:t>би можеле</w:t>
      </w:r>
      <w:r w:rsidR="00E6158D">
        <w:rPr>
          <w:sz w:val="24"/>
          <w:szCs w:val="24"/>
          <w:lang w:val="mk-MK"/>
        </w:rPr>
        <w:t xml:space="preserve"> да ги искористат со </w:t>
      </w:r>
      <w:r w:rsidR="003B6DE6">
        <w:rPr>
          <w:sz w:val="24"/>
          <w:szCs w:val="24"/>
          <w:lang w:val="mk-MK"/>
        </w:rPr>
        <w:t xml:space="preserve">потенцијалните </w:t>
      </w:r>
      <w:r w:rsidR="001E4066">
        <w:rPr>
          <w:sz w:val="24"/>
          <w:szCs w:val="24"/>
          <w:lang w:val="mk-MK"/>
        </w:rPr>
        <w:t>реформи</w:t>
      </w:r>
      <w:r w:rsidR="00E6158D">
        <w:rPr>
          <w:sz w:val="24"/>
          <w:szCs w:val="24"/>
          <w:lang w:val="mk-MK"/>
        </w:rPr>
        <w:t xml:space="preserve"> на законодавства</w:t>
      </w:r>
      <w:r w:rsidR="003B6DE6">
        <w:rPr>
          <w:sz w:val="24"/>
          <w:szCs w:val="24"/>
          <w:lang w:val="mk-MK"/>
        </w:rPr>
        <w:t>та</w:t>
      </w:r>
      <w:r w:rsidR="00E6158D">
        <w:rPr>
          <w:sz w:val="24"/>
          <w:szCs w:val="24"/>
          <w:lang w:val="mk-MK"/>
        </w:rPr>
        <w:t>.</w:t>
      </w:r>
      <w:r w:rsidR="00C10A01">
        <w:rPr>
          <w:rStyle w:val="FootnoteReference"/>
          <w:sz w:val="24"/>
          <w:szCs w:val="24"/>
          <w:lang w:val="mk-MK"/>
        </w:rPr>
        <w:footnoteReference w:id="625"/>
      </w:r>
    </w:p>
    <w:p w14:paraId="7317C0F2" w14:textId="77777777" w:rsidR="009B2DE6" w:rsidRDefault="009B56E7" w:rsidP="00E16058">
      <w:pPr>
        <w:spacing w:before="240"/>
        <w:ind w:firstLine="478"/>
        <w:jc w:val="both"/>
        <w:rPr>
          <w:sz w:val="24"/>
          <w:szCs w:val="24"/>
          <w:lang w:val="mk-MK"/>
        </w:rPr>
      </w:pPr>
      <w:r w:rsidRPr="009B56E7">
        <w:rPr>
          <w:sz w:val="24"/>
          <w:szCs w:val="24"/>
          <w:lang w:val="mk-MK"/>
        </w:rPr>
        <w:t>Практиката на учество на вработените во Словенија се темели на комбинација од европски директиви и национални колективни договори, што поттикнува дијалог помеѓу управата и вработените, особено во сектори со висока регулаторна густина и социјална одговорност.</w:t>
      </w:r>
      <w:r w:rsidR="00EF56A7">
        <w:rPr>
          <w:rStyle w:val="FootnoteReference"/>
          <w:sz w:val="24"/>
          <w:szCs w:val="24"/>
          <w:lang w:val="mk-MK"/>
        </w:rPr>
        <w:footnoteReference w:id="626"/>
      </w:r>
      <w:r w:rsidRPr="009B56E7">
        <w:rPr>
          <w:sz w:val="24"/>
          <w:szCs w:val="24"/>
          <w:lang w:val="mk-MK"/>
        </w:rPr>
        <w:t xml:space="preserve"> Истражувањата покажуваат дека 65 проценти од вработените сметаат дека имаат влијание врз одлуките поврзани со работните процеси, додека 71 процент од менаџерите наведуваат дека вработените учествуваат во организацијата на работата.</w:t>
      </w:r>
      <w:r w:rsidR="00C71CC7">
        <w:rPr>
          <w:rStyle w:val="FootnoteReference"/>
          <w:sz w:val="24"/>
          <w:szCs w:val="24"/>
          <w:lang w:val="mk-MK"/>
        </w:rPr>
        <w:footnoteReference w:id="627"/>
      </w:r>
      <w:r w:rsidRPr="009B56E7">
        <w:rPr>
          <w:sz w:val="24"/>
          <w:szCs w:val="24"/>
          <w:lang w:val="mk-MK"/>
        </w:rPr>
        <w:t xml:space="preserve"> Ова укажува на релативно високо ниво на колективно учество во одлучувањето.</w:t>
      </w:r>
      <w:r w:rsidR="00924DA6">
        <w:rPr>
          <w:rStyle w:val="FootnoteReference"/>
          <w:sz w:val="24"/>
          <w:szCs w:val="24"/>
          <w:lang w:val="mk-MK"/>
        </w:rPr>
        <w:footnoteReference w:id="628"/>
      </w:r>
      <w:r w:rsidR="005E0B4B">
        <w:rPr>
          <w:sz w:val="24"/>
          <w:szCs w:val="24"/>
          <w:lang w:val="en-US"/>
        </w:rPr>
        <w:t xml:space="preserve"> </w:t>
      </w:r>
    </w:p>
    <w:p w14:paraId="4D6607C6" w14:textId="5D7E9DF9" w:rsidR="009B56E7" w:rsidRDefault="005E0B4B" w:rsidP="00E16058">
      <w:pPr>
        <w:spacing w:before="240"/>
        <w:ind w:firstLine="478"/>
        <w:jc w:val="both"/>
        <w:rPr>
          <w:sz w:val="24"/>
          <w:szCs w:val="24"/>
          <w:lang w:val="mk-MK"/>
        </w:rPr>
      </w:pPr>
      <w:r w:rsidRPr="005E0B4B">
        <w:rPr>
          <w:sz w:val="24"/>
          <w:szCs w:val="24"/>
          <w:lang w:val="mk-MK"/>
        </w:rPr>
        <w:lastRenderedPageBreak/>
        <w:t>Дополнителна институционална основа обезбедува Словенечкиот кодекс за корпоративно управување на јавните претпријатија, усвоен во 2004 година и ревидиран во 2009 и 2021 година.</w:t>
      </w:r>
      <w:r w:rsidR="00D40BF4">
        <w:rPr>
          <w:rStyle w:val="FootnoteReference"/>
          <w:sz w:val="24"/>
          <w:szCs w:val="24"/>
          <w:lang w:val="mk-MK"/>
        </w:rPr>
        <w:footnoteReference w:id="629"/>
      </w:r>
      <w:r w:rsidRPr="005E0B4B">
        <w:rPr>
          <w:sz w:val="24"/>
          <w:szCs w:val="24"/>
          <w:lang w:val="mk-MK"/>
        </w:rPr>
        <w:t xml:space="preserve"> Кодексот предвидува задолжителна политика за корпоративно управување, која опфаќа стратегија за комуникација, етички стандарди, заштита на интересите на вработените и механизми за балансирање на интересите на различните чинители. Најновата верзија става посебен акцент на одржливото работење, различноста во управувачките тела, транспарентноста во известувањето и дигитализацијата на работата на надзорните одбори.</w:t>
      </w:r>
      <w:r w:rsidR="0013659C">
        <w:rPr>
          <w:rStyle w:val="FootnoteReference"/>
          <w:sz w:val="24"/>
          <w:szCs w:val="24"/>
          <w:lang w:val="mk-MK"/>
        </w:rPr>
        <w:footnoteReference w:id="630"/>
      </w:r>
      <w:r w:rsidRPr="005E0B4B">
        <w:rPr>
          <w:sz w:val="24"/>
          <w:szCs w:val="24"/>
          <w:lang w:val="mk-MK"/>
        </w:rPr>
        <w:t xml:space="preserve"> Високото ниво на транспарентност, потврдено и преку анализата на индексот SEECGAN, претставува значајна институционална претпоставка за зајакнување на довербата на вработените и нивната вклученост во процесите на одлучување.</w:t>
      </w:r>
      <w:r w:rsidR="0097510F">
        <w:rPr>
          <w:rStyle w:val="FootnoteReference"/>
          <w:sz w:val="24"/>
          <w:szCs w:val="24"/>
          <w:lang w:val="mk-MK"/>
        </w:rPr>
        <w:footnoteReference w:id="631"/>
      </w:r>
    </w:p>
    <w:p w14:paraId="1A10C104" w14:textId="6F4F36AE" w:rsidR="00C10B92" w:rsidRDefault="00C10B92" w:rsidP="00E16058">
      <w:pPr>
        <w:spacing w:before="240"/>
        <w:ind w:firstLine="478"/>
        <w:jc w:val="both"/>
        <w:rPr>
          <w:sz w:val="24"/>
          <w:szCs w:val="24"/>
          <w:lang w:val="mk-MK"/>
        </w:rPr>
      </w:pPr>
      <w:r>
        <w:rPr>
          <w:sz w:val="24"/>
          <w:szCs w:val="24"/>
          <w:lang w:val="mk-MK"/>
        </w:rPr>
        <w:t>Во таа линија,</w:t>
      </w:r>
      <w:r w:rsidRPr="00C10B92">
        <w:rPr>
          <w:sz w:val="24"/>
          <w:szCs w:val="24"/>
          <w:lang w:val="mk-MK"/>
        </w:rPr>
        <w:t xml:space="preserve"> Кодекс</w:t>
      </w:r>
      <w:r>
        <w:rPr>
          <w:sz w:val="24"/>
          <w:szCs w:val="24"/>
          <w:lang w:val="mk-MK"/>
        </w:rPr>
        <w:t>от</w:t>
      </w:r>
      <w:r w:rsidRPr="00C10B92">
        <w:rPr>
          <w:sz w:val="24"/>
          <w:szCs w:val="24"/>
          <w:lang w:val="mk-MK"/>
        </w:rPr>
        <w:t xml:space="preserve"> за корпоративно управување на акционерските друштва котирани на Македонската берза претставува значаен чекор во еволуцијата на корпоративното управување во Македонија. Кодексот, како заеднички проект на Македонската берза и Комисијата за хартии од вредност, реализиран со поддршка на Европската банка за обнова и развој, има двојна функција. Од една страна, тој го заменува застарениот Кодекс од 2006 година, а од друга страна, преку измените на Правилата за котација, го проширува опфатот на друштва на кои се применува, со што се зголемува неговото практично и регулаторно значење.</w:t>
      </w:r>
      <w:r w:rsidR="007D611E">
        <w:rPr>
          <w:rStyle w:val="FootnoteReference"/>
          <w:sz w:val="24"/>
          <w:szCs w:val="24"/>
          <w:lang w:val="mk-MK"/>
        </w:rPr>
        <w:footnoteReference w:id="632"/>
      </w:r>
    </w:p>
    <w:p w14:paraId="6654E46D" w14:textId="00F195CD" w:rsidR="00F33700" w:rsidRDefault="00F33700" w:rsidP="00E16058">
      <w:pPr>
        <w:spacing w:before="240"/>
        <w:ind w:firstLine="478"/>
        <w:jc w:val="both"/>
        <w:rPr>
          <w:sz w:val="24"/>
          <w:szCs w:val="24"/>
          <w:lang w:val="mk-MK"/>
        </w:rPr>
      </w:pPr>
      <w:r>
        <w:rPr>
          <w:sz w:val="24"/>
          <w:szCs w:val="24"/>
          <w:lang w:val="mk-MK"/>
        </w:rPr>
        <w:t xml:space="preserve">Овој </w:t>
      </w:r>
      <w:r w:rsidRPr="00F33700">
        <w:rPr>
          <w:sz w:val="24"/>
          <w:szCs w:val="24"/>
          <w:lang w:val="mk-MK"/>
        </w:rPr>
        <w:t xml:space="preserve">Кодекс пресликува </w:t>
      </w:r>
      <w:r w:rsidR="00C40F14">
        <w:rPr>
          <w:sz w:val="24"/>
          <w:szCs w:val="24"/>
          <w:lang w:val="mk-MK"/>
        </w:rPr>
        <w:t xml:space="preserve">најголем дел од </w:t>
      </w:r>
      <w:r w:rsidRPr="00F33700">
        <w:rPr>
          <w:sz w:val="24"/>
          <w:szCs w:val="24"/>
          <w:lang w:val="mk-MK"/>
        </w:rPr>
        <w:t>современите меѓународни стандарди на корпоративно управување, вклучително и принципите на транспарентност, отчетност, одржливост и заштита на интересите на акционерите и засегнатите лица. Особено значајно е тоа што Кодексот е усогласен со развојот на домашната законска рамка и со европските практики, при што примената се заснова на принципот „примени или појасни зошто не си применил“. Овој пристап овозможува флексибилност и прилагодување кон големината и специфичностите на друштвата, но истовремено воведува засилена обврска за транспарентност преку детално образложување на евентуалните отстапувања.</w:t>
      </w:r>
    </w:p>
    <w:p w14:paraId="2E62E525" w14:textId="16DC7E30" w:rsidR="00C40F14" w:rsidRDefault="00C40F14" w:rsidP="00E16058">
      <w:pPr>
        <w:spacing w:before="240"/>
        <w:ind w:firstLine="478"/>
        <w:jc w:val="both"/>
        <w:rPr>
          <w:sz w:val="24"/>
          <w:szCs w:val="24"/>
          <w:lang w:val="mk-MK"/>
        </w:rPr>
      </w:pPr>
      <w:r w:rsidRPr="00C40F14">
        <w:rPr>
          <w:sz w:val="24"/>
          <w:szCs w:val="24"/>
          <w:lang w:val="mk-MK"/>
        </w:rPr>
        <w:t>Во овој контекст, особено релевантни се Дел 6 и Дел 7 од Кодексот, кои ја надминуваат традиционалната акционерска перспектива и воведуваат поширок концепт на корпоративна одговорност. Дел 6 ги третира засегнатите лица, одржливоста и прашањата од општествен интерес, при што управните и надзорните одбори се задолжуваат систематски да ги земаат предвид интересите на вработените, клиентите, добавувачите и локалната заедница. Иако Кодексот не предвидува директно учество на вработените во органите на управување, тој воспоставува обврски за комуникација, идентификација на засегнатите лица, управување со еколошки и општествени ризици и известување за овие прашања во годишните извештаи.</w:t>
      </w:r>
    </w:p>
    <w:p w14:paraId="7F1011AC" w14:textId="29CF609E" w:rsidR="00BA0045" w:rsidRDefault="00BA0045" w:rsidP="00E16058">
      <w:pPr>
        <w:spacing w:before="240"/>
        <w:ind w:firstLine="478"/>
        <w:jc w:val="both"/>
        <w:rPr>
          <w:sz w:val="24"/>
          <w:szCs w:val="24"/>
          <w:lang w:val="en-US"/>
        </w:rPr>
      </w:pPr>
      <w:r w:rsidRPr="00BA0045">
        <w:rPr>
          <w:sz w:val="24"/>
          <w:szCs w:val="24"/>
          <w:lang w:val="mk-MK"/>
        </w:rPr>
        <w:lastRenderedPageBreak/>
        <w:t>Дел 7, посветен на транспарентноста и објавувањето, дополнително ја зајакнува отчетноста на котираните друштва преку детални барања за обелоденување на информации за корпоративното управување, составот и работата на одборите, наградувањето, родовата застапеност, комуникацијата со засегнатите лица и политиките за одржливост. Оваа рамка претставува важен предуслов за градење доверба кај инвеститорите и пошироката јавност, како и за подобрување на корпоративната култура на долг рок.</w:t>
      </w:r>
      <w:r w:rsidR="001B315E">
        <w:rPr>
          <w:rStyle w:val="FootnoteReference"/>
          <w:sz w:val="24"/>
          <w:szCs w:val="24"/>
          <w:lang w:val="mk-MK"/>
        </w:rPr>
        <w:footnoteReference w:id="633"/>
      </w:r>
    </w:p>
    <w:p w14:paraId="6FFCAAC5" w14:textId="55FBFB08" w:rsidR="00635842" w:rsidRDefault="00CF79EA" w:rsidP="00E16058">
      <w:pPr>
        <w:spacing w:before="240"/>
        <w:ind w:firstLine="478"/>
        <w:jc w:val="both"/>
        <w:rPr>
          <w:sz w:val="24"/>
          <w:szCs w:val="24"/>
          <w:lang w:val="mk-MK"/>
        </w:rPr>
      </w:pPr>
      <w:r>
        <w:rPr>
          <w:sz w:val="24"/>
          <w:szCs w:val="24"/>
          <w:lang w:val="mk-MK"/>
        </w:rPr>
        <w:t>В</w:t>
      </w:r>
      <w:r w:rsidRPr="00CF79EA">
        <w:rPr>
          <w:sz w:val="24"/>
          <w:szCs w:val="24"/>
          <w:lang w:val="mk-MK"/>
        </w:rPr>
        <w:t xml:space="preserve">о споредба со словенечкиот Кодекс за корпоративно управување, македонскиот Кодекс покажува високо ниво на нормативна усогласеност со европските стандарди, но и суштинска разлика во однос на институционалната длабочина на учеството на вработените. Словенија, покрај кодексот како инструмент на </w:t>
      </w:r>
      <w:r w:rsidR="00C547CA">
        <w:rPr>
          <w:sz w:val="24"/>
          <w:szCs w:val="24"/>
          <w:lang w:val="mk-MK"/>
        </w:rPr>
        <w:t>меко право</w:t>
      </w:r>
      <w:r w:rsidRPr="00CF79EA">
        <w:rPr>
          <w:sz w:val="24"/>
          <w:szCs w:val="24"/>
          <w:lang w:val="mk-MK"/>
        </w:rPr>
        <w:t xml:space="preserve">, располага со силна законска рамка, пред сè преку Законот за учество на работниците во управувањето, со кој експлицитно се гарантира застапеност на вработените во надзорните одбори на големите компании. Таму кодексот функционира како дополнителен слој </w:t>
      </w:r>
      <w:r w:rsidR="00DD3B0B">
        <w:rPr>
          <w:sz w:val="24"/>
          <w:szCs w:val="24"/>
          <w:lang w:val="mk-MK"/>
        </w:rPr>
        <w:t>и</w:t>
      </w:r>
      <w:r w:rsidR="00FA18A7">
        <w:rPr>
          <w:sz w:val="24"/>
          <w:szCs w:val="24"/>
          <w:lang w:val="mk-MK"/>
        </w:rPr>
        <w:t xml:space="preserve"> гаранција на</w:t>
      </w:r>
      <w:r w:rsidRPr="00CF79EA">
        <w:rPr>
          <w:sz w:val="24"/>
          <w:szCs w:val="24"/>
          <w:lang w:val="mk-MK"/>
        </w:rPr>
        <w:t xml:space="preserve"> постоечката институционализирана кодетерминација.</w:t>
      </w:r>
    </w:p>
    <w:p w14:paraId="548947B0" w14:textId="2270C035" w:rsidR="00DD3B0B" w:rsidRDefault="00DD3B0B" w:rsidP="00E16058">
      <w:pPr>
        <w:spacing w:before="240"/>
        <w:ind w:firstLine="478"/>
        <w:jc w:val="both"/>
        <w:rPr>
          <w:sz w:val="24"/>
          <w:szCs w:val="24"/>
          <w:lang w:val="mk-MK"/>
        </w:rPr>
      </w:pPr>
      <w:r w:rsidRPr="00DD3B0B">
        <w:rPr>
          <w:sz w:val="24"/>
          <w:szCs w:val="24"/>
          <w:lang w:val="mk-MK"/>
        </w:rPr>
        <w:t>Во Македонија, пак, Кодексот има поинаква улога. Тој претставува важен сигнал за модернизација и европеизација на корпоративното управување, но учеството на вработените останува индиректн</w:t>
      </w:r>
      <w:r w:rsidR="00976472">
        <w:rPr>
          <w:sz w:val="24"/>
          <w:szCs w:val="24"/>
          <w:lang w:val="mk-MK"/>
        </w:rPr>
        <w:t xml:space="preserve">о спомнато само </w:t>
      </w:r>
      <w:r w:rsidRPr="00DD3B0B">
        <w:rPr>
          <w:sz w:val="24"/>
          <w:szCs w:val="24"/>
          <w:lang w:val="mk-MK"/>
        </w:rPr>
        <w:t>преку концептот на засегнати лица, одржливост и општествена одговорност. Оттука, македонскиот модел засега се потпира на транспарентност, дијалог и известување, а не на формализирано вклучување на вработените во процесите на одлучување на највисоко ниво. Сепак, значењето на Кодексот не треба да се потцени. Во контекст на мал и концентриран пазар на хартии од вредност, тој создава институционална инфраструктура што може да послужи како основа за понатамошен развој на корпоративното управување, вклучително и за идно продлабочување на улогата на вработените. Во таа смисла, македонскиот Кодекс може да се разбере како прв, но неопходен чекор кон постепено приближување до модели како словенечкиот, каде што принципите на транспарентност и одржливост се надополнети со реална распределба на моќта во управувачките структури.</w:t>
      </w:r>
    </w:p>
    <w:p w14:paraId="490A2228" w14:textId="0C16CAFA" w:rsidR="00B37C6C" w:rsidRDefault="002D194D" w:rsidP="00E16058">
      <w:pPr>
        <w:spacing w:before="240"/>
        <w:ind w:firstLine="478"/>
        <w:jc w:val="both"/>
        <w:rPr>
          <w:sz w:val="24"/>
          <w:szCs w:val="24"/>
          <w:lang w:val="en-US"/>
        </w:rPr>
      </w:pPr>
      <w:r>
        <w:rPr>
          <w:sz w:val="24"/>
          <w:szCs w:val="24"/>
          <w:lang w:val="mk-MK"/>
        </w:rPr>
        <w:t>Понатаму, е</w:t>
      </w:r>
      <w:r w:rsidRPr="002D194D">
        <w:rPr>
          <w:sz w:val="24"/>
          <w:szCs w:val="24"/>
          <w:lang w:val="mk-MK"/>
        </w:rPr>
        <w:t xml:space="preserve">мпириските истражувања на Институтот за економски истражувања покажуваат дека компаниите </w:t>
      </w:r>
      <w:r w:rsidR="00A02621">
        <w:rPr>
          <w:sz w:val="24"/>
          <w:szCs w:val="24"/>
          <w:lang w:val="mk-MK"/>
        </w:rPr>
        <w:t xml:space="preserve">во Словенија </w:t>
      </w:r>
      <w:r w:rsidRPr="002D194D">
        <w:rPr>
          <w:sz w:val="24"/>
          <w:szCs w:val="24"/>
          <w:lang w:val="mk-MK"/>
        </w:rPr>
        <w:t>со активни претставници на вработените бележат повисоко ниво на задоволство и понизок обрт на работната сила.</w:t>
      </w:r>
      <w:r w:rsidR="009A5117">
        <w:rPr>
          <w:rStyle w:val="FootnoteReference"/>
          <w:sz w:val="24"/>
          <w:szCs w:val="24"/>
          <w:lang w:val="mk-MK"/>
        </w:rPr>
        <w:footnoteReference w:id="634"/>
      </w:r>
      <w:r w:rsidRPr="002D194D">
        <w:rPr>
          <w:sz w:val="24"/>
          <w:szCs w:val="24"/>
          <w:lang w:val="mk-MK"/>
        </w:rPr>
        <w:t xml:space="preserve"> Сепак, и покрај релативно развиените форми на колективно учество, остануваат предизвици, особено во приватниот сектор, каде улогата на претставниците на вработените понекогаш е формална и без реално влијание врз стратешките одлуки. Според националниот извештај на проектот </w:t>
      </w:r>
      <w:r w:rsidRPr="00855901">
        <w:rPr>
          <w:i/>
          <w:iCs/>
          <w:sz w:val="24"/>
          <w:szCs w:val="24"/>
          <w:lang w:val="mk-MK"/>
        </w:rPr>
        <w:t>BroadVoice</w:t>
      </w:r>
      <w:r w:rsidRPr="002D194D">
        <w:rPr>
          <w:sz w:val="24"/>
          <w:szCs w:val="24"/>
          <w:lang w:val="mk-MK"/>
        </w:rPr>
        <w:t>, директното учество на вработените, кое подразбира непосредно вклучување во одлучувањето, сè уште не е систематски развиено во Словенија, при што поголемиот дел од истражувањата се фокусираат на колективните форми на учество.</w:t>
      </w:r>
      <w:r w:rsidR="0084396A">
        <w:rPr>
          <w:rStyle w:val="FootnoteReference"/>
          <w:sz w:val="24"/>
          <w:szCs w:val="24"/>
          <w:lang w:val="mk-MK"/>
        </w:rPr>
        <w:footnoteReference w:id="635"/>
      </w:r>
    </w:p>
    <w:p w14:paraId="10A2DB84" w14:textId="2EA2E820" w:rsidR="00960A39" w:rsidRDefault="0090197A" w:rsidP="00E16058">
      <w:pPr>
        <w:spacing w:before="240"/>
        <w:ind w:firstLine="478"/>
        <w:jc w:val="both"/>
        <w:rPr>
          <w:sz w:val="24"/>
          <w:szCs w:val="24"/>
          <w:lang w:val="mk-MK"/>
        </w:rPr>
      </w:pPr>
      <w:r w:rsidRPr="0090197A">
        <w:rPr>
          <w:sz w:val="24"/>
          <w:szCs w:val="24"/>
          <w:lang w:val="mk-MK"/>
        </w:rPr>
        <w:t xml:space="preserve">Словенечкиот модел на корпоративно управување покажува дека е можно </w:t>
      </w:r>
      <w:r w:rsidRPr="0090197A">
        <w:rPr>
          <w:sz w:val="24"/>
          <w:szCs w:val="24"/>
          <w:lang w:val="mk-MK"/>
        </w:rPr>
        <w:lastRenderedPageBreak/>
        <w:t>усогласување на управувачката ефикасност со партиципативните принципи, но ваквата рамнотежа бара континуирана институционална поддршка, развој на култура на дијалог и зајакнување на механизмите за директно вклучување на вработените.</w:t>
      </w:r>
      <w:r w:rsidR="0060044F">
        <w:rPr>
          <w:sz w:val="24"/>
          <w:szCs w:val="24"/>
          <w:lang w:val="mk-MK"/>
        </w:rPr>
        <w:t xml:space="preserve"> </w:t>
      </w:r>
      <w:r w:rsidR="0060044F" w:rsidRPr="0060044F">
        <w:rPr>
          <w:sz w:val="24"/>
          <w:szCs w:val="24"/>
          <w:lang w:val="mk-MK"/>
        </w:rPr>
        <w:t>За разлика од Хрватска и Србија, словенечкото право експлицитно гарантира учество на вработените на ниво на управувачките тела во одредени категории друштва. Законот за учество на работниците во управувањето е клучниот законски инструмент што го воспоставува правото на вработените да избираат свои претставници во надзорните одбори. Кај големите компании, вработените имаат право да изберат најмалку една третина од членовите на надзорниот одбор, правило што ја позиционира Словенија поблиску до германскиот модел на кодетерминација.</w:t>
      </w:r>
    </w:p>
    <w:p w14:paraId="23678667" w14:textId="18A9666B" w:rsidR="00AD5199" w:rsidRDefault="00AD5199" w:rsidP="00E16058">
      <w:pPr>
        <w:spacing w:before="240"/>
        <w:ind w:firstLine="478"/>
        <w:jc w:val="both"/>
        <w:rPr>
          <w:sz w:val="24"/>
          <w:szCs w:val="24"/>
          <w:lang w:val="mk-MK"/>
        </w:rPr>
      </w:pPr>
      <w:r w:rsidRPr="00AD5199">
        <w:rPr>
          <w:sz w:val="24"/>
          <w:szCs w:val="24"/>
          <w:lang w:val="mk-MK"/>
        </w:rPr>
        <w:t>Советот на вработени останува примарниот институционален канал за учество на вработените на ниво на работното место,</w:t>
      </w:r>
      <w:r w:rsidR="00FF2B8D">
        <w:rPr>
          <w:rStyle w:val="FootnoteReference"/>
          <w:sz w:val="24"/>
          <w:szCs w:val="24"/>
          <w:lang w:val="mk-MK"/>
        </w:rPr>
        <w:footnoteReference w:id="636"/>
      </w:r>
      <w:r w:rsidRPr="00AD5199">
        <w:rPr>
          <w:sz w:val="24"/>
          <w:szCs w:val="24"/>
          <w:lang w:val="mk-MK"/>
        </w:rPr>
        <w:t xml:space="preserve"> со права на информирање, консултација и соодлучување во области како здравје и безбедност при работа, организација на работното време и колективни отпуштања. Дополнително, </w:t>
      </w:r>
      <w:r w:rsidR="00184C85">
        <w:rPr>
          <w:sz w:val="24"/>
          <w:szCs w:val="24"/>
          <w:lang w:val="mk-MK"/>
        </w:rPr>
        <w:t>двостепениот</w:t>
      </w:r>
      <w:r w:rsidRPr="00AD5199">
        <w:rPr>
          <w:sz w:val="24"/>
          <w:szCs w:val="24"/>
          <w:lang w:val="mk-MK"/>
        </w:rPr>
        <w:t xml:space="preserve"> систем овозможува коегзистенција на советите на вработени и синдикатите, кои во практиката често се преклопуваат.</w:t>
      </w:r>
    </w:p>
    <w:p w14:paraId="280D4EAF" w14:textId="638DFB78" w:rsidR="0033799F" w:rsidRDefault="0033799F" w:rsidP="00E16058">
      <w:pPr>
        <w:spacing w:before="240"/>
        <w:ind w:firstLine="478"/>
        <w:jc w:val="both"/>
        <w:rPr>
          <w:sz w:val="24"/>
          <w:szCs w:val="24"/>
          <w:lang w:val="mk-MK"/>
        </w:rPr>
      </w:pPr>
      <w:r w:rsidRPr="0033799F">
        <w:rPr>
          <w:sz w:val="24"/>
          <w:szCs w:val="24"/>
          <w:lang w:val="mk-MK"/>
        </w:rPr>
        <w:t>Емпириските истражувања укажуваат дека учеството на работниците во Словенија е меѓу најсилните во Централна и Источна Европа, со релативно цврсти правни гаранции и почеста практична примена отколку во соседните држави. Процесот на пристапување кон Европската унија дополнително ги зајакна овие механизми преку усвојување на релевантните директиви за информирање и консултација, европските работнички совети и учеството на вработените во европските акционерски друштва. Сепак, одредени предизвици остануваат: политичките дебати повремено го доведуваат во прашање обемот на задолжителното работничко учество, а компаниите понекогаш настојуваат да го минимизираат неговиот опфат. И покрај тоа, Словенија се издвојува во регионот како држава во која механизмите слични на кодетерминацијата се најцврсто вградени во корпоративното управување.</w:t>
      </w:r>
      <w:r>
        <w:rPr>
          <w:sz w:val="24"/>
          <w:szCs w:val="24"/>
          <w:lang w:val="mk-MK"/>
        </w:rPr>
        <w:t xml:space="preserve"> </w:t>
      </w:r>
    </w:p>
    <w:p w14:paraId="012238B2" w14:textId="40C21D31" w:rsidR="00E558D3" w:rsidRDefault="00E533B6" w:rsidP="00E16058">
      <w:pPr>
        <w:spacing w:before="240"/>
        <w:ind w:firstLine="478"/>
        <w:jc w:val="both"/>
        <w:rPr>
          <w:sz w:val="24"/>
          <w:szCs w:val="24"/>
          <w:lang w:val="mk-MK"/>
        </w:rPr>
      </w:pPr>
      <w:r w:rsidRPr="00E533B6">
        <w:rPr>
          <w:sz w:val="24"/>
          <w:szCs w:val="24"/>
          <w:lang w:val="mk-MK"/>
        </w:rPr>
        <w:t xml:space="preserve">Споредбата </w:t>
      </w:r>
      <w:r>
        <w:rPr>
          <w:sz w:val="24"/>
          <w:szCs w:val="24"/>
          <w:lang w:val="mk-MK"/>
        </w:rPr>
        <w:t>по</w:t>
      </w:r>
      <w:r w:rsidRPr="00E533B6">
        <w:rPr>
          <w:sz w:val="24"/>
          <w:szCs w:val="24"/>
          <w:lang w:val="mk-MK"/>
        </w:rPr>
        <w:t xml:space="preserve">меѓу Македонија и Словенија открива суштински разлики </w:t>
      </w:r>
      <w:r w:rsidR="006A23B6" w:rsidRPr="00E533B6">
        <w:rPr>
          <w:sz w:val="24"/>
          <w:szCs w:val="24"/>
          <w:lang w:val="mk-MK"/>
        </w:rPr>
        <w:t xml:space="preserve">во степенот на институционализација и практичната примена на учеството на вработените во корпоративното управување </w:t>
      </w:r>
      <w:r w:rsidR="00C73A72">
        <w:rPr>
          <w:sz w:val="24"/>
          <w:szCs w:val="24"/>
          <w:lang w:val="mk-MK"/>
        </w:rPr>
        <w:t>и во одреден дел</w:t>
      </w:r>
      <w:r w:rsidRPr="00E533B6">
        <w:rPr>
          <w:sz w:val="24"/>
          <w:szCs w:val="24"/>
          <w:lang w:val="mk-MK"/>
        </w:rPr>
        <w:t xml:space="preserve"> во формалната архитектура на корпоративното право. И двете држави произлегуваат од ист правно-историски контекст и ја делат традицијата на југословенското самоуправување, но нивните транзициски патеки резултира</w:t>
      </w:r>
      <w:r w:rsidR="00F87634">
        <w:rPr>
          <w:sz w:val="24"/>
          <w:szCs w:val="24"/>
          <w:lang w:val="mk-MK"/>
        </w:rPr>
        <w:t>ле</w:t>
      </w:r>
      <w:r w:rsidRPr="00E533B6">
        <w:rPr>
          <w:sz w:val="24"/>
          <w:szCs w:val="24"/>
          <w:lang w:val="mk-MK"/>
        </w:rPr>
        <w:t xml:space="preserve"> со значително различни модели на корпоративна демократија.</w:t>
      </w:r>
    </w:p>
    <w:p w14:paraId="15A2EF4A" w14:textId="26E71E4A" w:rsidR="00001934" w:rsidRDefault="00001934" w:rsidP="00E16058">
      <w:pPr>
        <w:spacing w:before="240"/>
        <w:ind w:firstLine="478"/>
        <w:jc w:val="both"/>
        <w:rPr>
          <w:sz w:val="24"/>
          <w:szCs w:val="24"/>
          <w:lang w:val="mk-MK"/>
        </w:rPr>
      </w:pPr>
      <w:r w:rsidRPr="00001934">
        <w:rPr>
          <w:sz w:val="24"/>
          <w:szCs w:val="24"/>
          <w:lang w:val="mk-MK"/>
        </w:rPr>
        <w:t>Во Македонија, корпоративното управување е доминантно ориентирано кон заштита на акционерите и кон транспарентност на управувањето, што јасно се рефлектира и во новиот Кодекс за корпоративно управување на акционерските друштва котирани на Македонска берза. Иако Кодексот ги препознава вработените како засегнати лица и интегрира современи принципи на одржливост и општествена одговорност, учеството на вработените</w:t>
      </w:r>
      <w:r w:rsidR="004334C2">
        <w:rPr>
          <w:sz w:val="24"/>
          <w:szCs w:val="24"/>
          <w:lang w:val="mk-MK"/>
        </w:rPr>
        <w:t>, во најдобар случај,</w:t>
      </w:r>
      <w:r w:rsidRPr="00001934">
        <w:rPr>
          <w:sz w:val="24"/>
          <w:szCs w:val="24"/>
          <w:lang w:val="mk-MK"/>
        </w:rPr>
        <w:t xml:space="preserve"> останува ограничено на информирање и индиректна консултација. Не постои законска обврска за нивно претставување во органите на управување или надзор, ниту пак Кодексот предвидува конкретни механизми за нивно институционално вклучување.</w:t>
      </w:r>
    </w:p>
    <w:p w14:paraId="5461E85C" w14:textId="77777777" w:rsidR="000F6B35" w:rsidRDefault="004334C2" w:rsidP="00E16058">
      <w:pPr>
        <w:spacing w:before="240"/>
        <w:ind w:firstLine="478"/>
        <w:jc w:val="both"/>
        <w:rPr>
          <w:sz w:val="24"/>
          <w:szCs w:val="24"/>
          <w:lang w:val="mk-MK"/>
        </w:rPr>
      </w:pPr>
      <w:r w:rsidRPr="004334C2">
        <w:rPr>
          <w:sz w:val="24"/>
          <w:szCs w:val="24"/>
          <w:lang w:val="mk-MK"/>
        </w:rPr>
        <w:t>Спротивно на тоа, Словенија разви</w:t>
      </w:r>
      <w:r>
        <w:rPr>
          <w:sz w:val="24"/>
          <w:szCs w:val="24"/>
          <w:lang w:val="mk-MK"/>
        </w:rPr>
        <w:t>ла</w:t>
      </w:r>
      <w:r w:rsidRPr="004334C2">
        <w:rPr>
          <w:sz w:val="24"/>
          <w:szCs w:val="24"/>
          <w:lang w:val="mk-MK"/>
        </w:rPr>
        <w:t xml:space="preserve"> хибриден модел што комбинира елементи на </w:t>
      </w:r>
      <w:r w:rsidRPr="004334C2">
        <w:rPr>
          <w:sz w:val="24"/>
          <w:szCs w:val="24"/>
          <w:lang w:val="mk-MK"/>
        </w:rPr>
        <w:lastRenderedPageBreak/>
        <w:t>континенталната европска кодетерминација со националното наследство на колективно учество. Преку Законот за учество на работниците во управувањето, учеството на вработените е јасно институционализирано, со законски загарантирано право на избор на претставници во надзорните одбори во поголемите друштва. Овој модел не е оставен на доброволна примена или на корпоративна саморегулација, туку претставува составен дел од корпоративното право, што создава стабилни очекувања и правна сигурност за сите засегнати страни.</w:t>
      </w:r>
      <w:r w:rsidR="00812E1E">
        <w:rPr>
          <w:rStyle w:val="FootnoteReference"/>
          <w:sz w:val="24"/>
          <w:szCs w:val="24"/>
          <w:lang w:val="mk-MK"/>
        </w:rPr>
        <w:footnoteReference w:id="637"/>
      </w:r>
      <w:r w:rsidR="000F6B35">
        <w:rPr>
          <w:sz w:val="24"/>
          <w:szCs w:val="24"/>
          <w:lang w:val="en-US"/>
        </w:rPr>
        <w:t xml:space="preserve"> </w:t>
      </w:r>
      <w:r w:rsidR="000F6B35" w:rsidRPr="000F6B35">
        <w:rPr>
          <w:sz w:val="24"/>
          <w:szCs w:val="24"/>
          <w:lang w:val="mk-MK"/>
        </w:rPr>
        <w:t xml:space="preserve">Она што Македонија може да го извлече од словенечкото искуство не е нужно директна трансплантација на моделот на кодетерминација, туку постепено јакнење на институционалните канали за учество на вработените. </w:t>
      </w:r>
    </w:p>
    <w:p w14:paraId="0A7CBDE8" w14:textId="09EBFED6" w:rsidR="004334C2" w:rsidRDefault="000F6B35" w:rsidP="00E16058">
      <w:pPr>
        <w:spacing w:before="240"/>
        <w:ind w:firstLine="478"/>
        <w:jc w:val="both"/>
        <w:rPr>
          <w:sz w:val="24"/>
          <w:szCs w:val="24"/>
          <w:lang w:val="mk-MK"/>
        </w:rPr>
      </w:pPr>
      <w:r w:rsidRPr="000F6B35">
        <w:rPr>
          <w:sz w:val="24"/>
          <w:szCs w:val="24"/>
          <w:lang w:val="mk-MK"/>
        </w:rPr>
        <w:t>Прво, словенечкиот пример покажува дека законската јасност и обврзувачките правила се клучни за преминување од декларативни принципи кон реална практика. Во македонскиот контекст, тоа би можело да започне со воведување на минимални стандарди за застапеност на вработените во надзорните одбори на одредени категории акционерски друштва, особено оние со државно учество или со значаен број на вработени.</w:t>
      </w:r>
      <w:r w:rsidR="009E7348">
        <w:rPr>
          <w:sz w:val="24"/>
          <w:szCs w:val="24"/>
          <w:lang w:val="mk-MK"/>
        </w:rPr>
        <w:t xml:space="preserve"> Видливо од македонскиот пример е дека самото меко право, </w:t>
      </w:r>
      <w:r w:rsidR="00C677A3">
        <w:rPr>
          <w:sz w:val="24"/>
          <w:szCs w:val="24"/>
          <w:lang w:val="mk-MK"/>
        </w:rPr>
        <w:t xml:space="preserve">како </w:t>
      </w:r>
      <w:r w:rsidR="00C677A3" w:rsidRPr="00001934">
        <w:rPr>
          <w:sz w:val="24"/>
          <w:szCs w:val="24"/>
          <w:lang w:val="mk-MK"/>
        </w:rPr>
        <w:t>Кодекс</w:t>
      </w:r>
      <w:r w:rsidR="00C677A3">
        <w:rPr>
          <w:sz w:val="24"/>
          <w:szCs w:val="24"/>
          <w:lang w:val="mk-MK"/>
        </w:rPr>
        <w:t>от</w:t>
      </w:r>
      <w:r w:rsidR="00C677A3" w:rsidRPr="00001934">
        <w:rPr>
          <w:sz w:val="24"/>
          <w:szCs w:val="24"/>
          <w:lang w:val="mk-MK"/>
        </w:rPr>
        <w:t xml:space="preserve"> за корпоративно управување на акционерските друштва котирани на Македонска берза</w:t>
      </w:r>
      <w:r w:rsidR="00C677A3">
        <w:rPr>
          <w:sz w:val="24"/>
          <w:szCs w:val="24"/>
          <w:lang w:val="mk-MK"/>
        </w:rPr>
        <w:t xml:space="preserve">, без законска регулатива, не носат до вистински резултати. </w:t>
      </w:r>
    </w:p>
    <w:p w14:paraId="517EA247" w14:textId="2BF4BC65" w:rsidR="00B410BE" w:rsidRDefault="00B410BE" w:rsidP="00E16058">
      <w:pPr>
        <w:spacing w:before="240"/>
        <w:ind w:firstLine="478"/>
        <w:jc w:val="both"/>
        <w:rPr>
          <w:sz w:val="24"/>
          <w:szCs w:val="24"/>
          <w:lang w:val="mk-MK"/>
        </w:rPr>
      </w:pPr>
      <w:r w:rsidRPr="00B410BE">
        <w:rPr>
          <w:sz w:val="24"/>
          <w:szCs w:val="24"/>
          <w:lang w:val="mk-MK"/>
        </w:rPr>
        <w:t xml:space="preserve">Второ, Словенија демонстрира дека корпоративните кодекси имаат најголем ефект кога се надополнети со јасни законски механизми. Додека македонскиот Кодекс </w:t>
      </w:r>
      <w:r w:rsidR="00DD268C">
        <w:rPr>
          <w:sz w:val="24"/>
          <w:szCs w:val="24"/>
          <w:lang w:val="mk-MK"/>
        </w:rPr>
        <w:t xml:space="preserve">може да </w:t>
      </w:r>
      <w:r w:rsidRPr="00B410BE">
        <w:rPr>
          <w:sz w:val="24"/>
          <w:szCs w:val="24"/>
          <w:lang w:val="mk-MK"/>
        </w:rPr>
        <w:t xml:space="preserve">претставува силен инструмент на </w:t>
      </w:r>
      <w:r w:rsidR="00DD268C">
        <w:rPr>
          <w:sz w:val="24"/>
          <w:szCs w:val="24"/>
          <w:lang w:val="mk-MK"/>
        </w:rPr>
        <w:t>меко право</w:t>
      </w:r>
      <w:r w:rsidRPr="00B410BE">
        <w:rPr>
          <w:sz w:val="24"/>
          <w:szCs w:val="24"/>
          <w:lang w:val="mk-MK"/>
        </w:rPr>
        <w:t>, неговата ефикасност би се зголемила доколку се поврзе со законски обврски за дијалог со претставници на вработените, учество во специјализирани комисии и систематско известување за влијанието на управувачките одлуки врз работната сила.</w:t>
      </w:r>
    </w:p>
    <w:p w14:paraId="5622353A" w14:textId="09492699" w:rsidR="00E36797" w:rsidRDefault="00E36797" w:rsidP="00E16058">
      <w:pPr>
        <w:spacing w:before="240"/>
        <w:ind w:firstLine="478"/>
        <w:jc w:val="both"/>
        <w:rPr>
          <w:sz w:val="24"/>
          <w:szCs w:val="24"/>
          <w:lang w:val="mk-MK"/>
        </w:rPr>
      </w:pPr>
      <w:r w:rsidRPr="00E36797">
        <w:rPr>
          <w:sz w:val="24"/>
          <w:szCs w:val="24"/>
          <w:lang w:val="mk-MK"/>
        </w:rPr>
        <w:t>Трето, словенечкиот модел укажува дека учеството на вработените не мора да биде спротивставено на ефикасноста на управувањето. Напротив, емпириските истражувања покажуваат дека компаниите со активни претставници на вработените бележат повисоко ниво на доверба, пониска флуктуација на работната сила и поголема подготвеност за долгорочно планирање. За Македонија, каде што задржувањето на квалификувани кадри и зголемувањето на продуктивноста се клучни структурни предизвици, ваквите ефекти се особено релевантни.</w:t>
      </w:r>
    </w:p>
    <w:p w14:paraId="2AA42716" w14:textId="77777777" w:rsidR="00452326" w:rsidRDefault="007F4930" w:rsidP="0094697A">
      <w:pPr>
        <w:spacing w:before="240" w:after="240"/>
        <w:ind w:firstLine="478"/>
        <w:jc w:val="both"/>
        <w:rPr>
          <w:sz w:val="24"/>
          <w:szCs w:val="24"/>
          <w:lang w:val="mk-MK"/>
        </w:rPr>
      </w:pPr>
      <w:r w:rsidRPr="007F4930">
        <w:rPr>
          <w:sz w:val="24"/>
          <w:szCs w:val="24"/>
          <w:lang w:val="mk-MK"/>
        </w:rPr>
        <w:t xml:space="preserve">Конечно, искуството на Словенија покажува дека историското наследство на работничко учество може да се реинтерпретира и интегрира во современото корпоративно право, без да се наруши пазарната логика. Македонија, која сè уште се соочува со висока концентрација на сопственоста и ограничена улога на капиталниот пазар, би можела преку внимателно дизајнирани партиципативни механизми да ја зајакне легитимноста и одржливоста на корпоративното управување. </w:t>
      </w:r>
    </w:p>
    <w:p w14:paraId="6722F039" w14:textId="6BF17F0E" w:rsidR="008467AF" w:rsidRDefault="001C2726" w:rsidP="0094697A">
      <w:pPr>
        <w:spacing w:before="240" w:after="240"/>
        <w:ind w:firstLine="478"/>
        <w:jc w:val="both"/>
        <w:rPr>
          <w:sz w:val="24"/>
          <w:szCs w:val="24"/>
          <w:lang w:val="mk-MK"/>
        </w:rPr>
      </w:pPr>
      <w:r>
        <w:rPr>
          <w:sz w:val="24"/>
          <w:szCs w:val="24"/>
          <w:lang w:val="mk-MK"/>
        </w:rPr>
        <w:t>Н</w:t>
      </w:r>
      <w:r w:rsidRPr="001C2726">
        <w:rPr>
          <w:sz w:val="24"/>
          <w:szCs w:val="24"/>
          <w:lang w:val="mk-MK"/>
        </w:rPr>
        <w:t>аодите во однос на словенечкиот модел на корпоративно управување и институционализираното учество на вработените</w:t>
      </w:r>
      <w:r w:rsidR="00C1178A">
        <w:rPr>
          <w:sz w:val="24"/>
          <w:szCs w:val="24"/>
          <w:lang w:val="mk-MK"/>
        </w:rPr>
        <w:t xml:space="preserve"> во пракса</w:t>
      </w:r>
      <w:r w:rsidRPr="001C2726">
        <w:rPr>
          <w:sz w:val="24"/>
          <w:szCs w:val="24"/>
          <w:lang w:val="mk-MK"/>
        </w:rPr>
        <w:t xml:space="preserve"> беа проверени и дискутирани преку експертска размена со докторандката Рада Ситар од Словенија, чиј истражувачки фокус </w:t>
      </w:r>
      <w:r w:rsidR="00C1178A">
        <w:rPr>
          <w:sz w:val="24"/>
          <w:szCs w:val="24"/>
          <w:lang w:val="mk-MK"/>
        </w:rPr>
        <w:t xml:space="preserve">делумно </w:t>
      </w:r>
      <w:r w:rsidRPr="001C2726">
        <w:rPr>
          <w:sz w:val="24"/>
          <w:szCs w:val="24"/>
          <w:lang w:val="mk-MK"/>
        </w:rPr>
        <w:t>е насочен</w:t>
      </w:r>
      <w:r w:rsidR="00C1178A">
        <w:rPr>
          <w:sz w:val="24"/>
          <w:szCs w:val="24"/>
          <w:lang w:val="mk-MK"/>
        </w:rPr>
        <w:t xml:space="preserve"> и</w:t>
      </w:r>
      <w:r w:rsidRPr="001C2726">
        <w:rPr>
          <w:sz w:val="24"/>
          <w:szCs w:val="24"/>
          <w:lang w:val="mk-MK"/>
        </w:rPr>
        <w:t xml:space="preserve"> кон корпоративното управување и работничката партиципација во словенечкиот правен и економски контекст. Разговорите и размената на ставови ги потврдија клучните заклучоци изнесени во оваа анализа, особено во однос на функционалната улога на Законот за учество на работниците во </w:t>
      </w:r>
      <w:r w:rsidRPr="001C2726">
        <w:rPr>
          <w:sz w:val="24"/>
          <w:szCs w:val="24"/>
          <w:lang w:val="mk-MK"/>
        </w:rPr>
        <w:lastRenderedPageBreak/>
        <w:t>управувањето, практичната примена на двостепениот модел и реалниот опсег на влијание на претставниците на вработените во надзорните одбори. Оваа проверка од перспектива на истражувач директно вклучен во словенечкиот академски и институционален контекст придонесува кон зголемена кредибилност и емпириска заснованост на презентираните наоди.</w:t>
      </w:r>
      <w:r w:rsidR="00452326">
        <w:rPr>
          <w:sz w:val="24"/>
          <w:szCs w:val="24"/>
          <w:lang w:val="mk-MK"/>
        </w:rPr>
        <w:tab/>
      </w:r>
    </w:p>
    <w:p w14:paraId="4148E6AD" w14:textId="5709F3E8" w:rsidR="0094697A" w:rsidRPr="00A37497" w:rsidRDefault="007F4930" w:rsidP="0094697A">
      <w:pPr>
        <w:spacing w:before="240" w:after="240"/>
        <w:ind w:firstLine="478"/>
        <w:jc w:val="both"/>
        <w:rPr>
          <w:sz w:val="24"/>
          <w:szCs w:val="24"/>
          <w:lang w:val="en-US"/>
        </w:rPr>
      </w:pPr>
      <w:r w:rsidRPr="007F4930">
        <w:rPr>
          <w:sz w:val="24"/>
          <w:szCs w:val="24"/>
          <w:lang w:val="mk-MK"/>
        </w:rPr>
        <w:t>Оттука, клучната поука од словенечкиот пример е дека вистинската трансформација не произлегува од декларативни кодекси, туку од јасно дефинирани права, стабилни институции и култура на дијалог што постепено го вградува учеството на вработените во самото јадро на корпоративното одлучување.</w:t>
      </w:r>
      <w:r w:rsidR="00E83018">
        <w:rPr>
          <w:sz w:val="24"/>
          <w:szCs w:val="24"/>
          <w:lang w:val="mk-MK"/>
        </w:rPr>
        <w:t xml:space="preserve"> </w:t>
      </w:r>
      <w:r w:rsidR="00E83018" w:rsidRPr="00E83018">
        <w:rPr>
          <w:sz w:val="24"/>
          <w:szCs w:val="24"/>
          <w:lang w:val="mk-MK"/>
        </w:rPr>
        <w:t xml:space="preserve">Словенечкиот модел на корпоративно управување, иако регионално специфичен, претставува важна транзициска точка кон класичните континенталноевропски системи на кодетерминација, од кои германскиот модел се издвојува како најразвиен и најинституционализиран пример. За разлика од Словенија, каде учеството на вработените е ограничено по обем и категорија на друштва, германскиот систем воспоставува јасна и правно обврзувачка рамка за партиципација на работниците на највисоко ниво на корпоративно одлучување. Токму затоа, германскиот модел служи како нормативна и компаративна референтна точка во европските дебати за корпоративна демократија, одржливост и балансирање на интересите </w:t>
      </w:r>
      <w:r w:rsidR="00182C1D">
        <w:rPr>
          <w:sz w:val="24"/>
          <w:szCs w:val="24"/>
          <w:lang w:val="mk-MK"/>
        </w:rPr>
        <w:t>по</w:t>
      </w:r>
      <w:r w:rsidR="00E83018" w:rsidRPr="00E83018">
        <w:rPr>
          <w:sz w:val="24"/>
          <w:szCs w:val="24"/>
          <w:lang w:val="mk-MK"/>
        </w:rPr>
        <w:t xml:space="preserve">меѓу капиталот и трудот. Анализата на германското искуство овозможува подлабоко согледување на тоа како учеството на вработените може да биде системски интегрирано во корпоративното право, не како дополнителен механизам на </w:t>
      </w:r>
      <w:r w:rsidR="00BA7ED9">
        <w:rPr>
          <w:sz w:val="24"/>
          <w:szCs w:val="24"/>
          <w:lang w:val="mk-MK"/>
        </w:rPr>
        <w:t>меко право</w:t>
      </w:r>
      <w:r w:rsidR="00E83018" w:rsidRPr="00E83018">
        <w:rPr>
          <w:sz w:val="24"/>
          <w:szCs w:val="24"/>
          <w:lang w:val="mk-MK"/>
        </w:rPr>
        <w:t>, туку како структурен елемент на корпоративното управување со долгорочни економски и социјални ефекти.</w:t>
      </w:r>
    </w:p>
    <w:p w14:paraId="24C656DD" w14:textId="70845E69" w:rsidR="0094697A" w:rsidRPr="00D22054" w:rsidRDefault="006407C1" w:rsidP="009330C0">
      <w:pPr>
        <w:pStyle w:val="Heading1"/>
        <w:numPr>
          <w:ilvl w:val="0"/>
          <w:numId w:val="7"/>
        </w:numPr>
        <w:jc w:val="both"/>
      </w:pPr>
      <w:bookmarkStart w:id="72" w:name="_Toc230523925"/>
      <w:r w:rsidRPr="006407C1">
        <w:rPr>
          <w:lang w:val="mk-MK"/>
        </w:rPr>
        <w:t>Сојузна Република Германија како референтен модел на институционализирана кодетерминација</w:t>
      </w:r>
      <w:bookmarkEnd w:id="72"/>
    </w:p>
    <w:p w14:paraId="0E81A646" w14:textId="7E81710B" w:rsidR="00001934" w:rsidRDefault="00A37497" w:rsidP="008608B7">
      <w:pPr>
        <w:spacing w:before="240"/>
        <w:ind w:left="118" w:firstLine="360"/>
        <w:jc w:val="both"/>
        <w:rPr>
          <w:sz w:val="24"/>
          <w:szCs w:val="24"/>
          <w:lang w:val="en-US"/>
        </w:rPr>
      </w:pPr>
      <w:r w:rsidRPr="00A37497">
        <w:rPr>
          <w:sz w:val="24"/>
          <w:szCs w:val="24"/>
          <w:lang w:val="mk-MK"/>
        </w:rPr>
        <w:t xml:space="preserve">Германија претставува парадигматски пример за институционализирано учество на вработените во корпоративното управување. </w:t>
      </w:r>
      <w:r w:rsidR="008608B7">
        <w:rPr>
          <w:sz w:val="24"/>
          <w:szCs w:val="24"/>
          <w:lang w:val="mk-MK"/>
        </w:rPr>
        <w:t>Како што веќе неколку пати беше спомнато заради големината на државата и успешноста на моделот, н</w:t>
      </w:r>
      <w:r w:rsidRPr="00A37497">
        <w:rPr>
          <w:sz w:val="24"/>
          <w:szCs w:val="24"/>
          <w:lang w:val="mk-MK"/>
        </w:rPr>
        <w:t xml:space="preserve">ејзиниот модел на </w:t>
      </w:r>
      <w:r w:rsidRPr="008D6D50">
        <w:rPr>
          <w:i/>
          <w:iCs/>
          <w:sz w:val="24"/>
          <w:szCs w:val="24"/>
          <w:lang w:val="mk-MK"/>
        </w:rPr>
        <w:t>Mitbestimmung</w:t>
      </w:r>
      <w:r w:rsidRPr="00A37497">
        <w:rPr>
          <w:sz w:val="24"/>
          <w:szCs w:val="24"/>
          <w:lang w:val="mk-MK"/>
        </w:rPr>
        <w:t xml:space="preserve"> (кодетерминација) има значително влијание врз дебатите и реформите низ Европа и пошироко, што ја прави една од најистражуваните системи во компаративната литература за корпоративно управување. Германската рамка ги комбинира силните права на акционерите со обемни механизми за учество на работниците и на ниво на претпријатие и на ниво на погон, одразувајќи длабоко вкоренета традиција на балансирање меѓу интересите на капиталот и трудо</w:t>
      </w:r>
      <w:r w:rsidR="008608B7">
        <w:rPr>
          <w:sz w:val="24"/>
          <w:szCs w:val="24"/>
          <w:lang w:val="mk-MK"/>
        </w:rPr>
        <w:t>т</w:t>
      </w:r>
      <w:r w:rsidRPr="00A37497">
        <w:rPr>
          <w:sz w:val="24"/>
          <w:szCs w:val="24"/>
          <w:lang w:val="mk-MK"/>
        </w:rPr>
        <w:t>.</w:t>
      </w:r>
      <w:r w:rsidR="00D256AF">
        <w:rPr>
          <w:rStyle w:val="FootnoteReference"/>
          <w:sz w:val="24"/>
          <w:szCs w:val="24"/>
          <w:lang w:val="mk-MK"/>
        </w:rPr>
        <w:footnoteReference w:id="638"/>
      </w:r>
    </w:p>
    <w:p w14:paraId="02D6A359" w14:textId="5F56D809" w:rsidR="007D1146" w:rsidRDefault="00301A73" w:rsidP="008608B7">
      <w:pPr>
        <w:spacing w:before="240"/>
        <w:ind w:left="118" w:firstLine="360"/>
        <w:jc w:val="both"/>
        <w:rPr>
          <w:sz w:val="24"/>
          <w:szCs w:val="24"/>
          <w:lang w:val="mk-MK"/>
        </w:rPr>
      </w:pPr>
      <w:r w:rsidRPr="00301A73">
        <w:rPr>
          <w:sz w:val="24"/>
          <w:szCs w:val="24"/>
          <w:lang w:val="mk-MK"/>
        </w:rPr>
        <w:t xml:space="preserve">Корените на германската кодетерминација датираат </w:t>
      </w:r>
      <w:r w:rsidR="002047E4">
        <w:rPr>
          <w:sz w:val="24"/>
          <w:szCs w:val="24"/>
          <w:lang w:val="mk-MK"/>
        </w:rPr>
        <w:t xml:space="preserve">дури </w:t>
      </w:r>
      <w:r w:rsidRPr="00301A73">
        <w:rPr>
          <w:sz w:val="24"/>
          <w:szCs w:val="24"/>
          <w:lang w:val="mk-MK"/>
        </w:rPr>
        <w:t>од почетокот на 20 век, но моделот б</w:t>
      </w:r>
      <w:r w:rsidR="002047E4">
        <w:rPr>
          <w:sz w:val="24"/>
          <w:szCs w:val="24"/>
          <w:lang w:val="mk-MK"/>
        </w:rPr>
        <w:t>ил</w:t>
      </w:r>
      <w:r w:rsidRPr="00301A73">
        <w:rPr>
          <w:sz w:val="24"/>
          <w:szCs w:val="24"/>
          <w:lang w:val="mk-MK"/>
        </w:rPr>
        <w:t xml:space="preserve"> консолидиран по Втората светска војна како дел од пошироките напори за демократизација на економијата и спречување на повторната појава на авторитарни структури. Законот за кодетерминација</w:t>
      </w:r>
      <w:r w:rsidR="00203AE5">
        <w:rPr>
          <w:sz w:val="24"/>
          <w:szCs w:val="24"/>
          <w:lang w:val="mk-MK"/>
        </w:rPr>
        <w:t>, кој всушност на германски се нарекува „</w:t>
      </w:r>
      <w:r w:rsidRPr="00301A73">
        <w:rPr>
          <w:sz w:val="24"/>
          <w:szCs w:val="24"/>
          <w:lang w:val="mk-MK"/>
        </w:rPr>
        <w:t>Mitbestimmungsgesetz</w:t>
      </w:r>
      <w:r w:rsidR="00203AE5">
        <w:rPr>
          <w:sz w:val="24"/>
          <w:szCs w:val="24"/>
          <w:lang w:val="mk-MK"/>
        </w:rPr>
        <w:t>“,</w:t>
      </w:r>
      <w:r w:rsidRPr="00301A73">
        <w:rPr>
          <w:sz w:val="24"/>
          <w:szCs w:val="24"/>
          <w:lang w:val="mk-MK"/>
        </w:rPr>
        <w:t xml:space="preserve"> од 1976 година </w:t>
      </w:r>
      <w:r w:rsidR="00203AE5">
        <w:rPr>
          <w:sz w:val="24"/>
          <w:szCs w:val="24"/>
          <w:lang w:val="mk-MK"/>
        </w:rPr>
        <w:t>бил и останува</w:t>
      </w:r>
      <w:r w:rsidRPr="00301A73">
        <w:rPr>
          <w:sz w:val="24"/>
          <w:szCs w:val="24"/>
          <w:lang w:val="mk-MK"/>
        </w:rPr>
        <w:t xml:space="preserve"> темелот на системот. </w:t>
      </w:r>
      <w:r w:rsidR="00212302">
        <w:rPr>
          <w:sz w:val="24"/>
          <w:szCs w:val="24"/>
          <w:lang w:val="mk-MK"/>
        </w:rPr>
        <w:t>Законот налага</w:t>
      </w:r>
      <w:r w:rsidRPr="00301A73">
        <w:rPr>
          <w:sz w:val="24"/>
          <w:szCs w:val="24"/>
          <w:lang w:val="mk-MK"/>
        </w:rPr>
        <w:t xml:space="preserve"> големите компании со повеќе од 2.000 вработени да воспостават двостепена управувачка структура во која вработените имаат паритетна застапеност во надзорниот одбор.</w:t>
      </w:r>
      <w:r w:rsidR="00212302">
        <w:rPr>
          <w:rStyle w:val="FootnoteReference"/>
          <w:sz w:val="24"/>
          <w:szCs w:val="24"/>
          <w:lang w:val="mk-MK"/>
        </w:rPr>
        <w:footnoteReference w:id="639"/>
      </w:r>
      <w:r w:rsidRPr="00301A73">
        <w:rPr>
          <w:sz w:val="24"/>
          <w:szCs w:val="24"/>
          <w:lang w:val="mk-MK"/>
        </w:rPr>
        <w:t xml:space="preserve"> Поточно, половина од членовите на надзорниот одбор се избираат од вработените, при што во случај на изедначен број на гласови, претседателот на одборот</w:t>
      </w:r>
      <w:r w:rsidR="003F082E">
        <w:rPr>
          <w:sz w:val="24"/>
          <w:szCs w:val="24"/>
          <w:lang w:val="mk-MK"/>
        </w:rPr>
        <w:t>,</w:t>
      </w:r>
      <w:r w:rsidRPr="00301A73">
        <w:rPr>
          <w:sz w:val="24"/>
          <w:szCs w:val="24"/>
          <w:lang w:val="mk-MK"/>
        </w:rPr>
        <w:t xml:space="preserve"> </w:t>
      </w:r>
      <w:r w:rsidR="003F082E">
        <w:rPr>
          <w:sz w:val="24"/>
          <w:szCs w:val="24"/>
          <w:lang w:val="mk-MK"/>
        </w:rPr>
        <w:lastRenderedPageBreak/>
        <w:t xml:space="preserve">кој е </w:t>
      </w:r>
      <w:r w:rsidRPr="00301A73">
        <w:rPr>
          <w:sz w:val="24"/>
          <w:szCs w:val="24"/>
          <w:lang w:val="mk-MK"/>
        </w:rPr>
        <w:t>избран од претставниците на акционерите</w:t>
      </w:r>
      <w:r w:rsidR="003F082E">
        <w:rPr>
          <w:sz w:val="24"/>
          <w:szCs w:val="24"/>
          <w:lang w:val="mk-MK"/>
        </w:rPr>
        <w:t>,</w:t>
      </w:r>
      <w:r w:rsidRPr="00301A73">
        <w:rPr>
          <w:sz w:val="24"/>
          <w:szCs w:val="24"/>
          <w:lang w:val="mk-MK"/>
        </w:rPr>
        <w:t xml:space="preserve"> има одлучувачки глас.</w:t>
      </w:r>
    </w:p>
    <w:p w14:paraId="0D0B910E" w14:textId="71E54A80" w:rsidR="0074296A" w:rsidRDefault="0074296A" w:rsidP="008608B7">
      <w:pPr>
        <w:spacing w:before="240"/>
        <w:ind w:left="118" w:firstLine="360"/>
        <w:jc w:val="both"/>
        <w:rPr>
          <w:sz w:val="24"/>
          <w:szCs w:val="24"/>
          <w:lang w:val="mk-MK"/>
        </w:rPr>
      </w:pPr>
      <w:r w:rsidRPr="0074296A">
        <w:rPr>
          <w:sz w:val="24"/>
          <w:szCs w:val="24"/>
          <w:lang w:val="mk-MK"/>
        </w:rPr>
        <w:t xml:space="preserve">За средни компании </w:t>
      </w:r>
      <w:r>
        <w:rPr>
          <w:sz w:val="24"/>
          <w:szCs w:val="24"/>
          <w:lang w:val="mk-MK"/>
        </w:rPr>
        <w:t>кои имаат помеѓу</w:t>
      </w:r>
      <w:r w:rsidRPr="0074296A">
        <w:rPr>
          <w:sz w:val="24"/>
          <w:szCs w:val="24"/>
          <w:lang w:val="mk-MK"/>
        </w:rPr>
        <w:t xml:space="preserve"> 500 и 2.000 вработени се применува Законот за учество од една третина</w:t>
      </w:r>
      <w:r>
        <w:rPr>
          <w:sz w:val="24"/>
          <w:szCs w:val="24"/>
          <w:lang w:val="mk-MK"/>
        </w:rPr>
        <w:t>, односно на германски „</w:t>
      </w:r>
      <w:r w:rsidRPr="0074296A">
        <w:rPr>
          <w:sz w:val="24"/>
          <w:szCs w:val="24"/>
          <w:lang w:val="mk-MK"/>
        </w:rPr>
        <w:t>Drittelbeteiligungsgesetz</w:t>
      </w:r>
      <w:r>
        <w:rPr>
          <w:sz w:val="24"/>
          <w:szCs w:val="24"/>
          <w:lang w:val="mk-MK"/>
        </w:rPr>
        <w:t>“,</w:t>
      </w:r>
      <w:r w:rsidRPr="0074296A">
        <w:rPr>
          <w:sz w:val="24"/>
          <w:szCs w:val="24"/>
          <w:lang w:val="mk-MK"/>
        </w:rPr>
        <w:t xml:space="preserve"> од 2004 година, кој предвидува една третина од местата во надзорниот одбор да бидат резервирани за претставници на вработените. Овие законски рамки институционализираат моќна форма на глас на вработените во стратешкото одлучување, особено во сектори со големи и стабилни компании како што се индустријата, енергетиката и финансискиот сектор.</w:t>
      </w:r>
      <w:r w:rsidR="00981299">
        <w:rPr>
          <w:sz w:val="24"/>
          <w:szCs w:val="24"/>
          <w:lang w:val="mk-MK"/>
        </w:rPr>
        <w:t xml:space="preserve"> Токму тие сектори кои претходно беа предмет на анализа во Македонија, Србија, Хрватска и Босна. </w:t>
      </w:r>
      <w:r w:rsidR="003D2356" w:rsidRPr="003D2356">
        <w:rPr>
          <w:sz w:val="24"/>
          <w:szCs w:val="24"/>
          <w:lang w:val="mk-MK"/>
        </w:rPr>
        <w:t>Германските компании функционираат во рамките на двостепен систем на управување кој се состои од управен одбор</w:t>
      </w:r>
      <w:r w:rsidR="00256EAD">
        <w:rPr>
          <w:rStyle w:val="FootnoteReference"/>
          <w:sz w:val="24"/>
          <w:szCs w:val="24"/>
          <w:lang w:val="mk-MK"/>
        </w:rPr>
        <w:footnoteReference w:id="640"/>
      </w:r>
      <w:r w:rsidR="003D2356" w:rsidRPr="003D2356">
        <w:rPr>
          <w:sz w:val="24"/>
          <w:szCs w:val="24"/>
          <w:lang w:val="mk-MK"/>
        </w:rPr>
        <w:t xml:space="preserve"> и надзорен одбор.</w:t>
      </w:r>
      <w:r w:rsidR="00535C8B">
        <w:rPr>
          <w:rStyle w:val="FootnoteReference"/>
          <w:sz w:val="24"/>
          <w:szCs w:val="24"/>
          <w:lang w:val="mk-MK"/>
        </w:rPr>
        <w:footnoteReference w:id="641"/>
      </w:r>
      <w:r w:rsidR="003D2356" w:rsidRPr="003D2356">
        <w:rPr>
          <w:sz w:val="24"/>
          <w:szCs w:val="24"/>
          <w:lang w:val="mk-MK"/>
        </w:rPr>
        <w:t xml:space="preserve"> Додека управниот одбор е одговорен за секојдневното работење, надзорниот одбор врши надзор и ги именува највисоките раководни лица. Претставниците на вработените во надзорните одбори се избираат делумно од самата работна сила, а делумно се номинираат од синдикатите, со што се обезбедува вклучување и на перспективите на работното место и на организираниот труд во корпоративното управување.</w:t>
      </w:r>
    </w:p>
    <w:p w14:paraId="2FB6269F" w14:textId="6EC27C34" w:rsidR="00947360" w:rsidRDefault="00947360" w:rsidP="008608B7">
      <w:pPr>
        <w:spacing w:before="240"/>
        <w:ind w:left="118" w:firstLine="360"/>
        <w:jc w:val="both"/>
        <w:rPr>
          <w:sz w:val="24"/>
          <w:szCs w:val="24"/>
          <w:lang w:val="mk-MK"/>
        </w:rPr>
      </w:pPr>
      <w:r w:rsidRPr="00947360">
        <w:rPr>
          <w:sz w:val="24"/>
          <w:szCs w:val="24"/>
          <w:lang w:val="mk-MK"/>
        </w:rPr>
        <w:t>Паралелно со оваа структура функционираат и работничките совети,</w:t>
      </w:r>
      <w:r w:rsidR="00531598">
        <w:rPr>
          <w:rStyle w:val="FootnoteReference"/>
          <w:sz w:val="24"/>
          <w:szCs w:val="24"/>
          <w:lang w:val="mk-MK"/>
        </w:rPr>
        <w:footnoteReference w:id="642"/>
      </w:r>
      <w:r w:rsidRPr="00947360">
        <w:rPr>
          <w:sz w:val="24"/>
          <w:szCs w:val="24"/>
          <w:lang w:val="mk-MK"/>
        </w:rPr>
        <w:t xml:space="preserve"> воспоставени согласно Законот за уредување на работните односи во претпријатијата.</w:t>
      </w:r>
      <w:r w:rsidR="007E01BC">
        <w:rPr>
          <w:rStyle w:val="FootnoteReference"/>
          <w:sz w:val="24"/>
          <w:szCs w:val="24"/>
          <w:lang w:val="mk-MK"/>
        </w:rPr>
        <w:footnoteReference w:id="643"/>
      </w:r>
      <w:r w:rsidRPr="00947360">
        <w:rPr>
          <w:sz w:val="24"/>
          <w:szCs w:val="24"/>
          <w:lang w:val="mk-MK"/>
        </w:rPr>
        <w:t xml:space="preserve"> Работничките совети постојат во компании со пет или повеќе вработени и се избираат директно од работната сила. Тие уживаат обемни права на информирање, консултација и кодетерминација во широк спектар на прашања, особено оние поврзани со условите за работа, кадровските политики и безбедноста и здравјето при работа. За разлика од синдикатите, кои дејствуваат на секторско или национално ниво, работничките совети се строго институции на ниво на </w:t>
      </w:r>
      <w:r w:rsidR="007E2626">
        <w:rPr>
          <w:sz w:val="24"/>
          <w:szCs w:val="24"/>
          <w:lang w:val="mk-MK"/>
        </w:rPr>
        <w:t>работодавач</w:t>
      </w:r>
      <w:r w:rsidRPr="00947360">
        <w:rPr>
          <w:sz w:val="24"/>
          <w:szCs w:val="24"/>
          <w:lang w:val="mk-MK"/>
        </w:rPr>
        <w:t>, но тесно соработуваат со синдикатите.</w:t>
      </w:r>
      <w:r w:rsidR="007E2626">
        <w:rPr>
          <w:sz w:val="24"/>
          <w:szCs w:val="24"/>
          <w:lang w:val="mk-MK"/>
        </w:rPr>
        <w:t xml:space="preserve"> </w:t>
      </w:r>
    </w:p>
    <w:p w14:paraId="225AAEAD" w14:textId="77777777" w:rsidR="004A78CD" w:rsidRDefault="006E5040" w:rsidP="008608B7">
      <w:pPr>
        <w:spacing w:before="240"/>
        <w:ind w:left="118" w:firstLine="360"/>
        <w:jc w:val="both"/>
        <w:rPr>
          <w:sz w:val="24"/>
          <w:szCs w:val="24"/>
          <w:lang w:val="en-US"/>
        </w:rPr>
      </w:pPr>
      <w:r w:rsidRPr="006E5040">
        <w:rPr>
          <w:sz w:val="24"/>
          <w:szCs w:val="24"/>
          <w:lang w:val="mk-MK"/>
        </w:rPr>
        <w:t>Германскиот систем обезбедува вработените да имаат и формална застапеност на стратешко ниво преку надзорните одбори и ефективно влијание на оперативно ниво преку работничките совети.</w:t>
      </w:r>
      <w:r w:rsidR="00037710">
        <w:rPr>
          <w:rStyle w:val="FootnoteReference"/>
          <w:sz w:val="24"/>
          <w:szCs w:val="24"/>
          <w:lang w:val="mk-MK"/>
        </w:rPr>
        <w:footnoteReference w:id="644"/>
      </w:r>
      <w:r w:rsidRPr="006E5040">
        <w:rPr>
          <w:sz w:val="24"/>
          <w:szCs w:val="24"/>
          <w:lang w:val="mk-MK"/>
        </w:rPr>
        <w:t xml:space="preserve"> Оваа двојна структура често се наведува како фактор што придонесува за кооперативни индустриски односи, зголемена стабилност на претпријатијата и промовирање долгорочни перспективи во корпоративното управување. Истражувањата покажуваат дека кодетерминацијата може да го подобри протокот на информации во рамките на компаниите, да ја зголеми мотивацијата на работниците и да придонесе за економска отпорност</w:t>
      </w:r>
      <w:r w:rsidR="00EA5814">
        <w:rPr>
          <w:sz w:val="24"/>
          <w:szCs w:val="24"/>
          <w:lang w:val="en-US"/>
        </w:rPr>
        <w:t>.</w:t>
      </w:r>
      <w:r w:rsidR="00EA5814">
        <w:rPr>
          <w:rStyle w:val="FootnoteReference"/>
          <w:sz w:val="24"/>
          <w:szCs w:val="24"/>
          <w:lang w:val="en-US"/>
        </w:rPr>
        <w:footnoteReference w:id="645"/>
      </w:r>
      <w:r w:rsidRPr="006E5040">
        <w:rPr>
          <w:sz w:val="24"/>
          <w:szCs w:val="24"/>
          <w:lang w:val="mk-MK"/>
        </w:rPr>
        <w:t xml:space="preserve"> </w:t>
      </w:r>
    </w:p>
    <w:p w14:paraId="5DDF74C7" w14:textId="37B6A168" w:rsidR="001C69E4" w:rsidRDefault="001C32D8" w:rsidP="004A78CD">
      <w:pPr>
        <w:spacing w:before="240"/>
        <w:ind w:left="118" w:firstLine="360"/>
        <w:jc w:val="both"/>
        <w:rPr>
          <w:sz w:val="24"/>
          <w:szCs w:val="24"/>
          <w:lang w:val="en-US"/>
        </w:rPr>
      </w:pPr>
      <w:r w:rsidRPr="001C32D8">
        <w:rPr>
          <w:sz w:val="24"/>
          <w:szCs w:val="24"/>
          <w:lang w:val="mk-MK"/>
        </w:rPr>
        <w:lastRenderedPageBreak/>
        <w:t>Сепак, постојат и критики. Застапниците на приматот на акционерите тврдат дека паритетната кодетерминација може да го разреди акционерскиот примат и да создаде неефикасности во процесите на одлучување. Одредени автори укажуваат и на тоа дека надзорните одбори, и покрај формалната паритетност, често се доминирани од интересите на акционерите поради одлучувачкиот глас на претседателот и релативно поголемата експертиза на претставниците на акционерите.</w:t>
      </w:r>
      <w:r w:rsidR="00AF0039">
        <w:rPr>
          <w:rStyle w:val="FootnoteReference"/>
          <w:sz w:val="24"/>
          <w:szCs w:val="24"/>
          <w:lang w:val="mk-MK"/>
        </w:rPr>
        <w:footnoteReference w:id="646"/>
      </w:r>
      <w:r w:rsidRPr="001C32D8">
        <w:rPr>
          <w:sz w:val="24"/>
          <w:szCs w:val="24"/>
          <w:lang w:val="mk-MK"/>
        </w:rPr>
        <w:t xml:space="preserve"> Дополнително, глобализацијата и зголемениот притисок од капиталните пазари го ставаат германскиот модел под притисок, што доведува некои компании да бараат начини за заобиколување на обврските за кодетерминација, на пример преку усвојување странски корпоративни форми.</w:t>
      </w:r>
    </w:p>
    <w:p w14:paraId="005CB519" w14:textId="0D634960" w:rsidR="000E38C2" w:rsidRPr="000E38C2" w:rsidRDefault="000E38C2" w:rsidP="004A78CD">
      <w:pPr>
        <w:spacing w:before="240"/>
        <w:ind w:left="118" w:firstLine="360"/>
        <w:jc w:val="both"/>
        <w:rPr>
          <w:sz w:val="24"/>
          <w:szCs w:val="24"/>
          <w:lang w:val="mk-MK"/>
        </w:rPr>
      </w:pPr>
      <w:r w:rsidRPr="000E38C2">
        <w:rPr>
          <w:sz w:val="24"/>
          <w:szCs w:val="24"/>
          <w:lang w:val="mk-MK"/>
        </w:rPr>
        <w:t xml:space="preserve">И покрај овие притисоци, кодетерминацијата останува цврсто вградена во германското право и политичка култура. Современите дебати за корпоративна одржливост, ESG стандарди и моделите на т.н. </w:t>
      </w:r>
      <w:r w:rsidRPr="000E38C2">
        <w:rPr>
          <w:i/>
          <w:iCs/>
          <w:sz w:val="24"/>
          <w:szCs w:val="24"/>
          <w:lang w:val="mk-MK"/>
        </w:rPr>
        <w:t>stakeholder capitalism</w:t>
      </w:r>
      <w:r>
        <w:rPr>
          <w:sz w:val="24"/>
          <w:szCs w:val="24"/>
          <w:lang w:val="mk-MK"/>
        </w:rPr>
        <w:t>, односно капитализам на засегнати страни,</w:t>
      </w:r>
      <w:r w:rsidRPr="000E38C2">
        <w:rPr>
          <w:sz w:val="24"/>
          <w:szCs w:val="24"/>
          <w:lang w:val="mk-MK"/>
        </w:rPr>
        <w:t xml:space="preserve"> повторно го актуелизираат интересот за германскиот модел како пример за балансирање на спротивставените интереси во рамките на корпорациите. И Европската унија црпи инспирација од германското искуство при разгледување рамки за зајакнато учество на вработените во земјите членки. Сумирано, Германија го претставува најинституционализираниот и најсеопфатниот систем на учество на вработените во корпоративното управување на глобално ниво. Моделот на кодетерминација покажува дека трудот може да остварува значајно влијание не само во прашањата поврзани со работното место, туку и во обликувањето на корпоративната стратегија, со што демократските принципи се вградуваат во економската сфера.</w:t>
      </w:r>
    </w:p>
    <w:p w14:paraId="75F2140D" w14:textId="77777777" w:rsidR="00DE2EF2" w:rsidRDefault="006D1743" w:rsidP="00A3441C">
      <w:pPr>
        <w:spacing w:before="240"/>
        <w:ind w:firstLine="478"/>
        <w:jc w:val="both"/>
        <w:rPr>
          <w:sz w:val="24"/>
          <w:szCs w:val="24"/>
          <w:lang w:val="mk-MK"/>
        </w:rPr>
      </w:pPr>
      <w:r>
        <w:rPr>
          <w:sz w:val="24"/>
          <w:szCs w:val="24"/>
          <w:lang w:val="mk-MK"/>
        </w:rPr>
        <w:t xml:space="preserve">Неколку практични примери </w:t>
      </w:r>
      <w:r w:rsidR="000C4884">
        <w:rPr>
          <w:sz w:val="24"/>
          <w:szCs w:val="24"/>
          <w:lang w:val="mk-MK"/>
        </w:rPr>
        <w:t xml:space="preserve">илустрираат како законското решение носи резултати во пракса. Почнувајќи од </w:t>
      </w:r>
      <w:r w:rsidR="00436714" w:rsidRPr="00436714">
        <w:rPr>
          <w:i/>
          <w:iCs/>
          <w:sz w:val="24"/>
          <w:szCs w:val="24"/>
          <w:lang w:val="mk-MK"/>
        </w:rPr>
        <w:t>Volkswagen Group</w:t>
      </w:r>
      <w:r w:rsidR="00436714">
        <w:rPr>
          <w:sz w:val="24"/>
          <w:szCs w:val="24"/>
          <w:lang w:val="mk-MK"/>
        </w:rPr>
        <w:t>, како</w:t>
      </w:r>
      <w:r w:rsidR="00436714" w:rsidRPr="00436714">
        <w:rPr>
          <w:sz w:val="24"/>
          <w:szCs w:val="24"/>
          <w:lang w:val="mk-MK"/>
        </w:rPr>
        <w:t xml:space="preserve"> типичен пример на компанија која </w:t>
      </w:r>
      <w:r w:rsidR="004511D9">
        <w:rPr>
          <w:sz w:val="24"/>
          <w:szCs w:val="24"/>
          <w:lang w:val="mk-MK"/>
        </w:rPr>
        <w:t xml:space="preserve">го </w:t>
      </w:r>
      <w:r w:rsidR="00436714" w:rsidRPr="00436714">
        <w:rPr>
          <w:sz w:val="24"/>
          <w:szCs w:val="24"/>
          <w:lang w:val="mk-MK"/>
        </w:rPr>
        <w:t>применува овој систем</w:t>
      </w:r>
      <w:r w:rsidR="004511D9">
        <w:rPr>
          <w:sz w:val="24"/>
          <w:szCs w:val="24"/>
          <w:lang w:val="mk-MK"/>
        </w:rPr>
        <w:t>, р</w:t>
      </w:r>
      <w:r w:rsidR="00436714" w:rsidRPr="00436714">
        <w:rPr>
          <w:sz w:val="24"/>
          <w:szCs w:val="24"/>
          <w:lang w:val="mk-MK"/>
        </w:rPr>
        <w:t>аботниците преку своите претставници учествуваат во надзорниот одбор и имаат право на глас при донесување стратешки одлуки.</w:t>
      </w:r>
      <w:r w:rsidR="004511D9">
        <w:rPr>
          <w:rStyle w:val="FootnoteReference"/>
          <w:sz w:val="24"/>
          <w:szCs w:val="24"/>
          <w:lang w:val="mk-MK"/>
        </w:rPr>
        <w:footnoteReference w:id="647"/>
      </w:r>
      <w:r w:rsidR="00436714" w:rsidRPr="00436714">
        <w:rPr>
          <w:sz w:val="24"/>
          <w:szCs w:val="24"/>
          <w:lang w:val="mk-MK"/>
        </w:rPr>
        <w:t xml:space="preserve"> Ова вклучува одлуки за корпоративни реорганизации, инвестиции и реструктуирање на работните места, како што е преговараниот план за намалување на работните места </w:t>
      </w:r>
      <w:r w:rsidR="00793DF6">
        <w:rPr>
          <w:sz w:val="24"/>
          <w:szCs w:val="24"/>
          <w:lang w:val="mk-MK"/>
        </w:rPr>
        <w:t xml:space="preserve">од </w:t>
      </w:r>
      <w:r w:rsidR="00436714" w:rsidRPr="00436714">
        <w:rPr>
          <w:sz w:val="24"/>
          <w:szCs w:val="24"/>
          <w:lang w:val="mk-MK"/>
        </w:rPr>
        <w:t>околу 20.000 позиции што произлезе од дијалог со синдикатите и работничките претставници во процесот на реструктуирање</w:t>
      </w:r>
      <w:r w:rsidR="00793DF6">
        <w:rPr>
          <w:sz w:val="24"/>
          <w:szCs w:val="24"/>
          <w:lang w:val="mk-MK"/>
        </w:rPr>
        <w:t xml:space="preserve">. </w:t>
      </w:r>
      <w:r w:rsidR="00A3441C">
        <w:rPr>
          <w:sz w:val="24"/>
          <w:szCs w:val="24"/>
          <w:lang w:val="mk-MK"/>
        </w:rPr>
        <w:t>Оваа ситуација во</w:t>
      </w:r>
      <w:r w:rsidR="00A3441C" w:rsidRPr="00A3441C">
        <w:rPr>
          <w:sz w:val="24"/>
          <w:szCs w:val="24"/>
          <w:lang w:val="mk-MK"/>
        </w:rPr>
        <w:t xml:space="preserve"> Германија</w:t>
      </w:r>
      <w:r w:rsidR="00A3441C">
        <w:rPr>
          <w:sz w:val="24"/>
          <w:szCs w:val="24"/>
          <w:lang w:val="mk-MK"/>
        </w:rPr>
        <w:t xml:space="preserve"> често се користи како пример дека дури и најтешките одлуки можат да се донесат со ова законско решение, иако</w:t>
      </w:r>
      <w:r w:rsidR="00A3441C" w:rsidRPr="00A3441C">
        <w:rPr>
          <w:sz w:val="24"/>
          <w:szCs w:val="24"/>
          <w:lang w:val="mk-MK"/>
        </w:rPr>
        <w:t xml:space="preserve"> работничките совети се воспоставуваат на ниво на компанија и имаат значајни права на информирање, консултација и коодлучување за широк спектар прашања што директно го засегаат работниот процес и условите за работа</w:t>
      </w:r>
      <w:r w:rsidR="00A3441C">
        <w:rPr>
          <w:sz w:val="24"/>
          <w:szCs w:val="24"/>
          <w:lang w:val="mk-MK"/>
        </w:rPr>
        <w:t>.</w:t>
      </w:r>
      <w:r w:rsidR="00A3441C">
        <w:rPr>
          <w:rStyle w:val="FootnoteReference"/>
          <w:sz w:val="24"/>
          <w:szCs w:val="24"/>
          <w:lang w:val="mk-MK"/>
        </w:rPr>
        <w:footnoteReference w:id="648"/>
      </w:r>
      <w:r w:rsidR="00A3441C" w:rsidRPr="00A3441C">
        <w:rPr>
          <w:sz w:val="24"/>
          <w:szCs w:val="24"/>
          <w:lang w:val="mk-MK"/>
        </w:rPr>
        <w:t xml:space="preserve"> </w:t>
      </w:r>
    </w:p>
    <w:p w14:paraId="418FD6FD" w14:textId="65F0C91E" w:rsidR="00793DF6" w:rsidRDefault="00A3441C" w:rsidP="00A3441C">
      <w:pPr>
        <w:spacing w:before="240"/>
        <w:ind w:firstLine="478"/>
        <w:jc w:val="both"/>
        <w:rPr>
          <w:sz w:val="24"/>
          <w:szCs w:val="24"/>
          <w:lang w:val="mk-MK"/>
        </w:rPr>
      </w:pPr>
      <w:r w:rsidRPr="00A3441C">
        <w:rPr>
          <w:sz w:val="24"/>
          <w:szCs w:val="24"/>
          <w:lang w:val="mk-MK"/>
        </w:rPr>
        <w:t>Работничките совети во големите германски компании, како што се производните погон</w:t>
      </w:r>
      <w:r w:rsidR="00B05836">
        <w:rPr>
          <w:sz w:val="24"/>
          <w:szCs w:val="24"/>
          <w:lang w:val="mk-MK"/>
        </w:rPr>
        <w:t>и</w:t>
      </w:r>
      <w:r w:rsidRPr="00A3441C">
        <w:rPr>
          <w:sz w:val="24"/>
          <w:szCs w:val="24"/>
          <w:lang w:val="mk-MK"/>
        </w:rPr>
        <w:t xml:space="preserve"> на BMW и други големи индустриски играчи, учествуваат во дискусии за воведување на нови системи за организација на производството, политика за дигитализација и автоматизација, преговори за условите при возможни реорганизации или реструктуирање на производниот кадар. Очигледни резултати од практика</w:t>
      </w:r>
      <w:r w:rsidR="00102F55">
        <w:rPr>
          <w:sz w:val="24"/>
          <w:szCs w:val="24"/>
          <w:lang w:val="mk-MK"/>
        </w:rPr>
        <w:t>та</w:t>
      </w:r>
      <w:r w:rsidRPr="00A3441C">
        <w:rPr>
          <w:sz w:val="24"/>
          <w:szCs w:val="24"/>
          <w:lang w:val="mk-MK"/>
        </w:rPr>
        <w:t xml:space="preserve"> и од </w:t>
      </w:r>
      <w:r w:rsidR="00102F55">
        <w:rPr>
          <w:sz w:val="24"/>
          <w:szCs w:val="24"/>
          <w:lang w:val="mk-MK"/>
        </w:rPr>
        <w:t xml:space="preserve">онлајн </w:t>
      </w:r>
      <w:r w:rsidRPr="00A3441C">
        <w:rPr>
          <w:sz w:val="24"/>
          <w:szCs w:val="24"/>
          <w:lang w:val="mk-MK"/>
        </w:rPr>
        <w:t xml:space="preserve">интервјуа со лица инволвирани во претпријатијата покажуваат дека советите </w:t>
      </w:r>
      <w:r w:rsidRPr="00A3441C">
        <w:rPr>
          <w:sz w:val="24"/>
          <w:szCs w:val="24"/>
          <w:lang w:val="mk-MK"/>
        </w:rPr>
        <w:lastRenderedPageBreak/>
        <w:t>имаат реална улога во процесот на активни преговори, што влијае на формата и динамиката на одлуките во компаниите.</w:t>
      </w:r>
    </w:p>
    <w:p w14:paraId="33070943" w14:textId="542D6145" w:rsidR="00833C5C" w:rsidRDefault="00833C5C" w:rsidP="00A3441C">
      <w:pPr>
        <w:spacing w:before="240"/>
        <w:ind w:firstLine="478"/>
        <w:jc w:val="both"/>
        <w:rPr>
          <w:sz w:val="24"/>
          <w:szCs w:val="24"/>
          <w:lang w:val="mk-MK"/>
        </w:rPr>
      </w:pPr>
      <w:r>
        <w:rPr>
          <w:sz w:val="24"/>
          <w:szCs w:val="24"/>
          <w:lang w:val="mk-MK"/>
        </w:rPr>
        <w:t xml:space="preserve">Уште еден класичен пример е </w:t>
      </w:r>
      <w:r w:rsidRPr="00833C5C">
        <w:rPr>
          <w:sz w:val="24"/>
          <w:szCs w:val="24"/>
          <w:lang w:val="mk-MK"/>
        </w:rPr>
        <w:t>Siemens AG</w:t>
      </w:r>
      <w:r>
        <w:rPr>
          <w:sz w:val="24"/>
          <w:szCs w:val="24"/>
          <w:lang w:val="mk-MK"/>
        </w:rPr>
        <w:t>, која е</w:t>
      </w:r>
      <w:r w:rsidRPr="00833C5C">
        <w:rPr>
          <w:sz w:val="24"/>
          <w:szCs w:val="24"/>
          <w:lang w:val="mk-MK"/>
        </w:rPr>
        <w:t xml:space="preserve"> мултинационална германска корпорација со повеќе од 300.000 вработени глобално, на која целосно се применува Законот за кодетерминација од 1976 година. Надзорниот одбор на Siemens е составен на паритетна основа, при што работничките претставници имаат суштинска улога при носење одлуки за реструктурирање, аутсорсинг и технолошки трансформации. </w:t>
      </w:r>
      <w:r w:rsidR="00FB02E6">
        <w:rPr>
          <w:sz w:val="24"/>
          <w:szCs w:val="24"/>
          <w:lang w:val="mk-MK"/>
        </w:rPr>
        <w:t>Ова најдобро е прикажано преку п</w:t>
      </w:r>
      <w:r w:rsidRPr="00833C5C">
        <w:rPr>
          <w:sz w:val="24"/>
          <w:szCs w:val="24"/>
          <w:lang w:val="mk-MK"/>
        </w:rPr>
        <w:t>роцесот на дигитална трансформација и издвојување на одделни бизнис сегменти, каде што работничките претставници во надзорниот одбор учествуваат во одобрување на стратегиските планови,</w:t>
      </w:r>
      <w:r w:rsidR="00E3094A">
        <w:rPr>
          <w:sz w:val="24"/>
          <w:szCs w:val="24"/>
          <w:lang w:val="mk-MK"/>
        </w:rPr>
        <w:t xml:space="preserve"> а</w:t>
      </w:r>
      <w:r w:rsidRPr="00833C5C">
        <w:rPr>
          <w:sz w:val="24"/>
          <w:szCs w:val="24"/>
          <w:lang w:val="mk-MK"/>
        </w:rPr>
        <w:t xml:space="preserve"> работничките совети на ниво на претпријатие преговараат за социјални планови,</w:t>
      </w:r>
      <w:r w:rsidR="00E3094A">
        <w:rPr>
          <w:rStyle w:val="FootnoteReference"/>
          <w:sz w:val="24"/>
          <w:szCs w:val="24"/>
          <w:lang w:val="mk-MK"/>
        </w:rPr>
        <w:footnoteReference w:id="649"/>
      </w:r>
      <w:r w:rsidRPr="00833C5C">
        <w:rPr>
          <w:sz w:val="24"/>
          <w:szCs w:val="24"/>
          <w:lang w:val="mk-MK"/>
        </w:rPr>
        <w:t xml:space="preserve"> кои вклучуваат преквалификација, внатрешна мобилност и заштита од отпуштања. Во интервјуа со претставници на менаџментот беше истакнато дека одлуките формално не можат да се донесат без претходна консултација и политички компромис со работничката страна, особено кога се работи за долгорочни инвестициски и кадровски последици. Ова ја покажува кодетерминацијата како механизам за управување со ризик и стабилност, а не како блокада на управувањето.</w:t>
      </w:r>
    </w:p>
    <w:p w14:paraId="5D3C5A45" w14:textId="67C3282D" w:rsidR="006F2A8D" w:rsidRDefault="006F2A8D" w:rsidP="00A3441C">
      <w:pPr>
        <w:spacing w:before="240"/>
        <w:ind w:firstLine="478"/>
        <w:jc w:val="both"/>
        <w:rPr>
          <w:sz w:val="24"/>
          <w:szCs w:val="24"/>
          <w:lang w:val="mk-MK"/>
        </w:rPr>
      </w:pPr>
      <w:r w:rsidRPr="006F2A8D">
        <w:rPr>
          <w:i/>
          <w:iCs/>
          <w:sz w:val="24"/>
          <w:szCs w:val="24"/>
          <w:lang w:val="mk-MK"/>
        </w:rPr>
        <w:t>BASF SE</w:t>
      </w:r>
      <w:r w:rsidRPr="006F2A8D">
        <w:rPr>
          <w:sz w:val="24"/>
          <w:szCs w:val="24"/>
          <w:lang w:val="mk-MK"/>
        </w:rPr>
        <w:t>, како најголема хемиска компанија во светот со седиште во Германија, е пример каде кодетерминацијата има директно влијание врз корпоративните политики за животна средина, здравје и безбедност, како и ESG стратегиите. Во BASF работничките претставници во надзорниот одбор учествуваат во комитетите за одржливост и ревизија, имаат право на коодлучување при воведување нови технологии што влијаат врз безбедноста при работа и организацијата на трудот</w:t>
      </w:r>
      <w:r w:rsidR="00FE2A7C">
        <w:rPr>
          <w:sz w:val="24"/>
          <w:szCs w:val="24"/>
          <w:lang w:val="mk-MK"/>
        </w:rPr>
        <w:t xml:space="preserve"> и</w:t>
      </w:r>
      <w:r w:rsidRPr="006F2A8D">
        <w:rPr>
          <w:sz w:val="24"/>
          <w:szCs w:val="24"/>
          <w:lang w:val="mk-MK"/>
        </w:rPr>
        <w:t xml:space="preserve"> значаен дел од интерните ESG политики се развиваат во дијалог со претставниците на вработените. Практично, ова значи дека одлуките за затворање или модернизација на погони, намалување на емисии или инвестиции во „зелени“ технологии се предмет на институционализиран социјален дијалог, а не исклучиво на менаџерска дискреција. Според соговорници од корпоративната страна, ваквиот модел ја зголемува легитимноста на одлуките и ја намалува веројатноста за индустриски конфликти.</w:t>
      </w:r>
    </w:p>
    <w:p w14:paraId="424797C9" w14:textId="48938AA3" w:rsidR="00FE2A7C" w:rsidRDefault="00FE2A7C" w:rsidP="00A3441C">
      <w:pPr>
        <w:spacing w:before="240"/>
        <w:ind w:firstLine="478"/>
        <w:jc w:val="both"/>
        <w:rPr>
          <w:sz w:val="24"/>
          <w:szCs w:val="24"/>
          <w:lang w:val="mk-MK"/>
        </w:rPr>
      </w:pPr>
      <w:r>
        <w:rPr>
          <w:sz w:val="24"/>
          <w:szCs w:val="24"/>
          <w:lang w:val="mk-MK"/>
        </w:rPr>
        <w:t>Фактот што профитите на наведените четири компании се мери во милијарди евра, доволно говори дека наводната опструкција на овој модел и спречувањето на развојот на компанијата е повеќе мит, отколку реалност.</w:t>
      </w:r>
      <w:r w:rsidR="00FB3F3E">
        <w:rPr>
          <w:rStyle w:val="FootnoteReference"/>
          <w:sz w:val="24"/>
          <w:szCs w:val="24"/>
          <w:lang w:val="mk-MK"/>
        </w:rPr>
        <w:footnoteReference w:id="650"/>
      </w:r>
      <w:r>
        <w:rPr>
          <w:sz w:val="24"/>
          <w:szCs w:val="24"/>
          <w:lang w:val="mk-MK"/>
        </w:rPr>
        <w:t xml:space="preserve"> </w:t>
      </w:r>
      <w:r w:rsidR="00305612">
        <w:rPr>
          <w:sz w:val="24"/>
          <w:szCs w:val="24"/>
          <w:lang w:val="mk-MK"/>
        </w:rPr>
        <w:t>Видливо е дека Г</w:t>
      </w:r>
      <w:r w:rsidR="00305612" w:rsidRPr="00305612">
        <w:rPr>
          <w:sz w:val="24"/>
          <w:szCs w:val="24"/>
          <w:lang w:val="mk-MK"/>
        </w:rPr>
        <w:t>ерманија претставува најразвиен и најинституционализиран пример на учество на вработените во корпоративното управување, чиј модел на кодетерминација функционира како референтна точка за компаративни анализи во Европа. Во споредба со Германија, и Македонија и Словенија се наоѓаат на различни, но нееднакво оддалечени позиции во однос на степенот на правна кохерентност, институционална стабилност и практична имплементација на работничкото учество.</w:t>
      </w:r>
      <w:r w:rsidR="002D02D7">
        <w:rPr>
          <w:sz w:val="24"/>
          <w:szCs w:val="24"/>
          <w:lang w:val="mk-MK"/>
        </w:rPr>
        <w:t xml:space="preserve"> Словенија тука се зема како референтен пример заради тоа што неколку аспекти од нејзините национално уредување беа наведени како вредни за преземање во македонскиот контекст. </w:t>
      </w:r>
    </w:p>
    <w:p w14:paraId="5F054DF2" w14:textId="77571A45" w:rsidR="002D02D7" w:rsidRDefault="002D02D7" w:rsidP="00A3441C">
      <w:pPr>
        <w:spacing w:before="240"/>
        <w:ind w:firstLine="478"/>
        <w:jc w:val="both"/>
        <w:rPr>
          <w:sz w:val="24"/>
          <w:szCs w:val="24"/>
          <w:lang w:val="mk-MK"/>
        </w:rPr>
      </w:pPr>
      <w:r w:rsidRPr="002D02D7">
        <w:rPr>
          <w:sz w:val="24"/>
          <w:szCs w:val="24"/>
          <w:lang w:val="mk-MK"/>
        </w:rPr>
        <w:t xml:space="preserve">Германскиот модел се карактеризира со јасно разграничени, но функционално </w:t>
      </w:r>
      <w:r w:rsidRPr="002D02D7">
        <w:rPr>
          <w:sz w:val="24"/>
          <w:szCs w:val="24"/>
          <w:lang w:val="mk-MK"/>
        </w:rPr>
        <w:lastRenderedPageBreak/>
        <w:t xml:space="preserve">поврзани правни режими. Законот за кодетерминација и </w:t>
      </w:r>
      <w:r w:rsidR="001B79F4" w:rsidRPr="001B79F4">
        <w:rPr>
          <w:sz w:val="24"/>
          <w:szCs w:val="24"/>
          <w:lang w:val="mk-MK"/>
        </w:rPr>
        <w:t>Законот за уредување на односите помеѓу менаџментот и трудот</w:t>
      </w:r>
      <w:r w:rsidR="001B79F4">
        <w:rPr>
          <w:sz w:val="24"/>
          <w:szCs w:val="24"/>
          <w:lang w:val="mk-MK"/>
        </w:rPr>
        <w:t xml:space="preserve"> </w:t>
      </w:r>
      <w:r w:rsidRPr="002D02D7">
        <w:rPr>
          <w:sz w:val="24"/>
          <w:szCs w:val="24"/>
          <w:lang w:val="mk-MK"/>
        </w:rPr>
        <w:t>создаваат двојна архитектура на учество, при што вработените имаат влијание и на стратегиско и на оперативно ниво. Кодетерминацијата е вградена во сржта на корпоративното право и не зависи од волјата на акционерите или од интерни акти на друштвото.</w:t>
      </w:r>
      <w:r w:rsidR="003410CE">
        <w:rPr>
          <w:sz w:val="24"/>
          <w:szCs w:val="24"/>
          <w:lang w:val="mk-MK"/>
        </w:rPr>
        <w:t xml:space="preserve"> </w:t>
      </w:r>
      <w:r w:rsidR="003410CE" w:rsidRPr="003410CE">
        <w:rPr>
          <w:sz w:val="24"/>
          <w:szCs w:val="24"/>
          <w:lang w:val="mk-MK"/>
        </w:rPr>
        <w:t>Словенија, иако не достигнува германско ниво на интензитет, разви</w:t>
      </w:r>
      <w:r w:rsidR="003410CE">
        <w:rPr>
          <w:sz w:val="24"/>
          <w:szCs w:val="24"/>
          <w:lang w:val="mk-MK"/>
        </w:rPr>
        <w:t>ла</w:t>
      </w:r>
      <w:r w:rsidR="003410CE" w:rsidRPr="003410CE">
        <w:rPr>
          <w:sz w:val="24"/>
          <w:szCs w:val="24"/>
          <w:lang w:val="mk-MK"/>
        </w:rPr>
        <w:t xml:space="preserve"> релативно стабилен нормативен модел кој овозможува задолжително учество на вработените во надзорните одбори на големите друштва и функционални работнички совети. Во таа смисла, словенечкиот систем претставува „мека“ верзија на континенталната кодетерминација. Наспроти тоа, во Македонија, учеството на вработените е регулирано претежно преку трудовото законодавство и колективните договори, без јасна интеграција во Законот за трговските друштва. Отсуството на експлицитни одредби за работничка застапеност во органите на управување резултира со системска празнина и слаб нормативен сигнал дека учеството на вработените е дел од корпоративното управување.</w:t>
      </w:r>
    </w:p>
    <w:p w14:paraId="6591CBE7" w14:textId="77251E40" w:rsidR="00670FFB" w:rsidRDefault="005C1ED5" w:rsidP="00A3441C">
      <w:pPr>
        <w:spacing w:before="240"/>
        <w:ind w:firstLine="478"/>
        <w:jc w:val="both"/>
        <w:rPr>
          <w:sz w:val="24"/>
          <w:szCs w:val="24"/>
          <w:lang w:val="mk-MK"/>
        </w:rPr>
      </w:pPr>
      <w:r w:rsidRPr="005C1ED5">
        <w:rPr>
          <w:sz w:val="24"/>
          <w:szCs w:val="24"/>
          <w:lang w:val="mk-MK"/>
        </w:rPr>
        <w:t>Во Германија, кодетерминацијата функционира како институционализирана практика со висока степен на правна предвидливост и легитимитет. Надзорните одбори со паритетно учество на работниците се составен дел од корпоративната култура, а работничките совети располагаат со реални права на согласност во прашања поврзани со работните услови, реорганизација и социјални планови. Словенија покажува умерено високо ниво на практична имплементација, особено во јавните претпријатија и големите корпорации. Иако работничкото учество не секогаш има пресудно влијание врз стратегиските одлуки, неговото постоење е институционално признаено и функционално интегрирано. Во Македонија, практичниот ефект е значително послаб</w:t>
      </w:r>
      <w:r w:rsidR="00A9644E">
        <w:rPr>
          <w:sz w:val="24"/>
          <w:szCs w:val="24"/>
          <w:lang w:val="mk-MK"/>
        </w:rPr>
        <w:t xml:space="preserve"> или речиси непостоечки</w:t>
      </w:r>
      <w:r w:rsidRPr="005C1ED5">
        <w:rPr>
          <w:sz w:val="24"/>
          <w:szCs w:val="24"/>
          <w:lang w:val="mk-MK"/>
        </w:rPr>
        <w:t>. Механизмите за информирање и консултација често остануваат формални, синдикалното учество е фрагментирано, а културата на корпоративен дијалог е недоволно развиена. Ова не е резултат само на правни празнини, туку и на институционална слабост и ограничен капацитет на социјалните партнери.</w:t>
      </w:r>
    </w:p>
    <w:p w14:paraId="7F7133C0" w14:textId="6675885A" w:rsidR="003F6BAD" w:rsidRDefault="003F6BAD" w:rsidP="00A3441C">
      <w:pPr>
        <w:spacing w:before="240"/>
        <w:ind w:firstLine="478"/>
        <w:jc w:val="both"/>
        <w:rPr>
          <w:sz w:val="24"/>
          <w:szCs w:val="24"/>
          <w:lang w:val="mk-MK"/>
        </w:rPr>
      </w:pPr>
      <w:r w:rsidRPr="003F6BAD">
        <w:rPr>
          <w:sz w:val="24"/>
          <w:szCs w:val="24"/>
          <w:lang w:val="mk-MK"/>
        </w:rPr>
        <w:t>Германскиот модел не е директно пренослив</w:t>
      </w:r>
      <w:r w:rsidR="00BB41DB">
        <w:rPr>
          <w:sz w:val="24"/>
          <w:szCs w:val="24"/>
          <w:lang w:val="mk-MK"/>
        </w:rPr>
        <w:t xml:space="preserve"> во целосно различен културолошки контекст</w:t>
      </w:r>
      <w:r w:rsidRPr="003F6BAD">
        <w:rPr>
          <w:sz w:val="24"/>
          <w:szCs w:val="24"/>
          <w:lang w:val="mk-MK"/>
        </w:rPr>
        <w:t xml:space="preserve">, но нуди неколку клучни лекции релевантни за македонскиот </w:t>
      </w:r>
      <w:r w:rsidR="00BB41DB">
        <w:rPr>
          <w:sz w:val="24"/>
          <w:szCs w:val="24"/>
          <w:lang w:val="mk-MK"/>
        </w:rPr>
        <w:t>случај.</w:t>
      </w:r>
      <w:r w:rsidRPr="003F6BAD">
        <w:rPr>
          <w:sz w:val="24"/>
          <w:szCs w:val="24"/>
          <w:lang w:val="mk-MK"/>
        </w:rPr>
        <w:t xml:space="preserve"> Прво, јасна законска интеграција на работничкото учество во корпоративното право. Наместо да се потпира исклучиво на трудовото законодавство, Македонија може да воведе експлицитни одредби во Законот за трговските друштва за учество на вработените во надзорните органи на големите акционерски друштва, по примерот на германскиот модел за средни компании со една третина работнички претставници. Второ, постепен и диференциран пристап. Германија јасно разликува </w:t>
      </w:r>
      <w:r w:rsidR="00B031E6">
        <w:rPr>
          <w:sz w:val="24"/>
          <w:szCs w:val="24"/>
          <w:lang w:val="mk-MK"/>
        </w:rPr>
        <w:t>по</w:t>
      </w:r>
      <w:r w:rsidRPr="003F6BAD">
        <w:rPr>
          <w:sz w:val="24"/>
          <w:szCs w:val="24"/>
          <w:lang w:val="mk-MK"/>
        </w:rPr>
        <w:t xml:space="preserve">меѓу големи и средни компании. Македонија би можела да воведе минимални прагови според бројот на вработени, со што би се избегнал прекумерен товар за малите и средни претпријатија. Трето, јакнење на институциите на работното место. Германските работнички совети покажуваат дека ефективното учество започнува на оперативно ниво. Воведување или реформа на механизми слични на работнички совети, со јасно дефинирани права на информирање, консултација и коодлучување, би било поостварливо и политички </w:t>
      </w:r>
      <w:r w:rsidR="000D6B92">
        <w:rPr>
          <w:sz w:val="24"/>
          <w:szCs w:val="24"/>
          <w:lang w:val="mk-MK"/>
        </w:rPr>
        <w:t>по</w:t>
      </w:r>
      <w:r w:rsidRPr="003F6BAD">
        <w:rPr>
          <w:sz w:val="24"/>
          <w:szCs w:val="24"/>
          <w:lang w:val="mk-MK"/>
        </w:rPr>
        <w:t>прифатливо од директна паритетна кодетерминација.</w:t>
      </w:r>
    </w:p>
    <w:p w14:paraId="7AF9D308" w14:textId="73D67D00" w:rsidR="0045234A" w:rsidRDefault="0045234A" w:rsidP="00A3441C">
      <w:pPr>
        <w:spacing w:before="240"/>
        <w:ind w:firstLine="478"/>
        <w:jc w:val="both"/>
        <w:rPr>
          <w:sz w:val="24"/>
          <w:szCs w:val="24"/>
          <w:lang w:val="mk-MK"/>
        </w:rPr>
      </w:pPr>
      <w:r>
        <w:rPr>
          <w:sz w:val="24"/>
          <w:szCs w:val="24"/>
          <w:lang w:val="mk-MK"/>
        </w:rPr>
        <w:t xml:space="preserve">Почнувањето на ваква пракса во неколку компании може да донесе позитивни промени и трендови </w:t>
      </w:r>
      <w:r w:rsidR="007C4079">
        <w:rPr>
          <w:sz w:val="24"/>
          <w:szCs w:val="24"/>
          <w:lang w:val="mk-MK"/>
        </w:rPr>
        <w:t>кои ќе значат дека трговските друштва ќе го преземат овој модел дури и во ситуации кога законски не се обврзани на тоа.</w:t>
      </w:r>
      <w:r w:rsidR="007C4079">
        <w:rPr>
          <w:rStyle w:val="FootnoteReference"/>
          <w:sz w:val="24"/>
          <w:szCs w:val="24"/>
          <w:lang w:val="mk-MK"/>
        </w:rPr>
        <w:footnoteReference w:id="651"/>
      </w:r>
      <w:r w:rsidR="007C4079">
        <w:rPr>
          <w:sz w:val="24"/>
          <w:szCs w:val="24"/>
          <w:lang w:val="mk-MK"/>
        </w:rPr>
        <w:t xml:space="preserve"> </w:t>
      </w:r>
      <w:r w:rsidR="00501CB1">
        <w:rPr>
          <w:sz w:val="24"/>
          <w:szCs w:val="24"/>
          <w:lang w:val="mk-MK"/>
        </w:rPr>
        <w:t xml:space="preserve">Во секој случај, </w:t>
      </w:r>
      <w:r w:rsidR="00501CB1">
        <w:rPr>
          <w:sz w:val="24"/>
          <w:szCs w:val="24"/>
          <w:lang w:val="mk-MK"/>
        </w:rPr>
        <w:lastRenderedPageBreak/>
        <w:t>п</w:t>
      </w:r>
      <w:r w:rsidR="00501CB1" w:rsidRPr="00501CB1">
        <w:rPr>
          <w:sz w:val="24"/>
          <w:szCs w:val="24"/>
          <w:lang w:val="mk-MK"/>
        </w:rPr>
        <w:t>рилагодувањето мора да биде селективно и реалистично. Наместо амбициозен и симболичен трансфер, Македонија може да се ориентира кон минимален, но функционален модел на работничко учество, инспириран од германската една третина застапеност. Овој модел би можел да се примени најпрво во јавните претпријатија и големите акционерски друштва со доминантно државно или мешано сопствеништво, каде институционалната подготвеност е поголема. Понатаму, германското искуство укажува дека правните норми мора да бидат придружени со култура на социјален дијалог и институционална доверба. Без зајакнување на синдикатите, професионализација на работничките претставници и јасни процедури за нивен избор и одговорност, секој формален модел би останал декларативен.</w:t>
      </w:r>
    </w:p>
    <w:p w14:paraId="6CA44B77" w14:textId="59D7DF7F" w:rsidR="005B1926" w:rsidRDefault="005B1926" w:rsidP="00A3441C">
      <w:pPr>
        <w:spacing w:before="240"/>
        <w:ind w:firstLine="478"/>
        <w:jc w:val="both"/>
        <w:rPr>
          <w:sz w:val="24"/>
          <w:szCs w:val="24"/>
          <w:lang w:val="mk-MK"/>
        </w:rPr>
      </w:pPr>
      <w:r w:rsidRPr="005B1926">
        <w:rPr>
          <w:sz w:val="24"/>
          <w:szCs w:val="24"/>
          <w:lang w:val="mk-MK"/>
        </w:rPr>
        <w:t xml:space="preserve">Додека Словенија веќе претставува делумно функционален мост </w:t>
      </w:r>
      <w:r w:rsidR="000047AA">
        <w:rPr>
          <w:sz w:val="24"/>
          <w:szCs w:val="24"/>
          <w:lang w:val="mk-MK"/>
        </w:rPr>
        <w:t>по</w:t>
      </w:r>
      <w:r w:rsidRPr="005B1926">
        <w:rPr>
          <w:sz w:val="24"/>
          <w:szCs w:val="24"/>
          <w:lang w:val="mk-MK"/>
        </w:rPr>
        <w:t>меѓу постсоцијалистичкиот и континенталниот модел,</w:t>
      </w:r>
      <w:r w:rsidR="00B378A2">
        <w:rPr>
          <w:rStyle w:val="FootnoteReference"/>
          <w:sz w:val="24"/>
          <w:szCs w:val="24"/>
          <w:lang w:val="mk-MK"/>
        </w:rPr>
        <w:footnoteReference w:id="652"/>
      </w:r>
      <w:r w:rsidRPr="005B1926">
        <w:rPr>
          <w:sz w:val="24"/>
          <w:szCs w:val="24"/>
          <w:lang w:val="mk-MK"/>
        </w:rPr>
        <w:t xml:space="preserve"> Македонија сè уште се наоѓа во фаза на ограничено и фрагментарно учество. Германскиот модел не треба да се гледа како нормативен идеал што треба механички да се копира, туку како референтна рамка што покажува дека учеството на вработените може да биде системски стабилно, правно кохерентно и економски одржливо. За Македонија, вистинската лекција од Германија не е паритетот, туку институционализацијата: јасни правила, постепена примена и реално учество, наместо декларативни права без практичен ефект.</w:t>
      </w:r>
    </w:p>
    <w:p w14:paraId="225B0F99" w14:textId="77777777" w:rsidR="00261C8B" w:rsidRDefault="00BA6E6F" w:rsidP="0001618C">
      <w:pPr>
        <w:spacing w:before="240" w:after="240"/>
        <w:ind w:firstLine="478"/>
        <w:jc w:val="both"/>
        <w:rPr>
          <w:sz w:val="24"/>
          <w:szCs w:val="24"/>
          <w:lang w:val="mk-MK"/>
        </w:rPr>
      </w:pPr>
      <w:r w:rsidRPr="00BA6E6F">
        <w:rPr>
          <w:sz w:val="24"/>
          <w:szCs w:val="24"/>
          <w:lang w:val="mk-MK"/>
        </w:rPr>
        <w:t xml:space="preserve">Иако германскиот модел на кодетерминација претставува најразвиен и најинституционализиран облик на вклучување на вработените во корпоративното управување во Европа, неговата анализа сама по себе не е доволна за целосно разбирање на можните патишта на развој на работничкото учество. Токму затоа, покрај Германија, неопходно е да се разгледа и холандскиот модел, кој нуди концептуално различен, но функционално ефективен пристап. </w:t>
      </w:r>
    </w:p>
    <w:p w14:paraId="7C6968C1" w14:textId="2680481C" w:rsidR="00F55940" w:rsidRPr="0001618C" w:rsidRDefault="00BA6E6F" w:rsidP="0001618C">
      <w:pPr>
        <w:spacing w:before="240" w:after="240"/>
        <w:ind w:firstLine="478"/>
        <w:jc w:val="both"/>
        <w:rPr>
          <w:sz w:val="24"/>
          <w:szCs w:val="24"/>
          <w:lang w:val="mk-MK"/>
        </w:rPr>
      </w:pPr>
      <w:r w:rsidRPr="00BA6E6F">
        <w:rPr>
          <w:sz w:val="24"/>
          <w:szCs w:val="24"/>
          <w:lang w:val="mk-MK"/>
        </w:rPr>
        <w:t>Холандија демонстрира дека значајно учество на вработените може да се постигне и без формална застапеност во надзорните органи, преку силни работнички совети, процесни права и индиректно влијание врз клучните управувачки одлуки. Во таа смисла, холандското искуство овозможува компаративна рамка која го релативизира германскиот модел како единствен референтен стандард и отвора простор за поприлагодливи и постепени реформи, особено релевантни за правни системи како македонскиот, каде институционалниот и економскиот контекст не дозволува лесна трансплантација на строга кодетерминација.</w:t>
      </w:r>
    </w:p>
    <w:p w14:paraId="72E4B13E" w14:textId="1707575A" w:rsidR="00F55940" w:rsidRPr="00D22054" w:rsidRDefault="00663AB6" w:rsidP="009330C0">
      <w:pPr>
        <w:pStyle w:val="Heading1"/>
        <w:numPr>
          <w:ilvl w:val="0"/>
          <w:numId w:val="7"/>
        </w:numPr>
        <w:jc w:val="both"/>
      </w:pPr>
      <w:bookmarkStart w:id="73" w:name="_Toc230523926"/>
      <w:r w:rsidRPr="00663AB6">
        <w:rPr>
          <w:lang w:val="mk-MK"/>
        </w:rPr>
        <w:t>Работнички совети и „структурниот режим“ во Холандија</w:t>
      </w:r>
      <w:bookmarkEnd w:id="73"/>
    </w:p>
    <w:p w14:paraId="4C822365" w14:textId="022A15B7" w:rsidR="002D02D7" w:rsidRPr="006D1743" w:rsidRDefault="004C3AB2" w:rsidP="00F55940">
      <w:pPr>
        <w:spacing w:before="240"/>
        <w:jc w:val="both"/>
        <w:rPr>
          <w:sz w:val="24"/>
          <w:szCs w:val="24"/>
          <w:lang w:val="mk-MK"/>
        </w:rPr>
      </w:pPr>
      <w:r>
        <w:rPr>
          <w:sz w:val="24"/>
          <w:szCs w:val="24"/>
          <w:lang w:val="mk-MK"/>
        </w:rPr>
        <w:tab/>
      </w:r>
      <w:r w:rsidR="00C85CBA" w:rsidRPr="00C85CBA">
        <w:rPr>
          <w:sz w:val="24"/>
          <w:szCs w:val="24"/>
          <w:lang w:val="mk-MK"/>
        </w:rPr>
        <w:t xml:space="preserve">Холандија претставува посебен модел на учество на вработените во корпоративното управување, кој зазема средна позиција помеѓу германскиот систем на формализирана кодетерминација на ниво на одбори и англоамериканскиот модел ориентиран кон приматот на акционерите. Холандското корпоративно управување се одликува со силен акцент на балансирање на интересите на засегнатите страни, </w:t>
      </w:r>
      <w:r w:rsidR="00686EC4">
        <w:rPr>
          <w:sz w:val="24"/>
          <w:szCs w:val="24"/>
          <w:lang w:val="mk-MK"/>
        </w:rPr>
        <w:t>долгорочен континуитет</w:t>
      </w:r>
      <w:r w:rsidR="00C85CBA" w:rsidRPr="00C85CBA">
        <w:rPr>
          <w:sz w:val="24"/>
          <w:szCs w:val="24"/>
          <w:lang w:val="mk-MK"/>
        </w:rPr>
        <w:t xml:space="preserve"> на претпријатието и институционализиран дијалог, при што во најголем дел се избегнува задолжително работничко претставување во управните или </w:t>
      </w:r>
      <w:r w:rsidR="00C85CBA" w:rsidRPr="00C85CBA">
        <w:rPr>
          <w:sz w:val="24"/>
          <w:szCs w:val="24"/>
          <w:lang w:val="mk-MK"/>
        </w:rPr>
        <w:lastRenderedPageBreak/>
        <w:t>надзорните органи.</w:t>
      </w:r>
      <w:r w:rsidR="00DD2D5A">
        <w:rPr>
          <w:rStyle w:val="FootnoteReference"/>
          <w:sz w:val="24"/>
          <w:szCs w:val="24"/>
          <w:lang w:val="mk-MK"/>
        </w:rPr>
        <w:footnoteReference w:id="653"/>
      </w:r>
      <w:r>
        <w:rPr>
          <w:sz w:val="24"/>
          <w:szCs w:val="24"/>
          <w:lang w:val="mk-MK"/>
        </w:rPr>
        <w:tab/>
      </w:r>
    </w:p>
    <w:p w14:paraId="2238D2D2" w14:textId="77777777" w:rsidR="00C7360C" w:rsidRDefault="00E6158D" w:rsidP="00E16058">
      <w:pPr>
        <w:spacing w:before="240"/>
        <w:ind w:firstLine="478"/>
        <w:jc w:val="both"/>
        <w:rPr>
          <w:sz w:val="24"/>
          <w:szCs w:val="24"/>
          <w:lang w:val="mk-MK"/>
        </w:rPr>
      </w:pPr>
      <w:r>
        <w:rPr>
          <w:sz w:val="24"/>
          <w:szCs w:val="24"/>
          <w:lang w:val="mk-MK"/>
        </w:rPr>
        <w:t xml:space="preserve"> </w:t>
      </w:r>
      <w:r w:rsidR="00B63153" w:rsidRPr="00B63153">
        <w:rPr>
          <w:sz w:val="24"/>
          <w:szCs w:val="24"/>
          <w:lang w:val="mk-MK"/>
        </w:rPr>
        <w:t>Наместо директно вклучување на вработените во органите на управување или надзор, холандскиот модел се потпира на силни, законски втемелени работнички совети и на посебна рамка за управување кај големите корпорации, позната како структурен режим. Овие два механизми овозможуваат значајно, но индиректно влијание на вработените врз стратегиските одлуки, именувањата и процесите на реструктурирање, при што се зачувува јасна поделба помеѓу управувањето и претставувањето на интереси</w:t>
      </w:r>
      <w:r w:rsidR="00744017">
        <w:rPr>
          <w:sz w:val="24"/>
          <w:szCs w:val="24"/>
          <w:lang w:val="en-US"/>
        </w:rPr>
        <w:t xml:space="preserve">. </w:t>
      </w:r>
      <w:r w:rsidR="00657BB2" w:rsidRPr="00657BB2">
        <w:rPr>
          <w:sz w:val="24"/>
          <w:szCs w:val="24"/>
          <w:lang w:val="mk-MK"/>
        </w:rPr>
        <w:t>Темелот на учеството на вработените во Холандија е Законот за работнички совети,</w:t>
      </w:r>
      <w:r w:rsidR="00657BB2">
        <w:rPr>
          <w:rStyle w:val="FootnoteReference"/>
          <w:sz w:val="24"/>
          <w:szCs w:val="24"/>
          <w:lang w:val="mk-MK"/>
        </w:rPr>
        <w:footnoteReference w:id="654"/>
      </w:r>
      <w:r w:rsidR="00657BB2" w:rsidRPr="00657BB2">
        <w:rPr>
          <w:sz w:val="24"/>
          <w:szCs w:val="24"/>
          <w:lang w:val="mk-MK"/>
        </w:rPr>
        <w:t xml:space="preserve"> првично донесен во 1950 година и повеќепати менуван. Согласно WOR, сите компании со 50 или повеќе вработени се должни да воспостават работнички совет. </w:t>
      </w:r>
    </w:p>
    <w:p w14:paraId="62E0EC17" w14:textId="033CE692" w:rsidR="004A0FC2" w:rsidRDefault="00657BB2" w:rsidP="00E16058">
      <w:pPr>
        <w:spacing w:before="240"/>
        <w:ind w:firstLine="478"/>
        <w:jc w:val="both"/>
        <w:rPr>
          <w:sz w:val="24"/>
          <w:szCs w:val="24"/>
          <w:lang w:val="mk-MK"/>
        </w:rPr>
      </w:pPr>
      <w:r w:rsidRPr="00657BB2">
        <w:rPr>
          <w:sz w:val="24"/>
          <w:szCs w:val="24"/>
          <w:lang w:val="mk-MK"/>
        </w:rPr>
        <w:t>Овие совети располагаат со обемни овластувања кои значително го надминуваат класичното информирање и консултирање и опфаќаат</w:t>
      </w:r>
      <w:r w:rsidR="00C7360C">
        <w:rPr>
          <w:sz w:val="24"/>
          <w:szCs w:val="24"/>
          <w:lang w:val="mk-MK"/>
        </w:rPr>
        <w:t xml:space="preserve"> генерално три сфери.</w:t>
      </w:r>
      <w:r w:rsidR="00CB1AFD">
        <w:rPr>
          <w:sz w:val="24"/>
          <w:szCs w:val="24"/>
          <w:lang w:val="mk-MK"/>
        </w:rPr>
        <w:t xml:space="preserve"> </w:t>
      </w:r>
      <w:r w:rsidR="00C7360C">
        <w:rPr>
          <w:sz w:val="24"/>
          <w:szCs w:val="24"/>
          <w:lang w:val="mk-MK"/>
        </w:rPr>
        <w:t>Прво, п</w:t>
      </w:r>
      <w:r w:rsidRPr="00657BB2">
        <w:rPr>
          <w:sz w:val="24"/>
          <w:szCs w:val="24"/>
          <w:lang w:val="mk-MK"/>
        </w:rPr>
        <w:t>раво на информации, со кое управата е должна да обезбеди финансиски, економски и стратешки податоци</w:t>
      </w:r>
      <w:r w:rsidR="00C7360C">
        <w:rPr>
          <w:sz w:val="24"/>
          <w:szCs w:val="24"/>
          <w:lang w:val="mk-MK"/>
        </w:rPr>
        <w:t>. Второ, п</w:t>
      </w:r>
      <w:r w:rsidRPr="00657BB2">
        <w:rPr>
          <w:sz w:val="24"/>
          <w:szCs w:val="24"/>
          <w:lang w:val="mk-MK"/>
        </w:rPr>
        <w:t>раво на консултација, кое ја обврзува управата да побара мислење од работничкиот совет пред донесување одлуки за големи реорганизации, спојувања, преселување на активности или масовни отпуштања</w:t>
      </w:r>
      <w:r w:rsidR="00C7360C">
        <w:rPr>
          <w:sz w:val="24"/>
          <w:szCs w:val="24"/>
          <w:lang w:val="mk-MK"/>
        </w:rPr>
        <w:t>. Трето,</w:t>
      </w:r>
      <w:r w:rsidR="00CB1AFD">
        <w:rPr>
          <w:sz w:val="24"/>
          <w:szCs w:val="24"/>
          <w:lang w:val="mk-MK"/>
        </w:rPr>
        <w:t xml:space="preserve"> п</w:t>
      </w:r>
      <w:r w:rsidRPr="00657BB2">
        <w:rPr>
          <w:sz w:val="24"/>
          <w:szCs w:val="24"/>
          <w:lang w:val="mk-MK"/>
        </w:rPr>
        <w:t xml:space="preserve">раво на согласност, кое му дава на работничкиот совет право на вето во однос на одлуки што директно ги засегаат условите за работа, како што се распоредот на работното време, системите на наградување, обуките и мерките за здравје и безбедност при работа. Во случаи на повреда на овие права, работничките совети можат да побараат судска заштита пред </w:t>
      </w:r>
      <w:r w:rsidR="00A32F43">
        <w:rPr>
          <w:sz w:val="24"/>
          <w:szCs w:val="24"/>
          <w:lang w:val="mk-MK"/>
        </w:rPr>
        <w:t>п</w:t>
      </w:r>
      <w:r w:rsidRPr="00657BB2">
        <w:rPr>
          <w:sz w:val="24"/>
          <w:szCs w:val="24"/>
          <w:lang w:val="mk-MK"/>
        </w:rPr>
        <w:t>осебната стопанска комора при Апелациониот суд во Амстердам,</w:t>
      </w:r>
      <w:r w:rsidR="00252325">
        <w:rPr>
          <w:rStyle w:val="FootnoteReference"/>
          <w:sz w:val="24"/>
          <w:szCs w:val="24"/>
          <w:lang w:val="mk-MK"/>
        </w:rPr>
        <w:footnoteReference w:id="655"/>
      </w:r>
      <w:r w:rsidRPr="00657BB2">
        <w:rPr>
          <w:sz w:val="24"/>
          <w:szCs w:val="24"/>
          <w:lang w:val="mk-MK"/>
        </w:rPr>
        <w:t xml:space="preserve"> специјализиран судски орган со широки корективни овластувања. Овој механизам на судско спроведување значително ја зголемува практичната ефективност на учеството на вработените.</w:t>
      </w:r>
      <w:r>
        <w:rPr>
          <w:sz w:val="24"/>
          <w:szCs w:val="24"/>
          <w:lang w:val="mk-MK"/>
        </w:rPr>
        <w:t xml:space="preserve"> </w:t>
      </w:r>
    </w:p>
    <w:p w14:paraId="4AA4C800" w14:textId="05568D06" w:rsidR="007778C9" w:rsidRDefault="009021AF" w:rsidP="00E16058">
      <w:pPr>
        <w:spacing w:before="240"/>
        <w:ind w:firstLine="478"/>
        <w:jc w:val="both"/>
        <w:rPr>
          <w:sz w:val="24"/>
          <w:szCs w:val="24"/>
          <w:lang w:val="mk-MK"/>
        </w:rPr>
      </w:pPr>
      <w:r w:rsidRPr="009021AF">
        <w:rPr>
          <w:sz w:val="24"/>
          <w:szCs w:val="24"/>
          <w:lang w:val="mk-MK"/>
        </w:rPr>
        <w:t>Кај големите корпорации, холандското право воспоставува дополнителен слој на влијание на вработените преку т.н. структурен режим,</w:t>
      </w:r>
      <w:r>
        <w:rPr>
          <w:rStyle w:val="FootnoteReference"/>
          <w:sz w:val="24"/>
          <w:szCs w:val="24"/>
          <w:lang w:val="mk-MK"/>
        </w:rPr>
        <w:footnoteReference w:id="656"/>
      </w:r>
      <w:r w:rsidRPr="009021AF">
        <w:rPr>
          <w:sz w:val="24"/>
          <w:szCs w:val="24"/>
          <w:lang w:val="mk-MK"/>
        </w:rPr>
        <w:t xml:space="preserve"> уреден во Книга 2 од Холандскиот граѓански законик.</w:t>
      </w:r>
      <w:r w:rsidR="002D3802">
        <w:rPr>
          <w:rStyle w:val="FootnoteReference"/>
          <w:sz w:val="24"/>
          <w:szCs w:val="24"/>
          <w:lang w:val="mk-MK"/>
        </w:rPr>
        <w:footnoteReference w:id="657"/>
      </w:r>
      <w:r w:rsidR="009C4B5A">
        <w:rPr>
          <w:sz w:val="24"/>
          <w:szCs w:val="24"/>
          <w:lang w:val="mk-MK"/>
        </w:rPr>
        <w:t xml:space="preserve"> </w:t>
      </w:r>
      <w:r w:rsidR="009C4B5A" w:rsidRPr="009C4B5A">
        <w:rPr>
          <w:sz w:val="24"/>
          <w:szCs w:val="24"/>
          <w:lang w:val="mk-MK"/>
        </w:rPr>
        <w:t>Структурниот режим се применува на компании кои ги исполнуваат утврдените критериуми во однос на висината на капиталот, бројот на вработени и постоењето на работнички совет. Во рамките на овој режи</w:t>
      </w:r>
      <w:r w:rsidR="001A17FF">
        <w:rPr>
          <w:sz w:val="24"/>
          <w:szCs w:val="24"/>
          <w:lang w:val="mk-MK"/>
        </w:rPr>
        <w:t>м</w:t>
      </w:r>
      <w:r w:rsidR="009C4B5A" w:rsidRPr="009C4B5A">
        <w:rPr>
          <w:sz w:val="24"/>
          <w:szCs w:val="24"/>
          <w:lang w:val="mk-MK"/>
        </w:rPr>
        <w:t xml:space="preserve"> </w:t>
      </w:r>
      <w:r w:rsidR="001A17FF">
        <w:rPr>
          <w:sz w:val="24"/>
          <w:szCs w:val="24"/>
          <w:lang w:val="mk-MK"/>
        </w:rPr>
        <w:t>н</w:t>
      </w:r>
      <w:r w:rsidR="009C4B5A" w:rsidRPr="009C4B5A">
        <w:rPr>
          <w:sz w:val="24"/>
          <w:szCs w:val="24"/>
          <w:lang w:val="mk-MK"/>
        </w:rPr>
        <w:t>адзорниот одбор е задолжителен</w:t>
      </w:r>
      <w:r w:rsidR="001A17FF">
        <w:rPr>
          <w:sz w:val="24"/>
          <w:szCs w:val="24"/>
          <w:lang w:val="mk-MK"/>
        </w:rPr>
        <w:t xml:space="preserve"> и </w:t>
      </w:r>
      <w:r w:rsidR="009C4B5A" w:rsidRPr="009C4B5A">
        <w:rPr>
          <w:sz w:val="24"/>
          <w:szCs w:val="24"/>
          <w:lang w:val="mk-MK"/>
        </w:rPr>
        <w:t>располага со клучни овластувања, вклучително и именување и разрешување на управниот одбор и одобрување на најважните стратешки одлуки</w:t>
      </w:r>
      <w:r w:rsidR="00E148D8">
        <w:rPr>
          <w:sz w:val="24"/>
          <w:szCs w:val="24"/>
          <w:lang w:val="mk-MK"/>
        </w:rPr>
        <w:t>.</w:t>
      </w:r>
      <w:r w:rsidR="009C4B5A" w:rsidRPr="009C4B5A">
        <w:rPr>
          <w:sz w:val="24"/>
          <w:szCs w:val="24"/>
          <w:lang w:val="mk-MK"/>
        </w:rPr>
        <w:t xml:space="preserve"> Работничкиот совет има право да номинира кандидати за членови на надзорниот одбор. Иако вработените не ги избираат директно членовите на надзорниот одбор, правото на номинација претставува реален канал на влијание. Од надзорните одбори се очекува сериозно да ги земат предвид овие номинации, а секое отстапување мора да биде образложено. На овој начин, перспективата на вработените се вградува во управувачката структура без формално воведување на кодетерминација.</w:t>
      </w:r>
    </w:p>
    <w:p w14:paraId="6C2A8F6C" w14:textId="731E997E" w:rsidR="00E148D8" w:rsidRPr="00657BB2" w:rsidRDefault="00AA12EB" w:rsidP="00E16058">
      <w:pPr>
        <w:spacing w:before="240"/>
        <w:ind w:firstLine="478"/>
        <w:jc w:val="both"/>
        <w:rPr>
          <w:sz w:val="24"/>
          <w:szCs w:val="24"/>
          <w:lang w:val="mk-MK"/>
        </w:rPr>
      </w:pPr>
      <w:r>
        <w:rPr>
          <w:sz w:val="24"/>
          <w:szCs w:val="24"/>
          <w:lang w:val="mk-MK"/>
        </w:rPr>
        <w:t>Структурниот режим</w:t>
      </w:r>
      <w:r w:rsidR="002D3802" w:rsidRPr="002D3802">
        <w:rPr>
          <w:sz w:val="24"/>
          <w:szCs w:val="24"/>
          <w:lang w:val="mk-MK"/>
        </w:rPr>
        <w:t xml:space="preserve"> се врзува за кумулативно исполнување на јасно утврдени квантитативни и институционални критериуми. Станува збор за правно технички строг </w:t>
      </w:r>
      <w:r w:rsidR="002D3802" w:rsidRPr="002D3802">
        <w:rPr>
          <w:sz w:val="24"/>
          <w:szCs w:val="24"/>
          <w:lang w:val="mk-MK"/>
        </w:rPr>
        <w:lastRenderedPageBreak/>
        <w:t>режим, чија цел е да обезбеди засилено корпоративно управување и индиректно учество на вработените во големите компании.</w:t>
      </w:r>
      <w:r>
        <w:rPr>
          <w:sz w:val="24"/>
          <w:szCs w:val="24"/>
          <w:lang w:val="mk-MK"/>
        </w:rPr>
        <w:t xml:space="preserve"> </w:t>
      </w:r>
      <w:r w:rsidR="009C3C3F" w:rsidRPr="009C3C3F">
        <w:rPr>
          <w:sz w:val="24"/>
          <w:szCs w:val="24"/>
          <w:lang w:val="mk-MK"/>
        </w:rPr>
        <w:t>Една холандска компанија подлежи на структурниот режим доколку има уплатен основен капитал од најмалку 16 милиони евра</w:t>
      </w:r>
      <w:r w:rsidR="007E0472">
        <w:rPr>
          <w:sz w:val="24"/>
          <w:szCs w:val="24"/>
          <w:lang w:val="mk-MK"/>
        </w:rPr>
        <w:t>,</w:t>
      </w:r>
      <w:r w:rsidR="009C3C3F">
        <w:rPr>
          <w:rStyle w:val="FootnoteReference"/>
          <w:sz w:val="24"/>
          <w:szCs w:val="24"/>
          <w:lang w:val="mk-MK"/>
        </w:rPr>
        <w:footnoteReference w:id="658"/>
      </w:r>
      <w:r w:rsidR="009C3C3F" w:rsidRPr="009C3C3F">
        <w:rPr>
          <w:sz w:val="24"/>
          <w:szCs w:val="24"/>
          <w:lang w:val="mk-MK"/>
        </w:rPr>
        <w:t xml:space="preserve"> вработува најмалку 100 работници во Холандија на континуирана основа</w:t>
      </w:r>
      <w:r w:rsidR="00F1740B">
        <w:rPr>
          <w:sz w:val="24"/>
          <w:szCs w:val="24"/>
          <w:lang w:val="en-US"/>
        </w:rPr>
        <w:t xml:space="preserve"> </w:t>
      </w:r>
      <w:r w:rsidR="00F1740B">
        <w:rPr>
          <w:sz w:val="24"/>
          <w:szCs w:val="24"/>
          <w:lang w:val="mk-MK"/>
        </w:rPr>
        <w:t xml:space="preserve">и воспоставила </w:t>
      </w:r>
      <w:r w:rsidR="009C3C3F" w:rsidRPr="009C3C3F">
        <w:rPr>
          <w:sz w:val="24"/>
          <w:szCs w:val="24"/>
          <w:lang w:val="mk-MK"/>
        </w:rPr>
        <w:t>работнички совет согласно Законот за работнички совети</w:t>
      </w:r>
      <w:r w:rsidR="00E54299">
        <w:rPr>
          <w:sz w:val="24"/>
          <w:szCs w:val="24"/>
          <w:lang w:val="en-US"/>
        </w:rPr>
        <w:t>.</w:t>
      </w:r>
      <w:r w:rsidR="00171051">
        <w:rPr>
          <w:rStyle w:val="FootnoteReference"/>
          <w:sz w:val="24"/>
          <w:szCs w:val="24"/>
          <w:lang w:val="en-US"/>
        </w:rPr>
        <w:footnoteReference w:id="659"/>
      </w:r>
      <w:r w:rsidR="00E54299">
        <w:rPr>
          <w:sz w:val="24"/>
          <w:szCs w:val="24"/>
          <w:lang w:val="en-US"/>
        </w:rPr>
        <w:t xml:space="preserve"> </w:t>
      </w:r>
      <w:r w:rsidR="00E54299">
        <w:rPr>
          <w:sz w:val="24"/>
          <w:szCs w:val="24"/>
          <w:lang w:val="mk-MK"/>
        </w:rPr>
        <w:t>Последниот</w:t>
      </w:r>
      <w:r w:rsidR="009C3C3F" w:rsidRPr="009C3C3F">
        <w:rPr>
          <w:sz w:val="24"/>
          <w:szCs w:val="24"/>
          <w:lang w:val="mk-MK"/>
        </w:rPr>
        <w:t xml:space="preserve"> елемент е суштински, бидејќи токму работничкиот совет претставува носител на правата за индиректно влијание врз корпоративното управување во рамките на структурниот режим. Само доколку сите три критериуми се исполнети, компанијата е обврзана да воспостави задолжителен надзорен одбор со проширени надлежности и со вклучување на работничкиот совет во постапката на номинација.</w:t>
      </w:r>
      <w:r w:rsidR="006148A0">
        <w:rPr>
          <w:rStyle w:val="FootnoteReference"/>
          <w:sz w:val="24"/>
          <w:szCs w:val="24"/>
          <w:lang w:val="mk-MK"/>
        </w:rPr>
        <w:footnoteReference w:id="660"/>
      </w:r>
    </w:p>
    <w:p w14:paraId="3A7550C2" w14:textId="4C4059B0" w:rsidR="00BF56C2" w:rsidRDefault="007D1995" w:rsidP="00E16058">
      <w:pPr>
        <w:spacing w:before="240"/>
        <w:ind w:firstLine="478"/>
        <w:jc w:val="both"/>
        <w:rPr>
          <w:sz w:val="24"/>
          <w:szCs w:val="24"/>
          <w:lang w:val="mk-MK"/>
        </w:rPr>
      </w:pPr>
      <w:r w:rsidRPr="007D1995">
        <w:rPr>
          <w:sz w:val="24"/>
          <w:szCs w:val="24"/>
          <w:lang w:val="mk-MK"/>
        </w:rPr>
        <w:t>Кај компаниите што подлежат на структурниот режим</w:t>
      </w:r>
      <w:r w:rsidR="00D40F35">
        <w:rPr>
          <w:sz w:val="24"/>
          <w:szCs w:val="24"/>
          <w:lang w:val="mk-MK"/>
        </w:rPr>
        <w:t xml:space="preserve">, </w:t>
      </w:r>
      <w:r w:rsidRPr="007D1995">
        <w:rPr>
          <w:sz w:val="24"/>
          <w:szCs w:val="24"/>
          <w:lang w:val="mk-MK"/>
        </w:rPr>
        <w:t xml:space="preserve">формирањето на надзорен одбор е задолжително </w:t>
      </w:r>
      <w:r w:rsidR="00D40F35">
        <w:rPr>
          <w:sz w:val="24"/>
          <w:szCs w:val="24"/>
          <w:lang w:val="mk-MK"/>
        </w:rPr>
        <w:t xml:space="preserve">и </w:t>
      </w:r>
      <w:r w:rsidRPr="007D1995">
        <w:rPr>
          <w:sz w:val="24"/>
          <w:szCs w:val="24"/>
          <w:lang w:val="mk-MK"/>
        </w:rPr>
        <w:t>надзорниот одбор ги има клучните овластувања за именување и разрешување на управниот одбор</w:t>
      </w:r>
      <w:r w:rsidR="00D40F35">
        <w:rPr>
          <w:sz w:val="24"/>
          <w:szCs w:val="24"/>
          <w:lang w:val="mk-MK"/>
        </w:rPr>
        <w:t xml:space="preserve"> и</w:t>
      </w:r>
      <w:r w:rsidRPr="007D1995">
        <w:rPr>
          <w:sz w:val="24"/>
          <w:szCs w:val="24"/>
          <w:lang w:val="mk-MK"/>
        </w:rPr>
        <w:t xml:space="preserve"> одобрување на значајни стратешки одлуки</w:t>
      </w:r>
      <w:r w:rsidR="00B87396">
        <w:rPr>
          <w:sz w:val="24"/>
          <w:szCs w:val="24"/>
          <w:lang w:val="mk-MK"/>
        </w:rPr>
        <w:t>.</w:t>
      </w:r>
      <w:r w:rsidR="0041305E">
        <w:rPr>
          <w:rStyle w:val="FootnoteReference"/>
          <w:sz w:val="24"/>
          <w:szCs w:val="24"/>
          <w:lang w:val="mk-MK"/>
        </w:rPr>
        <w:footnoteReference w:id="661"/>
      </w:r>
      <w:r w:rsidRPr="007D1995">
        <w:rPr>
          <w:sz w:val="24"/>
          <w:szCs w:val="24"/>
          <w:lang w:val="mk-MK"/>
        </w:rPr>
        <w:t xml:space="preserve"> </w:t>
      </w:r>
      <w:r w:rsidR="00B87396">
        <w:rPr>
          <w:sz w:val="24"/>
          <w:szCs w:val="24"/>
          <w:lang w:val="mk-MK"/>
        </w:rPr>
        <w:t>Р</w:t>
      </w:r>
      <w:r w:rsidRPr="007D1995">
        <w:rPr>
          <w:sz w:val="24"/>
          <w:szCs w:val="24"/>
          <w:lang w:val="mk-MK"/>
        </w:rPr>
        <w:t>аботничкиот совет</w:t>
      </w:r>
      <w:r w:rsidR="00B87396">
        <w:rPr>
          <w:sz w:val="24"/>
          <w:szCs w:val="24"/>
          <w:lang w:val="mk-MK"/>
        </w:rPr>
        <w:t xml:space="preserve"> пак,</w:t>
      </w:r>
      <w:r w:rsidRPr="007D1995">
        <w:rPr>
          <w:sz w:val="24"/>
          <w:szCs w:val="24"/>
          <w:lang w:val="mk-MK"/>
        </w:rPr>
        <w:t xml:space="preserve"> има право да предлага кандидати за членови на надзорниот одбор, при што неговите предлози мора сериозно да се разгледаат, а нивното отфрлање мора да биде образложено Ова создава систем на институционализирано, но индиректно учество на вработените, без формална кодетерминација во германска смисла.</w:t>
      </w:r>
      <w:r w:rsidR="00B87396">
        <w:rPr>
          <w:rStyle w:val="FootnoteReference"/>
          <w:sz w:val="24"/>
          <w:szCs w:val="24"/>
          <w:lang w:val="mk-MK"/>
        </w:rPr>
        <w:footnoteReference w:id="662"/>
      </w:r>
      <w:r w:rsidR="00B87396">
        <w:rPr>
          <w:sz w:val="24"/>
          <w:szCs w:val="24"/>
          <w:lang w:val="mk-MK"/>
        </w:rPr>
        <w:t xml:space="preserve"> </w:t>
      </w:r>
      <w:r w:rsidR="00B87396" w:rsidRPr="00B87396">
        <w:rPr>
          <w:sz w:val="24"/>
          <w:szCs w:val="24"/>
          <w:lang w:val="mk-MK"/>
        </w:rPr>
        <w:t>Важно е да се нагласи дека холандското право предвидува и исклучоци од целосната примена на структурниот режим, особено за компании кои се дел од меѓународни групации, каде централното управување се наоѓа надвор од Холандија</w:t>
      </w:r>
      <w:r w:rsidR="00D848BF">
        <w:rPr>
          <w:sz w:val="24"/>
          <w:szCs w:val="24"/>
          <w:lang w:val="mk-MK"/>
        </w:rPr>
        <w:t xml:space="preserve"> и</w:t>
      </w:r>
      <w:r w:rsidR="00B87396" w:rsidRPr="00B87396">
        <w:rPr>
          <w:sz w:val="24"/>
          <w:szCs w:val="24"/>
          <w:lang w:val="mk-MK"/>
        </w:rPr>
        <w:t xml:space="preserve"> одредени холдинг друштва, кај кои надзорот и управувањето се концентрирани на ниво на група</w:t>
      </w:r>
      <w:r w:rsidR="00D848BF">
        <w:rPr>
          <w:sz w:val="24"/>
          <w:szCs w:val="24"/>
          <w:lang w:val="mk-MK"/>
        </w:rPr>
        <w:t>.</w:t>
      </w:r>
      <w:r w:rsidR="00B87396" w:rsidRPr="00B87396">
        <w:rPr>
          <w:sz w:val="24"/>
          <w:szCs w:val="24"/>
          <w:lang w:val="mk-MK"/>
        </w:rPr>
        <w:t xml:space="preserve"> Во овие случаи се применува </w:t>
      </w:r>
      <w:r w:rsidR="00D848BF">
        <w:rPr>
          <w:sz w:val="24"/>
          <w:szCs w:val="24"/>
          <w:lang w:val="mk-MK"/>
        </w:rPr>
        <w:t>своевиден</w:t>
      </w:r>
      <w:r w:rsidR="00B87396" w:rsidRPr="00B87396">
        <w:rPr>
          <w:sz w:val="24"/>
          <w:szCs w:val="24"/>
          <w:lang w:val="mk-MK"/>
        </w:rPr>
        <w:t xml:space="preserve"> олеснет структурен режим, со ограничени овластувања на надзорниот одбор и со послаб степен на индиректно учество на работничкиот совет.</w:t>
      </w:r>
    </w:p>
    <w:p w14:paraId="1466FF3A" w14:textId="74275329" w:rsidR="007F141C" w:rsidRDefault="006930BA" w:rsidP="00E16058">
      <w:pPr>
        <w:spacing w:before="240"/>
        <w:ind w:firstLine="478"/>
        <w:jc w:val="both"/>
        <w:rPr>
          <w:sz w:val="24"/>
          <w:szCs w:val="24"/>
          <w:lang w:val="mk-MK"/>
        </w:rPr>
      </w:pPr>
      <w:r w:rsidRPr="006930BA">
        <w:rPr>
          <w:sz w:val="24"/>
          <w:szCs w:val="24"/>
          <w:lang w:val="mk-MK"/>
        </w:rPr>
        <w:t>Комбинацијата од висок капитален праг, значителен број вработени и задолжително постоење на работнички совет покажува дека холандскиот законодавец свесно го резервира структурниот режим за големи и зрели компании, каде интересот на вработените има системско значење. Ова го прави моделот особено релевантен во компаративна перспектива, бидејќи демонстрира како процедуралните права и институционалната архитектура можат да заменат директна застапеност на работниците во управните органи, без да се жртвува квалитетот на корпоративното управување</w:t>
      </w:r>
      <w:r w:rsidR="008F4DD3">
        <w:rPr>
          <w:sz w:val="24"/>
          <w:szCs w:val="24"/>
          <w:lang w:val="en-US"/>
        </w:rPr>
        <w:t xml:space="preserve">, </w:t>
      </w:r>
      <w:r w:rsidR="008F4DD3">
        <w:rPr>
          <w:sz w:val="24"/>
          <w:szCs w:val="24"/>
          <w:lang w:val="mk-MK"/>
        </w:rPr>
        <w:t xml:space="preserve">доколку </w:t>
      </w:r>
      <w:r w:rsidR="004C2A85">
        <w:rPr>
          <w:sz w:val="24"/>
          <w:szCs w:val="24"/>
          <w:lang w:val="mk-MK"/>
        </w:rPr>
        <w:t xml:space="preserve">тоа </w:t>
      </w:r>
      <w:r w:rsidR="008F4DD3">
        <w:rPr>
          <w:sz w:val="24"/>
          <w:szCs w:val="24"/>
          <w:lang w:val="mk-MK"/>
        </w:rPr>
        <w:t>претставува</w:t>
      </w:r>
      <w:r w:rsidR="004C2A85">
        <w:rPr>
          <w:sz w:val="24"/>
          <w:szCs w:val="24"/>
          <w:lang w:val="mk-MK"/>
        </w:rPr>
        <w:t xml:space="preserve"> пречка</w:t>
      </w:r>
      <w:r w:rsidRPr="006930BA">
        <w:rPr>
          <w:sz w:val="24"/>
          <w:szCs w:val="24"/>
          <w:lang w:val="mk-MK"/>
        </w:rPr>
        <w:t>.</w:t>
      </w:r>
    </w:p>
    <w:p w14:paraId="70F9F978" w14:textId="44EDCDD7" w:rsidR="004C2A85" w:rsidRDefault="004C2A85" w:rsidP="00E16058">
      <w:pPr>
        <w:spacing w:before="240"/>
        <w:ind w:firstLine="478"/>
        <w:jc w:val="both"/>
        <w:rPr>
          <w:sz w:val="24"/>
          <w:szCs w:val="24"/>
          <w:lang w:val="mk-MK"/>
        </w:rPr>
      </w:pPr>
      <w:r w:rsidRPr="004C2A85">
        <w:rPr>
          <w:sz w:val="24"/>
          <w:szCs w:val="24"/>
          <w:lang w:val="mk-MK"/>
        </w:rPr>
        <w:t>За разлика од Германија, холандското право не предвидува задолжително учество на работнички претставници во надзорните или управните одбори. Ова не е случајна празнина, туку резултат на свесен нормативен избор. Холандското корпоративно управување традиционално</w:t>
      </w:r>
      <w:r w:rsidR="008743CB">
        <w:rPr>
          <w:sz w:val="24"/>
          <w:szCs w:val="24"/>
          <w:lang w:val="mk-MK"/>
        </w:rPr>
        <w:t xml:space="preserve"> капиталистички</w:t>
      </w:r>
      <w:r w:rsidRPr="004C2A85">
        <w:rPr>
          <w:sz w:val="24"/>
          <w:szCs w:val="24"/>
          <w:lang w:val="mk-MK"/>
        </w:rPr>
        <w:t xml:space="preserve"> се темели на сфаќањето на претпријатието како автономен правен и економски субјект, одделен и од акционерите и од </w:t>
      </w:r>
      <w:r w:rsidRPr="004C2A85">
        <w:rPr>
          <w:sz w:val="24"/>
          <w:szCs w:val="24"/>
          <w:lang w:val="mk-MK"/>
        </w:rPr>
        <w:lastRenderedPageBreak/>
        <w:t>вработените</w:t>
      </w:r>
      <w:r w:rsidR="008743CB">
        <w:rPr>
          <w:sz w:val="24"/>
          <w:szCs w:val="24"/>
          <w:lang w:val="mk-MK"/>
        </w:rPr>
        <w:t>.</w:t>
      </w:r>
      <w:r w:rsidR="008743CB">
        <w:rPr>
          <w:rStyle w:val="FootnoteReference"/>
          <w:sz w:val="24"/>
          <w:szCs w:val="24"/>
          <w:lang w:val="mk-MK"/>
        </w:rPr>
        <w:footnoteReference w:id="663"/>
      </w:r>
      <w:r w:rsidRPr="004C2A85">
        <w:rPr>
          <w:sz w:val="24"/>
          <w:szCs w:val="24"/>
          <w:lang w:val="mk-MK"/>
        </w:rPr>
        <w:t xml:space="preserve"> Оттука, </w:t>
      </w:r>
      <w:r w:rsidR="006841F0">
        <w:rPr>
          <w:sz w:val="24"/>
          <w:szCs w:val="24"/>
          <w:lang w:val="mk-MK"/>
        </w:rPr>
        <w:t xml:space="preserve">главната причина зошто </w:t>
      </w:r>
      <w:r w:rsidRPr="004C2A85">
        <w:rPr>
          <w:sz w:val="24"/>
          <w:szCs w:val="24"/>
          <w:lang w:val="mk-MK"/>
        </w:rPr>
        <w:t>учеството на вработените се остварува преку процедурални права и дијалог, а не преку паритетна застапеност</w:t>
      </w:r>
      <w:r w:rsidR="006841F0">
        <w:rPr>
          <w:sz w:val="24"/>
          <w:szCs w:val="24"/>
          <w:lang w:val="mk-MK"/>
        </w:rPr>
        <w:t xml:space="preserve">, е </w:t>
      </w:r>
      <w:r w:rsidR="006841F0" w:rsidRPr="004C2A85">
        <w:rPr>
          <w:sz w:val="24"/>
          <w:szCs w:val="24"/>
          <w:lang w:val="mk-MK"/>
        </w:rPr>
        <w:t>предноста на консензус</w:t>
      </w:r>
      <w:r w:rsidR="006841F0">
        <w:rPr>
          <w:sz w:val="24"/>
          <w:szCs w:val="24"/>
          <w:lang w:val="mk-MK"/>
        </w:rPr>
        <w:t>от</w:t>
      </w:r>
      <w:r w:rsidR="006841F0" w:rsidRPr="004C2A85">
        <w:rPr>
          <w:sz w:val="24"/>
          <w:szCs w:val="24"/>
          <w:lang w:val="mk-MK"/>
        </w:rPr>
        <w:t xml:space="preserve"> и институционализиран</w:t>
      </w:r>
      <w:r w:rsidR="00A10FFD">
        <w:rPr>
          <w:sz w:val="24"/>
          <w:szCs w:val="24"/>
          <w:lang w:val="mk-MK"/>
        </w:rPr>
        <w:t>иот</w:t>
      </w:r>
      <w:r w:rsidR="006841F0" w:rsidRPr="004C2A85">
        <w:rPr>
          <w:sz w:val="24"/>
          <w:szCs w:val="24"/>
          <w:lang w:val="mk-MK"/>
        </w:rPr>
        <w:t xml:space="preserve"> дијалог </w:t>
      </w:r>
      <w:r w:rsidR="00A10FFD">
        <w:rPr>
          <w:sz w:val="24"/>
          <w:szCs w:val="24"/>
          <w:lang w:val="mk-MK"/>
        </w:rPr>
        <w:t>во однос на</w:t>
      </w:r>
      <w:r w:rsidR="006841F0" w:rsidRPr="004C2A85">
        <w:rPr>
          <w:sz w:val="24"/>
          <w:szCs w:val="24"/>
          <w:lang w:val="mk-MK"/>
        </w:rPr>
        <w:t xml:space="preserve"> формална</w:t>
      </w:r>
      <w:r w:rsidR="00A10FFD">
        <w:rPr>
          <w:sz w:val="24"/>
          <w:szCs w:val="24"/>
          <w:lang w:val="mk-MK"/>
        </w:rPr>
        <w:t>та</w:t>
      </w:r>
      <w:r w:rsidR="006841F0" w:rsidRPr="004C2A85">
        <w:rPr>
          <w:sz w:val="24"/>
          <w:szCs w:val="24"/>
          <w:lang w:val="mk-MK"/>
        </w:rPr>
        <w:t xml:space="preserve"> поделба на моќта во органите на управување.</w:t>
      </w:r>
    </w:p>
    <w:p w14:paraId="4F24E091" w14:textId="2C987D92" w:rsidR="00A10FFD" w:rsidRDefault="00A10FFD" w:rsidP="00E16058">
      <w:pPr>
        <w:spacing w:before="240"/>
        <w:ind w:firstLine="478"/>
        <w:jc w:val="both"/>
        <w:rPr>
          <w:sz w:val="24"/>
          <w:szCs w:val="24"/>
          <w:lang w:val="mk-MK"/>
        </w:rPr>
      </w:pPr>
      <w:r w:rsidRPr="00A10FFD">
        <w:rPr>
          <w:sz w:val="24"/>
          <w:szCs w:val="24"/>
          <w:lang w:val="mk-MK"/>
        </w:rPr>
        <w:t>Емпириските и доктриналните истражувања генерално го оценуваат холандскиот модел како високо ефикасен во однос на протокот на информации, превенцијата на конфликти и организациската стабилност. Работничките совети се длабоко интегрирани во процесите на донесување одлуки и нивното рано вклучување често води кон договорни решенија, наместо кон конфронтација. Истовремено, критиките укажуваат дека индиректниот карактер на влијанието ја ограничува способноста на вработените да влијаат врз клучните стратешки одлуки, особено во мултинационални корпорации и компании под контрола на приватен капитал. Отсуството на обврзувачка улога на ниво на одбори може да ја намали преговарачката позиција на вработените при преселување на активности или финансиско реструктурирање. Сепак, моделот најчесто се оценува како функционален компромис помеѓу управувачката автономија и значајното учество на вработените.</w:t>
      </w:r>
    </w:p>
    <w:p w14:paraId="29960DD9" w14:textId="5F497D0E" w:rsidR="00197B4F" w:rsidRDefault="00087562" w:rsidP="00E16058">
      <w:pPr>
        <w:spacing w:before="240"/>
        <w:ind w:firstLine="478"/>
        <w:jc w:val="both"/>
        <w:rPr>
          <w:sz w:val="24"/>
          <w:szCs w:val="24"/>
          <w:lang w:val="mk-MK"/>
        </w:rPr>
      </w:pPr>
      <w:r w:rsidRPr="00087562">
        <w:rPr>
          <w:sz w:val="24"/>
          <w:szCs w:val="24"/>
          <w:lang w:val="mk-MK"/>
        </w:rPr>
        <w:t>Во компаративна перспектива, холандскиот модел нуди важен контрапункт</w:t>
      </w:r>
      <w:r w:rsidR="007C017D">
        <w:rPr>
          <w:sz w:val="24"/>
          <w:szCs w:val="24"/>
          <w:lang w:val="mk-MK"/>
        </w:rPr>
        <w:t>.</w:t>
      </w:r>
      <w:r w:rsidRPr="00087562">
        <w:rPr>
          <w:sz w:val="24"/>
          <w:szCs w:val="24"/>
          <w:lang w:val="mk-MK"/>
        </w:rPr>
        <w:t xml:space="preserve"> </w:t>
      </w:r>
      <w:r w:rsidR="007C017D">
        <w:rPr>
          <w:sz w:val="24"/>
          <w:szCs w:val="24"/>
          <w:lang w:val="mk-MK"/>
        </w:rPr>
        <w:t>В</w:t>
      </w:r>
      <w:r w:rsidRPr="00087562">
        <w:rPr>
          <w:sz w:val="24"/>
          <w:szCs w:val="24"/>
          <w:lang w:val="mk-MK"/>
        </w:rPr>
        <w:t>о однос на Германија, покажува дека силно учество на вработените е возможно и без формална кодетерминација</w:t>
      </w:r>
      <w:r w:rsidR="00A17E04">
        <w:rPr>
          <w:sz w:val="24"/>
          <w:szCs w:val="24"/>
          <w:lang w:val="mk-MK"/>
        </w:rPr>
        <w:t>, додека како што ќе видиме</w:t>
      </w:r>
      <w:r w:rsidRPr="00087562">
        <w:rPr>
          <w:sz w:val="24"/>
          <w:szCs w:val="24"/>
          <w:lang w:val="mk-MK"/>
        </w:rPr>
        <w:t xml:space="preserve"> во однос на САД и Обединетото Кралство, демонстрира како законските права на консултација и согласност можат да </w:t>
      </w:r>
      <w:r w:rsidR="00A17E04">
        <w:rPr>
          <w:sz w:val="24"/>
          <w:szCs w:val="24"/>
          <w:lang w:val="mk-MK"/>
        </w:rPr>
        <w:t xml:space="preserve">го </w:t>
      </w:r>
      <w:r w:rsidRPr="00087562">
        <w:rPr>
          <w:sz w:val="24"/>
          <w:szCs w:val="24"/>
          <w:lang w:val="mk-MK"/>
        </w:rPr>
        <w:t>институционализираат работнички</w:t>
      </w:r>
      <w:r w:rsidR="00A17E04">
        <w:rPr>
          <w:sz w:val="24"/>
          <w:szCs w:val="24"/>
          <w:lang w:val="mk-MK"/>
        </w:rPr>
        <w:t>от</w:t>
      </w:r>
      <w:r w:rsidRPr="00087562">
        <w:rPr>
          <w:sz w:val="24"/>
          <w:szCs w:val="24"/>
          <w:lang w:val="mk-MK"/>
        </w:rPr>
        <w:t xml:space="preserve"> глас</w:t>
      </w:r>
      <w:r w:rsidR="00A17E04">
        <w:rPr>
          <w:sz w:val="24"/>
          <w:szCs w:val="24"/>
          <w:lang w:val="mk-MK"/>
        </w:rPr>
        <w:t xml:space="preserve"> и</w:t>
      </w:r>
      <w:r w:rsidRPr="00087562">
        <w:rPr>
          <w:sz w:val="24"/>
          <w:szCs w:val="24"/>
          <w:lang w:val="mk-MK"/>
        </w:rPr>
        <w:t xml:space="preserve"> без потпирање исклучиво на синдикати</w:t>
      </w:r>
      <w:r w:rsidR="00A17E04">
        <w:rPr>
          <w:sz w:val="24"/>
          <w:szCs w:val="24"/>
          <w:lang w:val="mk-MK"/>
        </w:rPr>
        <w:t>.</w:t>
      </w:r>
      <w:r w:rsidRPr="00087562">
        <w:rPr>
          <w:sz w:val="24"/>
          <w:szCs w:val="24"/>
          <w:lang w:val="mk-MK"/>
        </w:rPr>
        <w:t xml:space="preserve"> </w:t>
      </w:r>
      <w:r w:rsidR="00A17E04">
        <w:rPr>
          <w:sz w:val="24"/>
          <w:szCs w:val="24"/>
          <w:lang w:val="mk-MK"/>
        </w:rPr>
        <w:t>В</w:t>
      </w:r>
      <w:r w:rsidRPr="00087562">
        <w:rPr>
          <w:sz w:val="24"/>
          <w:szCs w:val="24"/>
          <w:lang w:val="mk-MK"/>
        </w:rPr>
        <w:t>о однос на постсоцијалистичките системи, како Србија и</w:t>
      </w:r>
      <w:r w:rsidR="00A17E04">
        <w:rPr>
          <w:sz w:val="24"/>
          <w:szCs w:val="24"/>
          <w:lang w:val="mk-MK"/>
        </w:rPr>
        <w:t xml:space="preserve"> како што следно ќе видиме-</w:t>
      </w:r>
      <w:r w:rsidRPr="00087562">
        <w:rPr>
          <w:sz w:val="24"/>
          <w:szCs w:val="24"/>
          <w:lang w:val="mk-MK"/>
        </w:rPr>
        <w:t>Полска, покажува дека стабилни институции, судска заштита и процедурални права можат да одржат учество на вработените и без идеолошки наратив за самоуправување</w:t>
      </w:r>
      <w:r w:rsidR="000E0415">
        <w:rPr>
          <w:sz w:val="24"/>
          <w:szCs w:val="24"/>
          <w:lang w:val="mk-MK"/>
        </w:rPr>
        <w:t xml:space="preserve"> или незауздан капитализам</w:t>
      </w:r>
      <w:r w:rsidRPr="00087562">
        <w:rPr>
          <w:sz w:val="24"/>
          <w:szCs w:val="24"/>
          <w:lang w:val="mk-MK"/>
        </w:rPr>
        <w:t>. За реформски контексти како Македонија, холандското искуство е особено поучно. Тоа укажува дека значајни подобрувања во учеството на вработените може да се постигнат преку зајакнување на работничките совети, подобра примена на правото и вградување на работничкиот инпут во управувачките процеси, без нужно воведување целосна кодетерминација.</w:t>
      </w:r>
      <w:r w:rsidR="0077367F">
        <w:rPr>
          <w:rStyle w:val="FootnoteReference"/>
          <w:sz w:val="24"/>
          <w:szCs w:val="24"/>
          <w:lang w:val="mk-MK"/>
        </w:rPr>
        <w:footnoteReference w:id="664"/>
      </w:r>
    </w:p>
    <w:p w14:paraId="0AC5645B" w14:textId="5544242F" w:rsidR="00087562" w:rsidRDefault="00087562" w:rsidP="00E16058">
      <w:pPr>
        <w:spacing w:before="240"/>
        <w:ind w:firstLine="478"/>
        <w:jc w:val="both"/>
        <w:rPr>
          <w:sz w:val="24"/>
          <w:szCs w:val="24"/>
          <w:lang w:val="mk-MK"/>
        </w:rPr>
      </w:pPr>
      <w:r w:rsidRPr="00087562">
        <w:rPr>
          <w:sz w:val="24"/>
          <w:szCs w:val="24"/>
          <w:lang w:val="mk-MK"/>
        </w:rPr>
        <w:t>Холандија претставува зрел и балансиран пристап кон учеството на вработените во корпоративното управување</w:t>
      </w:r>
      <w:r w:rsidR="001D5DBE">
        <w:rPr>
          <w:sz w:val="24"/>
          <w:szCs w:val="24"/>
          <w:lang w:val="mk-MK"/>
        </w:rPr>
        <w:t xml:space="preserve">, иако генерално помалку познат и </w:t>
      </w:r>
      <w:r w:rsidR="006A4B23">
        <w:rPr>
          <w:sz w:val="24"/>
          <w:szCs w:val="24"/>
          <w:lang w:val="mk-MK"/>
        </w:rPr>
        <w:t>поретко распространет</w:t>
      </w:r>
      <w:r w:rsidRPr="00087562">
        <w:rPr>
          <w:sz w:val="24"/>
          <w:szCs w:val="24"/>
          <w:lang w:val="mk-MK"/>
        </w:rPr>
        <w:t>. Моделот дава приоритет на институционализиран дијалог, правна сигурност и долгорочна одржливост на претпријатието, избегнувајќи ригидни управувачки структури. Иако не им доделува на вработените директна контрола врз одборите, создава густ систем на права и процедури што обезбедуваат нивно суштинско присуство во процесите на одлучување. Оттука, холандскиот пример е неопходен во секоја компаративна анализа на учеството на вработените, не како исклучок, туку како доказ дека индиректното учество, кога е институционално добро уредено, може да биде и стабилно и ефективно.</w:t>
      </w:r>
      <w:r w:rsidR="006A4B23">
        <w:rPr>
          <w:rStyle w:val="FootnoteReference"/>
          <w:sz w:val="24"/>
          <w:szCs w:val="24"/>
          <w:lang w:val="mk-MK"/>
        </w:rPr>
        <w:footnoteReference w:id="665"/>
      </w:r>
    </w:p>
    <w:p w14:paraId="4115FA77" w14:textId="6DAA0724" w:rsidR="00C15C4E" w:rsidRDefault="00C15C4E" w:rsidP="00E16058">
      <w:pPr>
        <w:spacing w:before="240"/>
        <w:ind w:firstLine="478"/>
        <w:jc w:val="both"/>
        <w:rPr>
          <w:sz w:val="24"/>
          <w:szCs w:val="24"/>
          <w:lang w:val="mk-MK"/>
        </w:rPr>
      </w:pPr>
      <w:r>
        <w:rPr>
          <w:sz w:val="24"/>
          <w:szCs w:val="24"/>
          <w:lang w:val="mk-MK"/>
        </w:rPr>
        <w:lastRenderedPageBreak/>
        <w:t xml:space="preserve">Сепак, битно е да се напомене и дека </w:t>
      </w:r>
      <w:r w:rsidRPr="00C15C4E">
        <w:rPr>
          <w:sz w:val="24"/>
          <w:szCs w:val="24"/>
          <w:lang w:val="mk-MK"/>
        </w:rPr>
        <w:t>Македонија и Холандија поаѓаат од суштински различни нормативни и институционални претпоставки во однос на учеството на вработените во корпоративното управување. Во Македонија, учеството на вработените е уредено</w:t>
      </w:r>
      <w:r w:rsidR="00667F4C">
        <w:rPr>
          <w:sz w:val="24"/>
          <w:szCs w:val="24"/>
          <w:lang w:val="mk-MK"/>
        </w:rPr>
        <w:t xml:space="preserve"> или не е уредено</w:t>
      </w:r>
      <w:r w:rsidRPr="00C15C4E">
        <w:rPr>
          <w:sz w:val="24"/>
          <w:szCs w:val="24"/>
          <w:lang w:val="mk-MK"/>
        </w:rPr>
        <w:t xml:space="preserve"> фрагментарно, пред сè преку Законот за трговските друштва и Законот за работни односи, без јасно конципиран модел што систематски ги поврзува работничките претставнички тела со органите на управување и надзор. Иако постојат одредби за информирање и консултирање, тие имаат ограничен материјален досег и слаби механизми за спроведување, што резултира со симболично</w:t>
      </w:r>
      <w:r w:rsidR="00667F4C">
        <w:rPr>
          <w:sz w:val="24"/>
          <w:szCs w:val="24"/>
          <w:lang w:val="mk-MK"/>
        </w:rPr>
        <w:t xml:space="preserve"> наспроти</w:t>
      </w:r>
      <w:r w:rsidRPr="00C15C4E">
        <w:rPr>
          <w:sz w:val="24"/>
          <w:szCs w:val="24"/>
          <w:lang w:val="mk-MK"/>
        </w:rPr>
        <w:t xml:space="preserve"> суштинско учество.</w:t>
      </w:r>
    </w:p>
    <w:p w14:paraId="025E3AB9" w14:textId="303E1EAA" w:rsidR="00667F4C" w:rsidRDefault="00AB04B7" w:rsidP="00AE64A2">
      <w:pPr>
        <w:spacing w:before="240"/>
        <w:ind w:firstLine="478"/>
        <w:jc w:val="both"/>
        <w:rPr>
          <w:sz w:val="24"/>
          <w:szCs w:val="24"/>
          <w:lang w:val="mk-MK"/>
        </w:rPr>
      </w:pPr>
      <w:r>
        <w:rPr>
          <w:sz w:val="24"/>
          <w:szCs w:val="24"/>
          <w:lang w:val="mk-MK"/>
        </w:rPr>
        <w:t xml:space="preserve">Од друга страна, </w:t>
      </w:r>
      <w:r w:rsidRPr="00AB04B7">
        <w:rPr>
          <w:sz w:val="24"/>
          <w:szCs w:val="24"/>
          <w:lang w:val="mk-MK"/>
        </w:rPr>
        <w:t>Холандија развива кохерентен и функционално поврзан систем во кој Законот за работнички совети и структурниот режим од Книга 2 на Граѓанскиот законик создаваат јасна архитектура на индиректно, но институционализирано влијание на вработените врз корпоративните одлуки. Овој систем се потпира</w:t>
      </w:r>
      <w:r w:rsidR="00CB758D">
        <w:rPr>
          <w:sz w:val="24"/>
          <w:szCs w:val="24"/>
          <w:lang w:val="mk-MK"/>
        </w:rPr>
        <w:t xml:space="preserve"> </w:t>
      </w:r>
      <w:r w:rsidR="00CB758D" w:rsidRPr="00AB04B7">
        <w:rPr>
          <w:sz w:val="24"/>
          <w:szCs w:val="24"/>
          <w:lang w:val="mk-MK"/>
        </w:rPr>
        <w:t>на конкретни процесни права и санкции</w:t>
      </w:r>
      <w:r w:rsidR="00AE64A2">
        <w:rPr>
          <w:sz w:val="24"/>
          <w:szCs w:val="24"/>
          <w:lang w:val="mk-MK"/>
        </w:rPr>
        <w:t xml:space="preserve"> и се надоградува</w:t>
      </w:r>
      <w:r w:rsidRPr="00AB04B7">
        <w:rPr>
          <w:sz w:val="24"/>
          <w:szCs w:val="24"/>
          <w:lang w:val="mk-MK"/>
        </w:rPr>
        <w:t xml:space="preserve"> на декларативни</w:t>
      </w:r>
      <w:r w:rsidR="00AE64A2">
        <w:rPr>
          <w:sz w:val="24"/>
          <w:szCs w:val="24"/>
          <w:lang w:val="mk-MK"/>
        </w:rPr>
        <w:t>те</w:t>
      </w:r>
      <w:r w:rsidRPr="00AB04B7">
        <w:rPr>
          <w:sz w:val="24"/>
          <w:szCs w:val="24"/>
          <w:lang w:val="mk-MK"/>
        </w:rPr>
        <w:t xml:space="preserve"> принципи</w:t>
      </w:r>
      <w:r w:rsidR="00AE64A2">
        <w:rPr>
          <w:sz w:val="24"/>
          <w:szCs w:val="24"/>
          <w:lang w:val="mk-MK"/>
        </w:rPr>
        <w:t>. Токму тука и лежи главната разлика по</w:t>
      </w:r>
      <w:r w:rsidRPr="00AB04B7">
        <w:rPr>
          <w:sz w:val="24"/>
          <w:szCs w:val="24"/>
          <w:lang w:val="mk-MK"/>
        </w:rPr>
        <w:t>меѓу двата системи</w:t>
      </w:r>
      <w:r w:rsidR="00E9183E">
        <w:rPr>
          <w:sz w:val="24"/>
          <w:szCs w:val="24"/>
          <w:lang w:val="mk-MK"/>
        </w:rPr>
        <w:t xml:space="preserve"> во поглед на</w:t>
      </w:r>
      <w:r w:rsidRPr="00AB04B7">
        <w:rPr>
          <w:sz w:val="24"/>
          <w:szCs w:val="24"/>
          <w:lang w:val="mk-MK"/>
        </w:rPr>
        <w:t xml:space="preserve"> степенот на конзистентност помеѓу законот и практиката.</w:t>
      </w:r>
    </w:p>
    <w:p w14:paraId="44DAD072" w14:textId="0D593737" w:rsidR="00E9183E" w:rsidRDefault="00E9183E" w:rsidP="00AE64A2">
      <w:pPr>
        <w:spacing w:before="240"/>
        <w:ind w:firstLine="478"/>
        <w:jc w:val="both"/>
        <w:rPr>
          <w:sz w:val="24"/>
          <w:szCs w:val="24"/>
          <w:lang w:val="mk-MK"/>
        </w:rPr>
      </w:pPr>
      <w:r w:rsidRPr="00E9183E">
        <w:rPr>
          <w:sz w:val="24"/>
          <w:szCs w:val="24"/>
          <w:lang w:val="mk-MK"/>
        </w:rPr>
        <w:t xml:space="preserve">Во периодот од 1 до 8 ноември 2023 година, за време на престојот на Универзитетот во Утрехт, Правен факултет, имав можност директно да се уверам дека холандската корпоративна практика во голема мера го пресликува законското уредување. Работничките совети функционираат како реални актери во процесите на одлучување, нивните мислења се </w:t>
      </w:r>
      <w:r w:rsidR="00C15EEB">
        <w:rPr>
          <w:sz w:val="24"/>
          <w:szCs w:val="24"/>
          <w:lang w:val="mk-MK"/>
        </w:rPr>
        <w:t>бараат навремено</w:t>
      </w:r>
      <w:r w:rsidRPr="00E9183E">
        <w:rPr>
          <w:sz w:val="24"/>
          <w:szCs w:val="24"/>
          <w:lang w:val="mk-MK"/>
        </w:rPr>
        <w:t>, а нивните права се сфаќаат како интегрален дел од корпоративното управување</w:t>
      </w:r>
      <w:r w:rsidR="00E07DFF">
        <w:rPr>
          <w:sz w:val="24"/>
          <w:szCs w:val="24"/>
          <w:lang w:val="mk-MK"/>
        </w:rPr>
        <w:t xml:space="preserve"> и никако</w:t>
      </w:r>
      <w:r w:rsidRPr="00E9183E">
        <w:rPr>
          <w:sz w:val="24"/>
          <w:szCs w:val="24"/>
          <w:lang w:val="mk-MK"/>
        </w:rPr>
        <w:t xml:space="preserve"> </w:t>
      </w:r>
      <w:r w:rsidR="00E07DFF">
        <w:rPr>
          <w:sz w:val="24"/>
          <w:szCs w:val="24"/>
          <w:lang w:val="mk-MK"/>
        </w:rPr>
        <w:t>само како</w:t>
      </w:r>
      <w:r w:rsidRPr="00E9183E">
        <w:rPr>
          <w:sz w:val="24"/>
          <w:szCs w:val="24"/>
          <w:lang w:val="mk-MK"/>
        </w:rPr>
        <w:t xml:space="preserve"> формална обврска. Во Македонија, пак, се забележува изразен јаз </w:t>
      </w:r>
      <w:r w:rsidR="00E07DFF">
        <w:rPr>
          <w:sz w:val="24"/>
          <w:szCs w:val="24"/>
          <w:lang w:val="mk-MK"/>
        </w:rPr>
        <w:t>помеѓу нормката и практиката</w:t>
      </w:r>
      <w:r w:rsidRPr="00E9183E">
        <w:rPr>
          <w:sz w:val="24"/>
          <w:szCs w:val="24"/>
          <w:lang w:val="mk-MK"/>
        </w:rPr>
        <w:t>. Дури и кога постојат законски основи за консултација, тие често се заобиколуваат, а вработените немаат ефикасни процесни алатки за заштита на своите права, особено во отсуство на специјализирани судски или квазисудски тела.</w:t>
      </w:r>
    </w:p>
    <w:p w14:paraId="05FF786F" w14:textId="1E3E14BC" w:rsidR="00686E06" w:rsidRDefault="00686E06" w:rsidP="00AE64A2">
      <w:pPr>
        <w:spacing w:before="240"/>
        <w:ind w:firstLine="478"/>
        <w:jc w:val="both"/>
        <w:rPr>
          <w:sz w:val="24"/>
          <w:szCs w:val="24"/>
          <w:lang w:val="mk-MK"/>
        </w:rPr>
      </w:pPr>
      <w:r w:rsidRPr="00686E06">
        <w:rPr>
          <w:sz w:val="24"/>
          <w:szCs w:val="24"/>
          <w:lang w:val="mk-MK"/>
        </w:rPr>
        <w:t>Холандскиот модел јасно демонстрира дека правата на вработените се ефективни само доколку се судски спроведливи. Можноста работничките совети да се обратат до Посебната комора за трговски спорови при Апелациониот суд во Амстердам создава реална правна тежина на нивните овластувања и истовремено ја зголемува институционалната дисциплина на управните органи. Во Македонија, отсуството на брзи, специјализирани и експертски механизми за решавање корпоративни спорови поврзани со учество на вработените значително го намалува превентивниот и корективниот ефект на постојните норми.</w:t>
      </w:r>
    </w:p>
    <w:p w14:paraId="64498859" w14:textId="2CEFEE4F" w:rsidR="002D05CB" w:rsidRDefault="002D05CB" w:rsidP="00AE64A2">
      <w:pPr>
        <w:spacing w:before="240"/>
        <w:ind w:firstLine="478"/>
        <w:jc w:val="both"/>
        <w:rPr>
          <w:sz w:val="24"/>
          <w:szCs w:val="24"/>
          <w:lang w:val="mk-MK"/>
        </w:rPr>
      </w:pPr>
      <w:r>
        <w:rPr>
          <w:sz w:val="24"/>
          <w:szCs w:val="24"/>
          <w:lang w:val="mk-MK"/>
        </w:rPr>
        <w:t>Оттука, х</w:t>
      </w:r>
      <w:r w:rsidRPr="002D05CB">
        <w:rPr>
          <w:sz w:val="24"/>
          <w:szCs w:val="24"/>
          <w:lang w:val="mk-MK"/>
        </w:rPr>
        <w:t>оландскиот модел нуди неколку директно применливи поуки за</w:t>
      </w:r>
      <w:r w:rsidR="002A4456">
        <w:rPr>
          <w:sz w:val="24"/>
          <w:szCs w:val="24"/>
          <w:lang w:val="mk-MK"/>
        </w:rPr>
        <w:t xml:space="preserve"> </w:t>
      </w:r>
      <w:r w:rsidRPr="002D05CB">
        <w:rPr>
          <w:sz w:val="24"/>
          <w:szCs w:val="24"/>
          <w:lang w:val="mk-MK"/>
        </w:rPr>
        <w:t>Македонија</w:t>
      </w:r>
      <w:r w:rsidR="002A4456">
        <w:rPr>
          <w:sz w:val="24"/>
          <w:szCs w:val="24"/>
          <w:lang w:val="mk-MK"/>
        </w:rPr>
        <w:t>.</w:t>
      </w:r>
      <w:r w:rsidRPr="002D05CB">
        <w:rPr>
          <w:sz w:val="24"/>
          <w:szCs w:val="24"/>
          <w:lang w:val="mk-MK"/>
        </w:rPr>
        <w:t xml:space="preserve"> Прво, наместо рано воведување на формална кодетерминација, реформите можат да започнат со јакнење на работничките совети, преку јасно дефинирани права на согласност и ефективна судска заштита. Второ, потребно е учеството на вработените да се вгради во процедурите на корпоративно одлучување, а не да се третира како надворешен социјален елемент. Трето, холандското искуство покажува дека правната сигурност и предвидливоста создаваат култура на почитување на учеството на вработените, што е особено релевантно за транзициски економии со ниско ниво на институционална доверба. Четврто, структурниот режим нуди модел како државата може селективно да воведе засилено учество на вработените само за големи и економски </w:t>
      </w:r>
      <w:r w:rsidRPr="002D05CB">
        <w:rPr>
          <w:sz w:val="24"/>
          <w:szCs w:val="24"/>
          <w:lang w:val="mk-MK"/>
        </w:rPr>
        <w:lastRenderedPageBreak/>
        <w:t>значајни компании, избегнувајќи универзални и нефлексибилни решенија.</w:t>
      </w:r>
      <w:r w:rsidR="00B43580">
        <w:rPr>
          <w:rStyle w:val="FootnoteReference"/>
          <w:sz w:val="24"/>
          <w:szCs w:val="24"/>
          <w:lang w:val="mk-MK"/>
        </w:rPr>
        <w:footnoteReference w:id="666"/>
      </w:r>
    </w:p>
    <w:p w14:paraId="5C800618" w14:textId="45D6565F" w:rsidR="003E3129" w:rsidRDefault="004F3B84" w:rsidP="00AE64A2">
      <w:pPr>
        <w:spacing w:before="240"/>
        <w:ind w:firstLine="478"/>
        <w:jc w:val="both"/>
        <w:rPr>
          <w:sz w:val="24"/>
          <w:szCs w:val="24"/>
          <w:lang w:val="mk-MK"/>
        </w:rPr>
      </w:pPr>
      <w:r w:rsidRPr="004F3B84">
        <w:rPr>
          <w:sz w:val="24"/>
          <w:szCs w:val="24"/>
          <w:lang w:val="mk-MK"/>
        </w:rPr>
        <w:t xml:space="preserve">Иако холандскиот модел покажува како индиректното и процедурално учество на вработените може да биде високо ефективно во стабилен институционален контекст, следниот компаративен чекор </w:t>
      </w:r>
      <w:r w:rsidR="003F42C3">
        <w:rPr>
          <w:sz w:val="24"/>
          <w:szCs w:val="24"/>
          <w:lang w:val="mk-MK"/>
        </w:rPr>
        <w:t xml:space="preserve">заради неколку причини </w:t>
      </w:r>
      <w:r w:rsidRPr="004F3B84">
        <w:rPr>
          <w:sz w:val="24"/>
          <w:szCs w:val="24"/>
          <w:lang w:val="mk-MK"/>
        </w:rPr>
        <w:t xml:space="preserve">логично води кон </w:t>
      </w:r>
      <w:r w:rsidR="003E3129">
        <w:rPr>
          <w:sz w:val="24"/>
          <w:szCs w:val="24"/>
          <w:lang w:val="mk-MK"/>
        </w:rPr>
        <w:t xml:space="preserve">Италија. </w:t>
      </w:r>
      <w:r w:rsidR="003F42C3" w:rsidRPr="003F42C3">
        <w:rPr>
          <w:sz w:val="24"/>
          <w:szCs w:val="24"/>
          <w:lang w:val="mk-MK"/>
        </w:rPr>
        <w:t>По разгледувањето на моделите на учество на вработените во Србија,</w:t>
      </w:r>
      <w:r w:rsidR="001747EF">
        <w:rPr>
          <w:sz w:val="24"/>
          <w:szCs w:val="24"/>
          <w:lang w:val="mk-MK"/>
        </w:rPr>
        <w:t xml:space="preserve"> Босна,</w:t>
      </w:r>
      <w:r w:rsidR="003F42C3" w:rsidRPr="003F42C3">
        <w:rPr>
          <w:sz w:val="24"/>
          <w:szCs w:val="24"/>
          <w:lang w:val="mk-MK"/>
        </w:rPr>
        <w:t xml:space="preserve"> Словенија и Хрватска како постсоцијалистички и транзициски системи, како и на Германија и Холандија како зрели и институционално консолидирани модели на континентална Европа, логичен следен чекор во компаративната анализа претставува Италија. Италијанскиот случај е особено значаен затоа што зафаќа интермедијарна позиција помеѓу силно институционализираната кодетерминација</w:t>
      </w:r>
      <w:r w:rsidR="00C50503">
        <w:rPr>
          <w:sz w:val="24"/>
          <w:szCs w:val="24"/>
          <w:lang w:val="mk-MK"/>
        </w:rPr>
        <w:t xml:space="preserve">, </w:t>
      </w:r>
      <w:r w:rsidR="003F42C3" w:rsidRPr="003F42C3">
        <w:rPr>
          <w:sz w:val="24"/>
          <w:szCs w:val="24"/>
          <w:lang w:val="mk-MK"/>
        </w:rPr>
        <w:t>како во Германија</w:t>
      </w:r>
      <w:r w:rsidR="00C50503">
        <w:rPr>
          <w:sz w:val="24"/>
          <w:szCs w:val="24"/>
          <w:lang w:val="mk-MK"/>
        </w:rPr>
        <w:t>,</w:t>
      </w:r>
      <w:r w:rsidR="003F42C3" w:rsidRPr="003F42C3">
        <w:rPr>
          <w:sz w:val="24"/>
          <w:szCs w:val="24"/>
          <w:lang w:val="mk-MK"/>
        </w:rPr>
        <w:t xml:space="preserve"> и моделите што се потпираат претежно на информирање, консултација и колективно договарање</w:t>
      </w:r>
      <w:r w:rsidR="00C50503">
        <w:rPr>
          <w:sz w:val="24"/>
          <w:szCs w:val="24"/>
          <w:lang w:val="mk-MK"/>
        </w:rPr>
        <w:t xml:space="preserve">, </w:t>
      </w:r>
      <w:r w:rsidR="003F42C3" w:rsidRPr="003F42C3">
        <w:rPr>
          <w:sz w:val="24"/>
          <w:szCs w:val="24"/>
          <w:lang w:val="mk-MK"/>
        </w:rPr>
        <w:t>како Холандија, без да воспостави задолжително учество на вработените на ниво на одбори.</w:t>
      </w:r>
      <w:r w:rsidR="005A5BE1">
        <w:rPr>
          <w:rStyle w:val="FootnoteReference"/>
          <w:sz w:val="24"/>
          <w:szCs w:val="24"/>
          <w:lang w:val="mk-MK"/>
        </w:rPr>
        <w:footnoteReference w:id="667"/>
      </w:r>
    </w:p>
    <w:p w14:paraId="3D41E9E0" w14:textId="4B9F58FF" w:rsidR="00C50503" w:rsidRDefault="00C361A8" w:rsidP="00AE64A2">
      <w:pPr>
        <w:spacing w:before="240"/>
        <w:ind w:firstLine="478"/>
        <w:jc w:val="both"/>
        <w:rPr>
          <w:sz w:val="24"/>
          <w:szCs w:val="24"/>
          <w:lang w:val="mk-MK"/>
        </w:rPr>
      </w:pPr>
      <w:r w:rsidRPr="00C361A8">
        <w:rPr>
          <w:sz w:val="24"/>
          <w:szCs w:val="24"/>
          <w:lang w:val="mk-MK"/>
        </w:rPr>
        <w:t>Италија е релевантна и од историска и од правна перспектива. Таа има долга традиција на синдикализам, силно развиено колективно договарање и уставно признавање на социјалната функција на претпријатието, но истовремено покажува ограничен развој на формализирани механизми за учество на вработените во корпоративното управување. Како основачка членка на Европската унија, Италија рано ги транспонира европските директиви за информирање и консултирање, европски работнички совети и европски друштва, но нивниот практичен ефект врз внатрешното управување со компаниите останува предмет на научна дебата.</w:t>
      </w:r>
      <w:r w:rsidR="00102572">
        <w:rPr>
          <w:rStyle w:val="FootnoteReference"/>
          <w:sz w:val="24"/>
          <w:szCs w:val="24"/>
          <w:lang w:val="mk-MK"/>
        </w:rPr>
        <w:footnoteReference w:id="668"/>
      </w:r>
    </w:p>
    <w:p w14:paraId="4FBD0076" w14:textId="56ADE9C8" w:rsidR="002626E8" w:rsidRPr="0001618C" w:rsidRDefault="00C361A8" w:rsidP="000D5138">
      <w:pPr>
        <w:spacing w:before="240" w:after="240"/>
        <w:ind w:firstLine="478"/>
        <w:jc w:val="both"/>
        <w:rPr>
          <w:sz w:val="24"/>
          <w:szCs w:val="24"/>
          <w:lang w:val="mk-MK"/>
        </w:rPr>
      </w:pPr>
      <w:r w:rsidRPr="00C361A8">
        <w:rPr>
          <w:sz w:val="24"/>
          <w:szCs w:val="24"/>
          <w:lang w:val="mk-MK"/>
        </w:rPr>
        <w:t xml:space="preserve">Во таа смисла, вклучувањето на Италија во компарацијата овозможува анализа на модел во кој социјалниот дијалог и синдикалното посредување играат централна улога, додека учеството на вработените е канализирано претежно надвор од формалните управувачки структури. Ова ја прави Италија особено соодветна транзициска точка пред анализата на Полска, бидејќи овозможува јасно согледување на разликата </w:t>
      </w:r>
      <w:r w:rsidR="00061656">
        <w:rPr>
          <w:sz w:val="24"/>
          <w:szCs w:val="24"/>
          <w:lang w:val="mk-MK"/>
        </w:rPr>
        <w:t>по</w:t>
      </w:r>
      <w:r w:rsidRPr="00C361A8">
        <w:rPr>
          <w:sz w:val="24"/>
          <w:szCs w:val="24"/>
          <w:lang w:val="mk-MK"/>
        </w:rPr>
        <w:t>меѓу западноевропски систем со силна социјална традиција, но без кодетерминација, и источноевропски модел во кој институционалните форми на учество се формално воспоставени, но ограничено применети во практика.</w:t>
      </w:r>
    </w:p>
    <w:p w14:paraId="052AA307" w14:textId="2B7BBCEE" w:rsidR="002626E8" w:rsidRPr="00A6193C" w:rsidRDefault="000D5138" w:rsidP="009330C0">
      <w:pPr>
        <w:pStyle w:val="Heading1"/>
        <w:numPr>
          <w:ilvl w:val="0"/>
          <w:numId w:val="7"/>
        </w:numPr>
        <w:jc w:val="both"/>
      </w:pPr>
      <w:bookmarkStart w:id="74" w:name="_Toc230523927"/>
      <w:r>
        <w:rPr>
          <w:lang w:val="mk-MK"/>
        </w:rPr>
        <w:t>И</w:t>
      </w:r>
      <w:r w:rsidRPr="000D5138">
        <w:rPr>
          <w:lang w:val="mk-MK"/>
        </w:rPr>
        <w:t>нституционална</w:t>
      </w:r>
      <w:r>
        <w:rPr>
          <w:lang w:val="mk-MK"/>
        </w:rPr>
        <w:t>та</w:t>
      </w:r>
      <w:r w:rsidRPr="000D5138">
        <w:rPr>
          <w:lang w:val="mk-MK"/>
        </w:rPr>
        <w:t xml:space="preserve"> рамка и практика</w:t>
      </w:r>
      <w:r>
        <w:rPr>
          <w:lang w:val="mk-MK"/>
        </w:rPr>
        <w:t>та во Италија</w:t>
      </w:r>
      <w:bookmarkEnd w:id="74"/>
    </w:p>
    <w:p w14:paraId="00E8F4E4" w14:textId="24C6B16E" w:rsidR="003E3129" w:rsidRDefault="00A6193C" w:rsidP="00AE64A2">
      <w:pPr>
        <w:spacing w:before="240"/>
        <w:ind w:firstLine="478"/>
        <w:jc w:val="both"/>
        <w:rPr>
          <w:sz w:val="24"/>
          <w:szCs w:val="24"/>
          <w:lang w:val="mk-MK"/>
        </w:rPr>
      </w:pPr>
      <w:r w:rsidRPr="00A6193C">
        <w:rPr>
          <w:sz w:val="24"/>
          <w:szCs w:val="24"/>
          <w:lang w:val="mk-MK"/>
        </w:rPr>
        <w:t>Италијанската рамка на корпоративно управување претставува комбинација од континентално корпоративно право,</w:t>
      </w:r>
      <w:r w:rsidR="00D77160">
        <w:rPr>
          <w:rStyle w:val="FootnoteReference"/>
          <w:sz w:val="24"/>
          <w:szCs w:val="24"/>
          <w:lang w:val="mk-MK"/>
        </w:rPr>
        <w:footnoteReference w:id="669"/>
      </w:r>
      <w:r w:rsidRPr="00A6193C">
        <w:rPr>
          <w:sz w:val="24"/>
          <w:szCs w:val="24"/>
          <w:lang w:val="mk-MK"/>
        </w:rPr>
        <w:t xml:space="preserve"> правила поврзани со пазарите на капитал и одржливоста инспирирани од правото на Европската унија, како и историски силен, но претежно синдикално посредуван модел на работнички глас.</w:t>
      </w:r>
      <w:r w:rsidR="001677CC">
        <w:rPr>
          <w:rStyle w:val="FootnoteReference"/>
          <w:sz w:val="24"/>
          <w:szCs w:val="24"/>
          <w:lang w:val="mk-MK"/>
        </w:rPr>
        <w:footnoteReference w:id="670"/>
      </w:r>
      <w:r w:rsidRPr="00A6193C">
        <w:rPr>
          <w:sz w:val="24"/>
          <w:szCs w:val="24"/>
          <w:lang w:val="mk-MK"/>
        </w:rPr>
        <w:t xml:space="preserve"> По реформата на трговското право од 2003 година, италијанските акционерски друштва</w:t>
      </w:r>
      <w:r w:rsidR="00914C10">
        <w:rPr>
          <w:sz w:val="24"/>
          <w:szCs w:val="24"/>
          <w:lang w:val="en-US"/>
        </w:rPr>
        <w:t xml:space="preserve">, </w:t>
      </w:r>
      <w:r w:rsidR="00914C10" w:rsidRPr="00A6193C">
        <w:rPr>
          <w:sz w:val="24"/>
          <w:szCs w:val="24"/>
          <w:lang w:val="mk-MK"/>
        </w:rPr>
        <w:t>società per azioni – S.p.A.</w:t>
      </w:r>
      <w:r w:rsidR="00914C10">
        <w:rPr>
          <w:sz w:val="24"/>
          <w:szCs w:val="24"/>
          <w:lang w:val="en-US"/>
        </w:rPr>
        <w:t>,</w:t>
      </w:r>
      <w:r w:rsidRPr="00A6193C">
        <w:rPr>
          <w:sz w:val="24"/>
          <w:szCs w:val="24"/>
          <w:lang w:val="mk-MK"/>
        </w:rPr>
        <w:t xml:space="preserve"> можат да избираат помеѓу три модели на управување: традиционалниот модел (одбор на директори со посебен одбор на статутарни ревизори), двостепениот модел (управен и надзорен одбор) и едностепениот модел (единствен одбор со внатрешни комисии). Во практика, традиционалниот модел останува доминантен, особено кај </w:t>
      </w:r>
      <w:r w:rsidRPr="00A6193C">
        <w:rPr>
          <w:sz w:val="24"/>
          <w:szCs w:val="24"/>
          <w:lang w:val="mk-MK"/>
        </w:rPr>
        <w:lastRenderedPageBreak/>
        <w:t>котираните друштва, при што одборот на статутарни ревизори</w:t>
      </w:r>
      <w:r w:rsidR="00327B7F">
        <w:rPr>
          <w:sz w:val="24"/>
          <w:szCs w:val="24"/>
          <w:lang w:val="en-US"/>
        </w:rPr>
        <w:t xml:space="preserve">, </w:t>
      </w:r>
      <w:r w:rsidR="00327B7F" w:rsidRPr="00A6193C">
        <w:rPr>
          <w:sz w:val="24"/>
          <w:szCs w:val="24"/>
          <w:lang w:val="mk-MK"/>
        </w:rPr>
        <w:t>collegio sindacale</w:t>
      </w:r>
      <w:r w:rsidR="00327B7F">
        <w:rPr>
          <w:sz w:val="24"/>
          <w:szCs w:val="24"/>
          <w:lang w:val="en-US"/>
        </w:rPr>
        <w:t>,</w:t>
      </w:r>
      <w:r w:rsidRPr="00A6193C">
        <w:rPr>
          <w:sz w:val="24"/>
          <w:szCs w:val="24"/>
          <w:lang w:val="mk-MK"/>
        </w:rPr>
        <w:t xml:space="preserve"> врши ex post надзор над законитоста и усогласеноста, одвоен од управувачките функции.</w:t>
      </w:r>
    </w:p>
    <w:p w14:paraId="0691F680" w14:textId="2E7A95BA" w:rsidR="00370C0D" w:rsidRDefault="00821BC7" w:rsidP="00AE64A2">
      <w:pPr>
        <w:spacing w:before="240"/>
        <w:ind w:firstLine="478"/>
        <w:jc w:val="both"/>
        <w:rPr>
          <w:sz w:val="24"/>
          <w:szCs w:val="24"/>
          <w:lang w:val="mk-MK"/>
        </w:rPr>
      </w:pPr>
      <w:r>
        <w:rPr>
          <w:sz w:val="24"/>
          <w:szCs w:val="24"/>
          <w:lang w:val="mk-MK"/>
        </w:rPr>
        <w:t>Упо</w:t>
      </w:r>
      <w:r w:rsidR="00C7582C">
        <w:rPr>
          <w:sz w:val="24"/>
          <w:szCs w:val="24"/>
          <w:lang w:val="mk-MK"/>
        </w:rPr>
        <w:t>т</w:t>
      </w:r>
      <w:r>
        <w:rPr>
          <w:sz w:val="24"/>
          <w:szCs w:val="24"/>
          <w:lang w:val="mk-MK"/>
        </w:rPr>
        <w:t>реба</w:t>
      </w:r>
      <w:r w:rsidR="00C7582C">
        <w:rPr>
          <w:sz w:val="24"/>
          <w:szCs w:val="24"/>
          <w:lang w:val="mk-MK"/>
        </w:rPr>
        <w:t>та</w:t>
      </w:r>
      <w:r>
        <w:rPr>
          <w:sz w:val="24"/>
          <w:szCs w:val="24"/>
          <w:lang w:val="mk-MK"/>
        </w:rPr>
        <w:t xml:space="preserve"> на традиционалниот модел значи дека</w:t>
      </w:r>
      <w:r w:rsidR="00C7582C">
        <w:rPr>
          <w:sz w:val="24"/>
          <w:szCs w:val="24"/>
          <w:lang w:val="mk-MK"/>
        </w:rPr>
        <w:t xml:space="preserve"> во</w:t>
      </w:r>
      <w:r w:rsidRPr="00821BC7">
        <w:rPr>
          <w:sz w:val="24"/>
          <w:szCs w:val="24"/>
          <w:lang w:val="mk-MK"/>
        </w:rPr>
        <w:t xml:space="preserve"> најголемиот број италијански компании, управувањето со компанијата го врши управниот одбор, додека посебно тело, одборот на статутарни ревизори познат како collegio sindacale, има задача да врши надзор. Улогата на collegio sindacale не е да донесува деловни одлуки, туку по нивното донесување да проверува дали компанијата постапува законито, дали ги почитува прописите и дали внатрешните правила се применуваат правилно. Со други зборови, станува збор за надзор „по настанот“,</w:t>
      </w:r>
      <w:r w:rsidR="00CD07F9">
        <w:rPr>
          <w:rStyle w:val="FootnoteReference"/>
          <w:sz w:val="24"/>
          <w:szCs w:val="24"/>
          <w:lang w:val="mk-MK"/>
        </w:rPr>
        <w:footnoteReference w:id="671"/>
      </w:r>
      <w:r w:rsidRPr="00821BC7">
        <w:rPr>
          <w:sz w:val="24"/>
          <w:szCs w:val="24"/>
          <w:lang w:val="mk-MK"/>
        </w:rPr>
        <w:t xml:space="preserve"> кој е јасно одвоен од секојдневното управување и одговорностите на управниот одбор. Ова раздвојување има за цел да обезбеди независна контрола и поголема правна сигурност во работењето на компанијата.</w:t>
      </w:r>
    </w:p>
    <w:p w14:paraId="277EDED2" w14:textId="77EF25F5" w:rsidR="00370C0D" w:rsidRDefault="00D84E0D" w:rsidP="00AE64A2">
      <w:pPr>
        <w:spacing w:before="240"/>
        <w:ind w:firstLine="478"/>
        <w:jc w:val="both"/>
        <w:rPr>
          <w:sz w:val="24"/>
          <w:szCs w:val="24"/>
          <w:lang w:val="mk-MK"/>
        </w:rPr>
      </w:pPr>
      <w:r w:rsidRPr="00D84E0D">
        <w:rPr>
          <w:sz w:val="24"/>
          <w:szCs w:val="24"/>
          <w:lang w:val="mk-MK"/>
        </w:rPr>
        <w:t>Од регулаторен аспект, котираните друштва функционираат во рамките на Консолидираниот закон за финансии и подзаконските акти на CONSOB,</w:t>
      </w:r>
      <w:r w:rsidR="00BB6CA6">
        <w:rPr>
          <w:rStyle w:val="FootnoteReference"/>
          <w:sz w:val="24"/>
          <w:szCs w:val="24"/>
          <w:lang w:val="mk-MK"/>
        </w:rPr>
        <w:footnoteReference w:id="672"/>
      </w:r>
      <w:r w:rsidRPr="00D84E0D">
        <w:rPr>
          <w:sz w:val="24"/>
          <w:szCs w:val="24"/>
          <w:lang w:val="mk-MK"/>
        </w:rPr>
        <w:t xml:space="preserve"> надополнети со режим на „примени или објасни“ преку Италијанскиот кодекс за корпоративно управување од 2020 година. Кодексот става акцент на ефикасноста на одборите, системите за внатрешна контрола и управување со ризици, одржливиот долгорочен успех и ангажманот со акционерите и другите засегнати страни. Понатамошни реформи на пазарите на капитал ажурира</w:t>
      </w:r>
      <w:r w:rsidR="00CA3B17">
        <w:rPr>
          <w:sz w:val="24"/>
          <w:szCs w:val="24"/>
          <w:lang w:val="mk-MK"/>
        </w:rPr>
        <w:t>ле</w:t>
      </w:r>
      <w:r w:rsidRPr="00D84E0D">
        <w:rPr>
          <w:sz w:val="24"/>
          <w:szCs w:val="24"/>
          <w:lang w:val="mk-MK"/>
        </w:rPr>
        <w:t xml:space="preserve"> одредени делови од TUF со цел поттикнување на развојот на пазарите и зајакнување на улогата на институционалните инвеститори.</w:t>
      </w:r>
      <w:r w:rsidR="00CA3B17">
        <w:rPr>
          <w:rStyle w:val="FootnoteReference"/>
          <w:sz w:val="24"/>
          <w:szCs w:val="24"/>
          <w:lang w:val="mk-MK"/>
        </w:rPr>
        <w:footnoteReference w:id="673"/>
      </w:r>
    </w:p>
    <w:p w14:paraId="3A5E6EDC" w14:textId="641AE950" w:rsidR="00CA3B17" w:rsidRDefault="002C1D28" w:rsidP="00AE64A2">
      <w:pPr>
        <w:spacing w:before="240"/>
        <w:ind w:firstLine="478"/>
        <w:jc w:val="both"/>
        <w:rPr>
          <w:sz w:val="24"/>
          <w:szCs w:val="24"/>
          <w:lang w:val="mk-MK"/>
        </w:rPr>
      </w:pPr>
      <w:r w:rsidRPr="002C1D28">
        <w:rPr>
          <w:sz w:val="24"/>
          <w:szCs w:val="24"/>
          <w:lang w:val="mk-MK"/>
        </w:rPr>
        <w:t xml:space="preserve">Италијанската сопственичка структура се карактеризира со концентрирано сопствеништво и значително државно присуство во стратешките сектори, преку Министерството за економија и финансии и </w:t>
      </w:r>
      <w:r w:rsidR="002C41AB">
        <w:rPr>
          <w:sz w:val="24"/>
          <w:szCs w:val="24"/>
          <w:lang w:val="mk-MK"/>
        </w:rPr>
        <w:t xml:space="preserve">италијанската развојна банка </w:t>
      </w:r>
      <w:r w:rsidRPr="002C1D28">
        <w:rPr>
          <w:sz w:val="24"/>
          <w:szCs w:val="24"/>
          <w:lang w:val="mk-MK"/>
        </w:rPr>
        <w:t>Cassa Depositi e Prestiti. Големи котирани друштва со државно учество, како ENEL, ENI, Leonardo, Poste Italiane и Ferrovie dello Stato, применуваат стандарди на корпоративно управување карактеристични за котираните компании. Разновидноста во составот на одборите е поттикната преку задолжителни родови квоти воведени со Законот бр. 120/2011,</w:t>
      </w:r>
      <w:r w:rsidR="00003CA6">
        <w:rPr>
          <w:rStyle w:val="FootnoteReference"/>
          <w:sz w:val="24"/>
          <w:szCs w:val="24"/>
          <w:lang w:val="mk-MK"/>
        </w:rPr>
        <w:footnoteReference w:id="674"/>
      </w:r>
      <w:r w:rsidRPr="002C1D28">
        <w:rPr>
          <w:sz w:val="24"/>
          <w:szCs w:val="24"/>
          <w:lang w:val="mk-MK"/>
        </w:rPr>
        <w:t xml:space="preserve"> дополнително зајакнати со Законот бр. 160/2019, кој бара најмалку две петтини од членовите на одборите во котираните друштва да припаѓаат на помалку застапениот пол.</w:t>
      </w:r>
    </w:p>
    <w:p w14:paraId="1EE14C3F" w14:textId="55491B98" w:rsidR="00DB1C0E" w:rsidRDefault="008D52CC" w:rsidP="00AE64A2">
      <w:pPr>
        <w:spacing w:before="240"/>
        <w:ind w:firstLine="478"/>
        <w:jc w:val="both"/>
        <w:rPr>
          <w:sz w:val="24"/>
          <w:szCs w:val="24"/>
          <w:lang w:val="mk-MK"/>
        </w:rPr>
      </w:pPr>
      <w:r w:rsidRPr="008D52CC">
        <w:rPr>
          <w:sz w:val="24"/>
          <w:szCs w:val="24"/>
          <w:lang w:val="mk-MK"/>
        </w:rPr>
        <w:t>Специфична карактеристика на италијанскиот модел е системот на усогласеност воспоставен со Законскиот декрет бр. 231/2001, кој воведува административна одговорност на правните лица за одредени кривични дела и ги стимулира друштвата да усвојат организациски, управувачки и контролни модели.</w:t>
      </w:r>
      <w:r w:rsidR="008525E1">
        <w:rPr>
          <w:rStyle w:val="FootnoteReference"/>
          <w:sz w:val="24"/>
          <w:szCs w:val="24"/>
          <w:lang w:val="mk-MK"/>
        </w:rPr>
        <w:footnoteReference w:id="675"/>
      </w:r>
      <w:r w:rsidRPr="008D52CC">
        <w:rPr>
          <w:sz w:val="24"/>
          <w:szCs w:val="24"/>
          <w:lang w:val="mk-MK"/>
        </w:rPr>
        <w:t xml:space="preserve"> Надзорот над овие модели го врши независно тело </w:t>
      </w:r>
      <w:r w:rsidR="008525E1">
        <w:rPr>
          <w:sz w:val="24"/>
          <w:szCs w:val="24"/>
          <w:lang w:val="mk-MK"/>
        </w:rPr>
        <w:t>наречено</w:t>
      </w:r>
      <w:r w:rsidRPr="008D52CC">
        <w:rPr>
          <w:sz w:val="24"/>
          <w:szCs w:val="24"/>
          <w:lang w:val="mk-MK"/>
        </w:rPr>
        <w:t xml:space="preserve"> Organismo di Vigilanza. Collegio sindacale, заедно со внатрешните комисии на одборот</w:t>
      </w:r>
      <w:r w:rsidR="008525E1">
        <w:rPr>
          <w:sz w:val="24"/>
          <w:szCs w:val="24"/>
          <w:lang w:val="mk-MK"/>
        </w:rPr>
        <w:t xml:space="preserve">, </w:t>
      </w:r>
      <w:r w:rsidRPr="008D52CC">
        <w:rPr>
          <w:sz w:val="24"/>
          <w:szCs w:val="24"/>
          <w:lang w:val="mk-MK"/>
        </w:rPr>
        <w:t>за ревизија и ризици, наградување, номинации и одржливост, ја сочинува комплексната средина на внатрешна контрола кај котираните друштва, што редовно се следи во годишните извештаи на CONSOB.</w:t>
      </w:r>
    </w:p>
    <w:p w14:paraId="56B7300D" w14:textId="783DECD5" w:rsidR="00AF43B4" w:rsidRDefault="00AF43B4" w:rsidP="00AE64A2">
      <w:pPr>
        <w:spacing w:before="240"/>
        <w:ind w:firstLine="478"/>
        <w:jc w:val="both"/>
        <w:rPr>
          <w:sz w:val="24"/>
          <w:szCs w:val="24"/>
          <w:lang w:val="mk-MK"/>
        </w:rPr>
      </w:pPr>
      <w:r w:rsidRPr="00AF43B4">
        <w:rPr>
          <w:sz w:val="24"/>
          <w:szCs w:val="24"/>
          <w:lang w:val="mk-MK"/>
        </w:rPr>
        <w:t xml:space="preserve">Италија ја транспонираше Директивата за нефинансиско известување на ЕУ преку Законскиот декрет бр. 254/2016, со кој одредени големи субјекти од јавен интерес се обврзани да известуваат за прашања поврзани со животната средина, социјалните </w:t>
      </w:r>
      <w:r w:rsidRPr="00AF43B4">
        <w:rPr>
          <w:sz w:val="24"/>
          <w:szCs w:val="24"/>
          <w:lang w:val="mk-MK"/>
        </w:rPr>
        <w:lastRenderedPageBreak/>
        <w:t>аспекти и вработените, човековите права и борбата против корупцијата. Директивата за корпоративно известување за одржливост (CSRD) постепено се воведува на ниво на ЕУ, а италијанските котирани друштва се подготвуваат за известување усогласено со ESRS, како и за зајакнат надзор на одборите врз ризиците и стратегиите за одржливост, во согласност со принципот на „одржлив успех“ утврден во Кодексот за корпоративно управување.</w:t>
      </w:r>
    </w:p>
    <w:p w14:paraId="5ACE704F" w14:textId="5B24679E" w:rsidR="00B708B7" w:rsidRDefault="008B29E9" w:rsidP="00AE64A2">
      <w:pPr>
        <w:spacing w:before="240"/>
        <w:ind w:firstLine="478"/>
        <w:jc w:val="both"/>
        <w:rPr>
          <w:sz w:val="24"/>
          <w:szCs w:val="24"/>
          <w:lang w:val="en-US"/>
        </w:rPr>
      </w:pPr>
      <w:r w:rsidRPr="008B29E9">
        <w:rPr>
          <w:sz w:val="24"/>
          <w:szCs w:val="24"/>
          <w:lang w:val="mk-MK"/>
        </w:rPr>
        <w:t>За разлика од некои континентални системи, италијанското право не предвидува задолжителна кодетерминација на ниво на одбори во општите трговски друштва. Сепак, Уставот на Италијанската Република во член 46 го признава правото на работниците да соработуваат во управувањето со претпријатијата, „на начин и во граници утврдени со закон“. Историски, ова право се реализира претежно преку колективно договарање и консултативни механизми, а не преку учество во управувачките органи.</w:t>
      </w:r>
      <w:r w:rsidR="00A12F88">
        <w:rPr>
          <w:rStyle w:val="FootnoteReference"/>
          <w:sz w:val="24"/>
          <w:szCs w:val="24"/>
          <w:lang w:val="mk-MK"/>
        </w:rPr>
        <w:footnoteReference w:id="676"/>
      </w:r>
      <w:r w:rsidR="00A12F88">
        <w:rPr>
          <w:sz w:val="24"/>
          <w:szCs w:val="24"/>
          <w:lang w:val="mk-MK"/>
        </w:rPr>
        <w:t xml:space="preserve"> </w:t>
      </w:r>
      <w:r w:rsidR="00A12F88" w:rsidRPr="00A12F88">
        <w:rPr>
          <w:sz w:val="24"/>
          <w:szCs w:val="24"/>
          <w:lang w:val="mk-MK"/>
        </w:rPr>
        <w:t>Правата на информирање и консултирање, произлезени од правото на ЕУ, се транспонирани со Законскиот декрет бр. 25/2007,</w:t>
      </w:r>
      <w:r w:rsidR="00A12F88">
        <w:rPr>
          <w:rStyle w:val="FootnoteReference"/>
          <w:sz w:val="24"/>
          <w:szCs w:val="24"/>
          <w:lang w:val="mk-MK"/>
        </w:rPr>
        <w:footnoteReference w:id="677"/>
      </w:r>
      <w:r w:rsidR="00A12F88" w:rsidRPr="00A12F88">
        <w:rPr>
          <w:sz w:val="24"/>
          <w:szCs w:val="24"/>
          <w:lang w:val="mk-MK"/>
        </w:rPr>
        <w:t xml:space="preserve"> додека прекуграничните механизми за учество се овозможени преку европските работнички совети и режимот за вклучување на вработените во Европското друштво (SE).</w:t>
      </w:r>
    </w:p>
    <w:p w14:paraId="0D21CD12" w14:textId="4ED349B2" w:rsidR="00F9547E" w:rsidRDefault="00F9547E" w:rsidP="00AE64A2">
      <w:pPr>
        <w:spacing w:before="240"/>
        <w:ind w:firstLine="478"/>
        <w:jc w:val="both"/>
        <w:rPr>
          <w:sz w:val="24"/>
          <w:szCs w:val="24"/>
          <w:lang w:val="mk-MK"/>
        </w:rPr>
      </w:pPr>
      <w:r w:rsidRPr="00F9547E">
        <w:rPr>
          <w:sz w:val="24"/>
          <w:szCs w:val="24"/>
          <w:lang w:val="mk-MK"/>
        </w:rPr>
        <w:t>На ниво на претпријатие, работничкиот глас најчесто се остварува преку синдикално засновани структури</w:t>
      </w:r>
      <w:r w:rsidR="00033780">
        <w:rPr>
          <w:sz w:val="24"/>
          <w:szCs w:val="24"/>
          <w:lang w:val="mk-MK"/>
        </w:rPr>
        <w:t xml:space="preserve">, </w:t>
      </w:r>
      <w:r w:rsidR="00CB185E">
        <w:rPr>
          <w:sz w:val="24"/>
          <w:szCs w:val="24"/>
          <w:lang w:val="mk-MK"/>
        </w:rPr>
        <w:t>како</w:t>
      </w:r>
      <w:r w:rsidRPr="00F9547E">
        <w:rPr>
          <w:sz w:val="24"/>
          <w:szCs w:val="24"/>
          <w:lang w:val="mk-MK"/>
        </w:rPr>
        <w:t xml:space="preserve"> Rappresentanze Sindacali Unitarie (RSU) или, каде што е применливо, Rappresentanze Sindacali Aziendali (RSA), како и преку заеднички комисии воспоставени со национални, секторски или претпријатиски колективни договори. Овие тела</w:t>
      </w:r>
      <w:r w:rsidR="00CB185E">
        <w:rPr>
          <w:sz w:val="24"/>
          <w:szCs w:val="24"/>
          <w:lang w:val="mk-MK"/>
        </w:rPr>
        <w:t xml:space="preserve"> го</w:t>
      </w:r>
      <w:r w:rsidRPr="00F9547E">
        <w:rPr>
          <w:sz w:val="24"/>
          <w:szCs w:val="24"/>
          <w:lang w:val="mk-MK"/>
        </w:rPr>
        <w:t xml:space="preserve"> претставуваат главниот канал за информирање, консултирање и, во одредени области, заедничко обликување на политики на работното место, особено во однос на обуката, организацијата на работата и безбедноста и здравјето при работа.</w:t>
      </w:r>
    </w:p>
    <w:p w14:paraId="7E2EF498" w14:textId="5FF72BE0" w:rsidR="009D183F" w:rsidRDefault="009D183F" w:rsidP="00AE64A2">
      <w:pPr>
        <w:spacing w:before="240"/>
        <w:ind w:firstLine="478"/>
        <w:jc w:val="both"/>
        <w:rPr>
          <w:sz w:val="24"/>
          <w:szCs w:val="24"/>
          <w:lang w:val="mk-MK"/>
        </w:rPr>
      </w:pPr>
      <w:r w:rsidRPr="009D183F">
        <w:rPr>
          <w:sz w:val="24"/>
          <w:szCs w:val="24"/>
          <w:lang w:val="mk-MK"/>
        </w:rPr>
        <w:t xml:space="preserve">Значаен развој </w:t>
      </w:r>
      <w:r w:rsidR="00AD3EE2">
        <w:rPr>
          <w:sz w:val="24"/>
          <w:szCs w:val="24"/>
          <w:lang w:val="mk-MK"/>
        </w:rPr>
        <w:t xml:space="preserve">во Италија </w:t>
      </w:r>
      <w:r w:rsidRPr="009D183F">
        <w:rPr>
          <w:sz w:val="24"/>
          <w:szCs w:val="24"/>
          <w:lang w:val="mk-MK"/>
        </w:rPr>
        <w:t>се случ</w:t>
      </w:r>
      <w:r w:rsidR="00AD3EE2">
        <w:rPr>
          <w:sz w:val="24"/>
          <w:szCs w:val="24"/>
          <w:lang w:val="mk-MK"/>
        </w:rPr>
        <w:t>ува</w:t>
      </w:r>
      <w:r w:rsidRPr="009D183F">
        <w:rPr>
          <w:sz w:val="24"/>
          <w:szCs w:val="24"/>
          <w:lang w:val="mk-MK"/>
        </w:rPr>
        <w:t xml:space="preserve"> во мај 2025 година со донесувањето на Законот бр. 76/2025 за учество на работниците, кој оперативно го разработува член 46 од Уставот. Законот дефинира повеќе канали на учество</w:t>
      </w:r>
      <w:r w:rsidR="00B36A6E">
        <w:rPr>
          <w:sz w:val="24"/>
          <w:szCs w:val="24"/>
          <w:lang w:val="mk-MK"/>
        </w:rPr>
        <w:t>, почнувајќи од</w:t>
      </w:r>
      <w:r w:rsidRPr="009D183F">
        <w:rPr>
          <w:sz w:val="24"/>
          <w:szCs w:val="24"/>
          <w:lang w:val="mk-MK"/>
        </w:rPr>
        <w:t xml:space="preserve"> економско</w:t>
      </w:r>
      <w:r w:rsidR="00B36A6E">
        <w:rPr>
          <w:sz w:val="24"/>
          <w:szCs w:val="24"/>
          <w:lang w:val="mk-MK"/>
        </w:rPr>
        <w:t xml:space="preserve">, односно </w:t>
      </w:r>
      <w:r w:rsidRPr="009D183F">
        <w:rPr>
          <w:sz w:val="24"/>
          <w:szCs w:val="24"/>
          <w:lang w:val="mk-MK"/>
        </w:rPr>
        <w:t>учество во добивката и финансиско учество, информативно и консултативно, организациско</w:t>
      </w:r>
      <w:r w:rsidR="005A6935">
        <w:rPr>
          <w:rStyle w:val="FootnoteReference"/>
          <w:sz w:val="24"/>
          <w:szCs w:val="24"/>
          <w:lang w:val="mk-MK"/>
        </w:rPr>
        <w:footnoteReference w:id="678"/>
      </w:r>
      <w:r w:rsidRPr="009D183F">
        <w:rPr>
          <w:sz w:val="24"/>
          <w:szCs w:val="24"/>
          <w:lang w:val="mk-MK"/>
        </w:rPr>
        <w:t xml:space="preserve"> и управувачко.</w:t>
      </w:r>
      <w:r w:rsidR="004246B5">
        <w:rPr>
          <w:rStyle w:val="FootnoteReference"/>
          <w:sz w:val="24"/>
          <w:szCs w:val="24"/>
          <w:lang w:val="mk-MK"/>
        </w:rPr>
        <w:footnoteReference w:id="679"/>
      </w:r>
      <w:r w:rsidRPr="009D183F">
        <w:rPr>
          <w:sz w:val="24"/>
          <w:szCs w:val="24"/>
          <w:lang w:val="mk-MK"/>
        </w:rPr>
        <w:t xml:space="preserve"> Законот во голема мера се потпира на колективното договарање и договорите на ниво на претпријатие, при што механизмите се прилагодуваат според големината и секторот на друштвото.</w:t>
      </w:r>
    </w:p>
    <w:p w14:paraId="44441140" w14:textId="243BD5DC" w:rsidR="00C73CC8" w:rsidRDefault="00C73CC8" w:rsidP="00AE64A2">
      <w:pPr>
        <w:spacing w:before="240"/>
        <w:ind w:firstLine="478"/>
        <w:jc w:val="both"/>
        <w:rPr>
          <w:sz w:val="24"/>
          <w:szCs w:val="24"/>
          <w:lang w:val="mk-MK"/>
        </w:rPr>
      </w:pPr>
      <w:r w:rsidRPr="00C73CC8">
        <w:rPr>
          <w:sz w:val="24"/>
          <w:szCs w:val="24"/>
          <w:lang w:val="mk-MK"/>
        </w:rPr>
        <w:t xml:space="preserve">Во практика, учеството на вработените во Италија и понатаму е концентрирано во синдикално посредуваните канали, додека учеството на ниво на одбори останува ограничено на специфични случаи, како што се кооперативите или прекуграничните корпоративни структури. Кодексот за корпоративно управување од 2020 година придонесе кон посилна ориентација на одборите кон засегнатите страни и одржливоста, додека Законскиот декрет 231/2001 и collegio sindacale продолжуваат да ја стабилизираат рамката на усогласеност и контрола. Ефикасноста на Законот бр. 76/2025 ќе зависи од способноста на секторското и претпријатиското колективно договарање да ги институционализира новите канали на учество и од начинот на кој компаниите ќе ги интегрираат со постојните управувачки механизми. Континуираното емпириско следење од страна на CONSOB и Министерството за труд ќе биде клучно за проценка на </w:t>
      </w:r>
      <w:r w:rsidRPr="00C73CC8">
        <w:rPr>
          <w:sz w:val="24"/>
          <w:szCs w:val="24"/>
          <w:lang w:val="mk-MK"/>
        </w:rPr>
        <w:lastRenderedPageBreak/>
        <w:t>влијанието врз транспарентноста, продуктивноста и ангажманот на работната сила на среден рок.</w:t>
      </w:r>
    </w:p>
    <w:p w14:paraId="120C6AFF" w14:textId="2D65C9FC" w:rsidR="00465253" w:rsidRDefault="006475BD" w:rsidP="00AE64A2">
      <w:pPr>
        <w:spacing w:before="240"/>
        <w:ind w:firstLine="478"/>
        <w:jc w:val="both"/>
        <w:rPr>
          <w:sz w:val="24"/>
          <w:szCs w:val="24"/>
          <w:lang w:val="mk-MK"/>
        </w:rPr>
      </w:pPr>
      <w:r w:rsidRPr="006475BD">
        <w:rPr>
          <w:sz w:val="24"/>
          <w:szCs w:val="24"/>
          <w:lang w:val="mk-MK"/>
        </w:rPr>
        <w:t xml:space="preserve">Во споредба </w:t>
      </w:r>
      <w:r>
        <w:rPr>
          <w:sz w:val="24"/>
          <w:szCs w:val="24"/>
          <w:lang w:val="mk-MK"/>
        </w:rPr>
        <w:t>со</w:t>
      </w:r>
      <w:r w:rsidRPr="006475BD">
        <w:rPr>
          <w:sz w:val="24"/>
          <w:szCs w:val="24"/>
          <w:lang w:val="mk-MK"/>
        </w:rPr>
        <w:t xml:space="preserve"> европските модели на корпоративно управување и учество на вработените, италијанскиот модел зазема посебно место, бидејќи претставува институционално конзистентен, но истовремено воздржан пристап кон формализирано учество на работниците во управувачките структури. За разлика од Германија и Холандија, каде што учеството на вработените е вградено директно во органите на управување преку задолжителна или квази</w:t>
      </w:r>
      <w:r w:rsidR="00C4606E">
        <w:rPr>
          <w:sz w:val="24"/>
          <w:szCs w:val="24"/>
          <w:lang w:val="mk-MK"/>
        </w:rPr>
        <w:t xml:space="preserve"> </w:t>
      </w:r>
      <w:r w:rsidRPr="006475BD">
        <w:rPr>
          <w:sz w:val="24"/>
          <w:szCs w:val="24"/>
          <w:lang w:val="mk-MK"/>
        </w:rPr>
        <w:t>задолжителна ко-детерминација, Италија историски се потпира на колективното договарање и синдикалното посредување како главен канал за работнички глас.</w:t>
      </w:r>
    </w:p>
    <w:p w14:paraId="7663FD60" w14:textId="6368A91E" w:rsidR="000C0C71" w:rsidRDefault="00310FA6" w:rsidP="00AE64A2">
      <w:pPr>
        <w:spacing w:before="240"/>
        <w:ind w:firstLine="478"/>
        <w:jc w:val="both"/>
        <w:rPr>
          <w:sz w:val="24"/>
          <w:szCs w:val="24"/>
          <w:lang w:val="mk-MK"/>
        </w:rPr>
      </w:pPr>
      <w:r>
        <w:rPr>
          <w:sz w:val="24"/>
          <w:szCs w:val="24"/>
          <w:lang w:val="mk-MK"/>
        </w:rPr>
        <w:t>Повторно е неопходно да се навратиме кон г</w:t>
      </w:r>
      <w:r w:rsidR="000C0C71" w:rsidRPr="000C0C71">
        <w:rPr>
          <w:sz w:val="24"/>
          <w:szCs w:val="24"/>
          <w:lang w:val="mk-MK"/>
        </w:rPr>
        <w:t>ерманскиот модел</w:t>
      </w:r>
      <w:r>
        <w:rPr>
          <w:sz w:val="24"/>
          <w:szCs w:val="24"/>
          <w:lang w:val="mk-MK"/>
        </w:rPr>
        <w:t xml:space="preserve"> и зошто тој</w:t>
      </w:r>
      <w:r w:rsidR="000C0C71" w:rsidRPr="000C0C71">
        <w:rPr>
          <w:sz w:val="24"/>
          <w:szCs w:val="24"/>
          <w:lang w:val="mk-MK"/>
        </w:rPr>
        <w:t xml:space="preserve"> претставува најразвиена форма на институционализирано учество на вработените. Таму, преку системот на двојно управување, вработените имаат законски загарантирани места во надзорниот одбор, а работничките совети функционираат како силни, автономни актери на ниво на претпријатие. Холандскиот „структурен режим“, иако помалку нормативно наметнат, сепак воспоставува значајно влијание на работничките совети врз составот и функционирањето на надзорниот орган, особено во големите компании. Во двата случаи, учеството на вработените не е оставено на добра волја на работодавачите, туку е резултат на јасни законски правила, поддржани со развиена култура на социјален дијалог и институционална доверба.</w:t>
      </w:r>
    </w:p>
    <w:p w14:paraId="6FC955EB" w14:textId="384F76E8" w:rsidR="00F740E9" w:rsidRDefault="00F740E9" w:rsidP="00AE64A2">
      <w:pPr>
        <w:spacing w:before="240"/>
        <w:ind w:firstLine="478"/>
        <w:jc w:val="both"/>
        <w:rPr>
          <w:sz w:val="24"/>
          <w:szCs w:val="24"/>
          <w:lang w:val="mk-MK"/>
        </w:rPr>
      </w:pPr>
      <w:r w:rsidRPr="00F740E9">
        <w:rPr>
          <w:sz w:val="24"/>
          <w:szCs w:val="24"/>
          <w:lang w:val="mk-MK"/>
        </w:rPr>
        <w:t>Италијанскиот модел, напротив, долго време се карактеризираше со јасно раздвојување помеѓу корпоративното управување и работничкото претставување. Иако Уставот на Италија уште во член 46 ја признава можноста работниците да соработуваат во управувањето со претпријатијата, ова уставно начело со децении остана претежно програмско. Практичната реализација се одвива</w:t>
      </w:r>
      <w:r w:rsidR="00E26CA1">
        <w:rPr>
          <w:sz w:val="24"/>
          <w:szCs w:val="24"/>
          <w:lang w:val="mk-MK"/>
        </w:rPr>
        <w:t>ла</w:t>
      </w:r>
      <w:r w:rsidRPr="00F740E9">
        <w:rPr>
          <w:sz w:val="24"/>
          <w:szCs w:val="24"/>
          <w:lang w:val="mk-MK"/>
        </w:rPr>
        <w:t xml:space="preserve"> преку синдикални структури на ниво на работно место, преку информации, консултации и ко-дизајн на одредени политики, но без директно присуство во управните или надзорните одбори. Новиот Закон за учество на работниците од 2025 година претставува важен пресврт, но и понатаму задржува овозможувачки, а не задолжителен карактер, при што клучната улога ѝ се доделува на колективната преговарачка моќ.</w:t>
      </w:r>
      <w:r w:rsidR="00FC0438">
        <w:rPr>
          <w:sz w:val="24"/>
          <w:szCs w:val="24"/>
          <w:lang w:val="mk-MK"/>
        </w:rPr>
        <w:t xml:space="preserve"> Во тој поглед, Италија е многу слична на Македонија и на државите од поранешна Југославија. </w:t>
      </w:r>
    </w:p>
    <w:p w14:paraId="76596E2F" w14:textId="197468B4" w:rsidR="00FC0438" w:rsidRDefault="00107208" w:rsidP="00AE64A2">
      <w:pPr>
        <w:spacing w:before="240"/>
        <w:ind w:firstLine="478"/>
        <w:jc w:val="both"/>
        <w:rPr>
          <w:sz w:val="24"/>
          <w:szCs w:val="24"/>
          <w:lang w:val="mk-MK"/>
        </w:rPr>
      </w:pPr>
      <w:r>
        <w:rPr>
          <w:sz w:val="24"/>
          <w:szCs w:val="24"/>
          <w:lang w:val="mk-MK"/>
        </w:rPr>
        <w:t>Сепак, в</w:t>
      </w:r>
      <w:r w:rsidRPr="00107208">
        <w:rPr>
          <w:sz w:val="24"/>
          <w:szCs w:val="24"/>
          <w:lang w:val="mk-MK"/>
        </w:rPr>
        <w:t xml:space="preserve">о однос </w:t>
      </w:r>
      <w:r>
        <w:rPr>
          <w:sz w:val="24"/>
          <w:szCs w:val="24"/>
          <w:lang w:val="mk-MK"/>
        </w:rPr>
        <w:t xml:space="preserve">на </w:t>
      </w:r>
      <w:r w:rsidRPr="00107208">
        <w:rPr>
          <w:sz w:val="24"/>
          <w:szCs w:val="24"/>
          <w:lang w:val="mk-MK"/>
        </w:rPr>
        <w:t xml:space="preserve">Србија, Словенија, Хрватска и Босна и Херцеговина, Италија нуди </w:t>
      </w:r>
      <w:r>
        <w:rPr>
          <w:sz w:val="24"/>
          <w:szCs w:val="24"/>
          <w:lang w:val="mk-MK"/>
        </w:rPr>
        <w:t xml:space="preserve">и </w:t>
      </w:r>
      <w:r w:rsidRPr="00107208">
        <w:rPr>
          <w:sz w:val="24"/>
          <w:szCs w:val="24"/>
          <w:lang w:val="mk-MK"/>
        </w:rPr>
        <w:t>поинаков пат. Додека во дел од овие држави постојат формални правила за учество на вработените во надзорни одбори, тие често остануваат слабо применети или симболични поради недоволна институционална поддршка и ограничена автономија на работничките претставници. Италијанскиот пример покажува дека и модел без задолжителна ко-детерминација може да функционира релативно стабилно, но само во услови на силни синдикати, развиени колективни договори и култура на правна усогласеност.</w:t>
      </w:r>
    </w:p>
    <w:p w14:paraId="34232911" w14:textId="09498F5F" w:rsidR="00583CAC" w:rsidRDefault="002B7F17" w:rsidP="00AE64A2">
      <w:pPr>
        <w:spacing w:before="240"/>
        <w:ind w:firstLine="478"/>
        <w:jc w:val="both"/>
        <w:rPr>
          <w:sz w:val="24"/>
          <w:szCs w:val="24"/>
          <w:lang w:val="mk-MK"/>
        </w:rPr>
      </w:pPr>
      <w:r>
        <w:rPr>
          <w:sz w:val="24"/>
          <w:szCs w:val="24"/>
          <w:lang w:val="mk-MK"/>
        </w:rPr>
        <w:t>Повторно, о</w:t>
      </w:r>
      <w:r w:rsidR="00583CAC" w:rsidRPr="00583CAC">
        <w:rPr>
          <w:sz w:val="24"/>
          <w:szCs w:val="24"/>
          <w:lang w:val="mk-MK"/>
        </w:rPr>
        <w:t>д перспектива на Македонија, клучната поука не е во механичко преземање на еден конкретен модел, туку во разбирање на институционалната логика што стои зад нив. Германскиот и холандскиот модел укажуваат дека ефективното учество на вработените бара јасни, правно обврзувачки правила и функционални претставнички тела на ниво на компанија. Италијанскиот модел, пак, покажува дека постепен пристап</w:t>
      </w:r>
      <w:r w:rsidR="00BD02E7">
        <w:rPr>
          <w:sz w:val="24"/>
          <w:szCs w:val="24"/>
          <w:lang w:val="mk-MK"/>
        </w:rPr>
        <w:t xml:space="preserve"> од неколку фази</w:t>
      </w:r>
      <w:r w:rsidR="00583CAC" w:rsidRPr="00583CAC">
        <w:rPr>
          <w:sz w:val="24"/>
          <w:szCs w:val="24"/>
          <w:lang w:val="mk-MK"/>
        </w:rPr>
        <w:t xml:space="preserve"> кој започнува со зајакнување на информациските и </w:t>
      </w:r>
      <w:r w:rsidR="00583CAC" w:rsidRPr="00583CAC">
        <w:rPr>
          <w:sz w:val="24"/>
          <w:szCs w:val="24"/>
          <w:lang w:val="mk-MK"/>
        </w:rPr>
        <w:lastRenderedPageBreak/>
        <w:t>консултативните права и нивно вградување во корпоративната култура, може да биде реалистичен пат за земји со послаби институционални капацитети.</w:t>
      </w:r>
      <w:r w:rsidR="00BD02E7">
        <w:rPr>
          <w:rStyle w:val="FootnoteReference"/>
          <w:sz w:val="24"/>
          <w:szCs w:val="24"/>
          <w:lang w:val="mk-MK"/>
        </w:rPr>
        <w:footnoteReference w:id="680"/>
      </w:r>
    </w:p>
    <w:p w14:paraId="603EA8D3" w14:textId="790E9BC5" w:rsidR="002B7F17" w:rsidRDefault="002B7F17" w:rsidP="00AE64A2">
      <w:pPr>
        <w:spacing w:before="240"/>
        <w:ind w:firstLine="478"/>
        <w:jc w:val="both"/>
        <w:rPr>
          <w:sz w:val="24"/>
          <w:szCs w:val="24"/>
          <w:lang w:val="mk-MK"/>
        </w:rPr>
      </w:pPr>
      <w:r w:rsidRPr="002B7F17">
        <w:rPr>
          <w:sz w:val="24"/>
          <w:szCs w:val="24"/>
          <w:lang w:val="mk-MK"/>
        </w:rPr>
        <w:t>За Македонија, ова значи дека реформите во корпоративното управување и учеството на вработените треба да се движат во три насоки. Прво, потребно е суштинско зајакнување на работничкото претставување на ниво на претпријатие, не само формално, туку преку реални надлежности и заштита од притисоци. Второ, неопходно е појасно раздвојување и професионализација на надзорните функции, по примерот на италијанскиот collegio sindacale, со цел да се зајакне правната сигурност и довербата во корпоративните структури. Трето, законодавството треба да создаде простор за еволутивно воведување на подлабоки форми на учество, поврзани со големината на компанијата, сопственичката структура и зрелоста на социјалниот дијалог.</w:t>
      </w:r>
    </w:p>
    <w:p w14:paraId="52020B35" w14:textId="00A0736B" w:rsidR="001C3FF6" w:rsidRDefault="00BF3564" w:rsidP="00AE64A2">
      <w:pPr>
        <w:spacing w:before="240"/>
        <w:ind w:firstLine="478"/>
        <w:jc w:val="both"/>
        <w:rPr>
          <w:sz w:val="24"/>
          <w:szCs w:val="24"/>
          <w:lang w:val="mk-MK"/>
        </w:rPr>
      </w:pPr>
      <w:r w:rsidRPr="00BF3564">
        <w:rPr>
          <w:sz w:val="24"/>
          <w:szCs w:val="24"/>
          <w:lang w:val="mk-MK"/>
        </w:rPr>
        <w:t>Овие наоди не се само теоретски. Во периодот од 15.09.2025 до 31.12.2025 година престојував на Европскиот универзитетски институт во Фиренца, каде што, преку интервјуа со професори и истражувачи и под менторство на професорот Антон Хемеријк, детално ги анализирав италијанскиот, германскиот и холандскиот модел на корпоративно управување и работничко учество. Истражувањето на терен и академските дискусии јасно ја потврдија разликата помеѓу „правото на хартија“ и живата практика, но и фактот дека таму каде што институциите се стабилни, практиката навистина во голема мера го следи законодавниот дизајн.</w:t>
      </w:r>
    </w:p>
    <w:p w14:paraId="54E70946" w14:textId="1AA94237" w:rsidR="00A257D3" w:rsidRDefault="004549F2" w:rsidP="00AE64A2">
      <w:pPr>
        <w:spacing w:before="240"/>
        <w:ind w:firstLine="478"/>
        <w:jc w:val="both"/>
        <w:rPr>
          <w:sz w:val="24"/>
          <w:szCs w:val="24"/>
          <w:lang w:val="mk-MK"/>
        </w:rPr>
      </w:pPr>
      <w:r w:rsidRPr="004549F2">
        <w:rPr>
          <w:sz w:val="24"/>
          <w:szCs w:val="24"/>
          <w:lang w:val="mk-MK"/>
        </w:rPr>
        <w:t>Оттука, италијанското искуство може да послужи како важна појдовна точка за Македонија: не како крајна цел, туку како пример за тоа како уставните и законските принципи можат постепено да се претвораат во функционални механизми, доколку се поддржани со социјален дијалог, институционална доверба и конзистентна примена на правото.</w:t>
      </w:r>
    </w:p>
    <w:p w14:paraId="4AD696D4" w14:textId="689F02F6" w:rsidR="00066B87" w:rsidRPr="006475BD" w:rsidRDefault="00066B87" w:rsidP="00AE64A2">
      <w:pPr>
        <w:spacing w:before="240"/>
        <w:ind w:firstLine="478"/>
        <w:jc w:val="both"/>
        <w:rPr>
          <w:sz w:val="24"/>
          <w:szCs w:val="24"/>
          <w:lang w:val="mk-MK"/>
        </w:rPr>
      </w:pPr>
      <w:r w:rsidRPr="00066B87">
        <w:rPr>
          <w:sz w:val="24"/>
          <w:szCs w:val="24"/>
          <w:lang w:val="mk-MK"/>
        </w:rPr>
        <w:t xml:space="preserve">По разгледувањето на италијанскиот модел, логично е компаративната анализа да продолжи кон Полска, но по сосема различна аналитичка линија. Додека Италија претставува пример на јужноевропски систем во кој учеството на вработените е историски </w:t>
      </w:r>
      <w:r w:rsidR="00846A6B">
        <w:rPr>
          <w:sz w:val="24"/>
          <w:szCs w:val="24"/>
          <w:lang w:val="mk-MK"/>
        </w:rPr>
        <w:t>прилепувано</w:t>
      </w:r>
      <w:r w:rsidRPr="00066B87">
        <w:rPr>
          <w:sz w:val="24"/>
          <w:szCs w:val="24"/>
          <w:lang w:val="mk-MK"/>
        </w:rPr>
        <w:t xml:space="preserve"> преку синдикати и колективно договарање, со ограничена вграденост во органите на корпоративно управување, Полска нуди увид во постсоцијалистичка траекторија на трансформација, каде што формалните механизми на работничко претставување се задржани или реинтерпретирани во услови на брза приватизација, странски капитал и силно пазарно ориентирани реформи. Преминот кон Полска овозможува да се испита како моделите на учество на вработените функционираат во контекст на институционал</w:t>
      </w:r>
      <w:r w:rsidR="002E6DD3">
        <w:rPr>
          <w:sz w:val="24"/>
          <w:szCs w:val="24"/>
          <w:lang w:val="mk-MK"/>
        </w:rPr>
        <w:t>ен</w:t>
      </w:r>
      <w:r w:rsidRPr="00066B87">
        <w:rPr>
          <w:sz w:val="24"/>
          <w:szCs w:val="24"/>
          <w:lang w:val="mk-MK"/>
        </w:rPr>
        <w:t xml:space="preserve"> дисконтинуитет и европеизација, и дали, за разлика од италијанскиот постепен и договорно ориентиран пристап, тие водат кон посилно формално учество или, пак, кон негово маргинализирање во пракса. Оваа споредба е особено релевантна за Македонија, бидејќи ја отвора дилемата дали транзициските економии треба да се потпрат на синдикално посредувани модели или да развиваат нови, хибридни форми на учество, прилагодени на услови на отворени пазари и доминантно странско сопствеништво.</w:t>
      </w:r>
    </w:p>
    <w:p w14:paraId="1109ED7D" w14:textId="27CA84A0" w:rsidR="004F3B84" w:rsidRPr="00BB3AF8" w:rsidRDefault="00293BE1" w:rsidP="00533E2B">
      <w:pPr>
        <w:spacing w:before="240" w:after="240"/>
        <w:ind w:firstLine="478"/>
        <w:jc w:val="both"/>
        <w:rPr>
          <w:sz w:val="24"/>
          <w:szCs w:val="24"/>
          <w:lang w:val="en-US"/>
        </w:rPr>
      </w:pPr>
      <w:r>
        <w:rPr>
          <w:sz w:val="24"/>
          <w:szCs w:val="24"/>
          <w:lang w:val="mk-MK"/>
        </w:rPr>
        <w:t xml:space="preserve">Конечно, </w:t>
      </w:r>
      <w:r w:rsidR="004F3B84">
        <w:rPr>
          <w:sz w:val="24"/>
          <w:szCs w:val="24"/>
          <w:lang w:val="mk-MK"/>
        </w:rPr>
        <w:t>з</w:t>
      </w:r>
      <w:r w:rsidR="004F3B84" w:rsidRPr="004F3B84">
        <w:rPr>
          <w:sz w:val="24"/>
          <w:szCs w:val="24"/>
          <w:lang w:val="mk-MK"/>
        </w:rPr>
        <w:t>а разлика од</w:t>
      </w:r>
      <w:r>
        <w:rPr>
          <w:sz w:val="24"/>
          <w:szCs w:val="24"/>
          <w:lang w:val="mk-MK"/>
        </w:rPr>
        <w:t xml:space="preserve"> Германија и</w:t>
      </w:r>
      <w:r w:rsidR="004F3B84" w:rsidRPr="004F3B84">
        <w:rPr>
          <w:sz w:val="24"/>
          <w:szCs w:val="24"/>
          <w:lang w:val="mk-MK"/>
        </w:rPr>
        <w:t xml:space="preserve"> Холандија, Полска претставува постсоцијалистичка држава членка на Европската унија, со историски различно разбирање на работничкото учество и со значително поизразени тензии </w:t>
      </w:r>
      <w:r w:rsidR="00AF7DD5">
        <w:rPr>
          <w:sz w:val="24"/>
          <w:szCs w:val="24"/>
          <w:lang w:val="mk-MK"/>
        </w:rPr>
        <w:t>по</w:t>
      </w:r>
      <w:r w:rsidR="004F3B84" w:rsidRPr="004F3B84">
        <w:rPr>
          <w:sz w:val="24"/>
          <w:szCs w:val="24"/>
          <w:lang w:val="mk-MK"/>
        </w:rPr>
        <w:t xml:space="preserve">меѓу </w:t>
      </w:r>
      <w:r w:rsidR="004F3B84" w:rsidRPr="004F3B84">
        <w:rPr>
          <w:sz w:val="24"/>
          <w:szCs w:val="24"/>
          <w:lang w:val="mk-MK"/>
        </w:rPr>
        <w:lastRenderedPageBreak/>
        <w:t>формалното транспонирање на европското право и неговата практична примена. Анализата на полскиот модел овозможува да се испита дали и во која мера слични правни инструменти можат да произведат различни ефекти во зависност од институционалната култура, синдикалната традиција и економската структура, што е особено релевантно за Македонија како земја кандидат за членство во Европската унија.</w:t>
      </w:r>
    </w:p>
    <w:p w14:paraId="146454D3" w14:textId="785A285F" w:rsidR="00066B87" w:rsidRPr="00A6193C" w:rsidRDefault="004708C8" w:rsidP="009330C0">
      <w:pPr>
        <w:pStyle w:val="Heading1"/>
        <w:numPr>
          <w:ilvl w:val="0"/>
          <w:numId w:val="7"/>
        </w:numPr>
        <w:jc w:val="both"/>
      </w:pPr>
      <w:bookmarkStart w:id="75" w:name="_Toc230523928"/>
      <w:r>
        <w:rPr>
          <w:lang w:val="mk-MK"/>
        </w:rPr>
        <w:t>Специфичната</w:t>
      </w:r>
      <w:r w:rsidR="00066B87" w:rsidRPr="000D5138">
        <w:rPr>
          <w:lang w:val="mk-MK"/>
        </w:rPr>
        <w:t xml:space="preserve"> </w:t>
      </w:r>
      <w:r w:rsidR="00BB3AF8" w:rsidRPr="00BB3AF8">
        <w:rPr>
          <w:lang w:val="mk-MK"/>
        </w:rPr>
        <w:t xml:space="preserve">архитектура </w:t>
      </w:r>
      <w:r w:rsidR="00BB3AF8">
        <w:rPr>
          <w:lang w:val="mk-MK"/>
        </w:rPr>
        <w:t>по</w:t>
      </w:r>
      <w:r w:rsidR="00BB3AF8" w:rsidRPr="00BB3AF8">
        <w:rPr>
          <w:lang w:val="mk-MK"/>
        </w:rPr>
        <w:t>меѓу право</w:t>
      </w:r>
      <w:r w:rsidR="00BB3AF8">
        <w:rPr>
          <w:lang w:val="mk-MK"/>
        </w:rPr>
        <w:t>то</w:t>
      </w:r>
      <w:r w:rsidR="00BB3AF8" w:rsidRPr="00BB3AF8">
        <w:rPr>
          <w:lang w:val="mk-MK"/>
        </w:rPr>
        <w:t xml:space="preserve"> и практика</w:t>
      </w:r>
      <w:r w:rsidR="00BB3AF8">
        <w:rPr>
          <w:lang w:val="mk-MK"/>
        </w:rPr>
        <w:t>та во Полска</w:t>
      </w:r>
      <w:bookmarkEnd w:id="75"/>
    </w:p>
    <w:p w14:paraId="030A032A" w14:textId="15715C58" w:rsidR="00AF7DD5" w:rsidRDefault="00AD722F" w:rsidP="00AD722F">
      <w:pPr>
        <w:spacing w:before="240"/>
        <w:ind w:firstLine="478"/>
        <w:jc w:val="both"/>
        <w:rPr>
          <w:sz w:val="24"/>
          <w:szCs w:val="24"/>
          <w:lang w:val="en-US"/>
        </w:rPr>
      </w:pPr>
      <w:r w:rsidRPr="00AD722F">
        <w:rPr>
          <w:sz w:val="24"/>
          <w:szCs w:val="24"/>
          <w:lang w:val="mk-MK"/>
        </w:rPr>
        <w:t>Полскиот систем на корпоративно управување е втемелен во континенталната, граѓанско-правна традиција и е примарно структуриран преку Законот за трговски друштва,</w:t>
      </w:r>
      <w:r w:rsidR="003860E4">
        <w:rPr>
          <w:rStyle w:val="FootnoteReference"/>
          <w:sz w:val="24"/>
          <w:szCs w:val="24"/>
          <w:lang w:val="mk-MK"/>
        </w:rPr>
        <w:footnoteReference w:id="681"/>
      </w:r>
      <w:r w:rsidRPr="00AD722F">
        <w:rPr>
          <w:sz w:val="24"/>
          <w:szCs w:val="24"/>
          <w:lang w:val="mk-MK"/>
        </w:rPr>
        <w:t xml:space="preserve"> надополнет со секторски правила и со „меко право“ од пазарите на капитал, особено преку Кодексот на добра практика на Варшавската берза за котирани друштва.</w:t>
      </w:r>
      <w:r w:rsidR="00BB3AF8">
        <w:rPr>
          <w:sz w:val="24"/>
          <w:szCs w:val="24"/>
          <w:lang w:val="mk-MK"/>
        </w:rPr>
        <w:t xml:space="preserve"> </w:t>
      </w:r>
      <w:r>
        <w:rPr>
          <w:sz w:val="24"/>
          <w:szCs w:val="24"/>
          <w:lang w:val="mk-MK"/>
        </w:rPr>
        <w:t xml:space="preserve"> </w:t>
      </w:r>
    </w:p>
    <w:p w14:paraId="48E78D26" w14:textId="3CBBD3F2" w:rsidR="00E447DA" w:rsidRDefault="00E447DA" w:rsidP="00AD722F">
      <w:pPr>
        <w:spacing w:before="240"/>
        <w:ind w:firstLine="478"/>
        <w:jc w:val="both"/>
        <w:rPr>
          <w:sz w:val="24"/>
          <w:szCs w:val="24"/>
          <w:lang w:val="mk-MK"/>
        </w:rPr>
      </w:pPr>
      <w:r w:rsidRPr="00E447DA">
        <w:rPr>
          <w:sz w:val="24"/>
          <w:szCs w:val="24"/>
          <w:lang w:val="mk-MK"/>
        </w:rPr>
        <w:t>Учество</w:t>
      </w:r>
      <w:r>
        <w:rPr>
          <w:sz w:val="24"/>
          <w:szCs w:val="24"/>
          <w:lang w:val="mk-MK"/>
        </w:rPr>
        <w:t>то</w:t>
      </w:r>
      <w:r w:rsidRPr="00E447DA">
        <w:rPr>
          <w:sz w:val="24"/>
          <w:szCs w:val="24"/>
          <w:lang w:val="mk-MK"/>
        </w:rPr>
        <w:t xml:space="preserve"> на вработените во корпоративното одлучување во Полска е нерамномерно и фрагментирано. Формални механизми за информирање и консултирање постојат, вклучително и закон од 2006 година со кој се транспонира директивата на ЕУ за информирање и консултирање на вработените. Дополнително, одредени категории на компании, особено оние настанати од трансформација на државна</w:t>
      </w:r>
      <w:r w:rsidR="00AC51EF">
        <w:rPr>
          <w:sz w:val="24"/>
          <w:szCs w:val="24"/>
          <w:lang w:val="mk-MK"/>
        </w:rPr>
        <w:t>та</w:t>
      </w:r>
      <w:r w:rsidRPr="00E447DA">
        <w:rPr>
          <w:sz w:val="24"/>
          <w:szCs w:val="24"/>
          <w:lang w:val="mk-MK"/>
        </w:rPr>
        <w:t xml:space="preserve"> сопственост, се должни да вклучат претставници на вработените во надзорните органи. Сепак, во секојдневната практика, учеството на вработените е речиси целосно медијирано преку синдикати и колективно договарање, додека структурите на работнички совети на ниво на претпријатие се релативно ретки.</w:t>
      </w:r>
    </w:p>
    <w:p w14:paraId="6BB60B48" w14:textId="29402EF3" w:rsidR="00600E2B" w:rsidRPr="00E447DA" w:rsidRDefault="00600E2B" w:rsidP="00AD722F">
      <w:pPr>
        <w:spacing w:before="240"/>
        <w:ind w:firstLine="478"/>
        <w:jc w:val="both"/>
        <w:rPr>
          <w:sz w:val="24"/>
          <w:szCs w:val="24"/>
          <w:lang w:val="mk-MK"/>
        </w:rPr>
      </w:pPr>
      <w:r w:rsidRPr="00600E2B">
        <w:rPr>
          <w:sz w:val="24"/>
          <w:szCs w:val="24"/>
          <w:lang w:val="mk-MK"/>
        </w:rPr>
        <w:t xml:space="preserve">Темелот на полското корпоративно право е Законот за трговски друштва од 15.09.2000 година, кој ја уредува внатрешната организација на капиталските друштва, управниот одбор, надзорниот одбор и собранието на акционери, како и основните должности и одговорности на корпоративните органи. Законот овозможува примена и на дуалистички модел </w:t>
      </w:r>
      <w:r>
        <w:rPr>
          <w:sz w:val="24"/>
          <w:szCs w:val="24"/>
          <w:lang w:val="mk-MK"/>
        </w:rPr>
        <w:t xml:space="preserve">со </w:t>
      </w:r>
      <w:r w:rsidRPr="00600E2B">
        <w:rPr>
          <w:sz w:val="24"/>
          <w:szCs w:val="24"/>
          <w:lang w:val="mk-MK"/>
        </w:rPr>
        <w:t>управен и надзорен одбор и на монистички модел на управување кај акционерските друштва, а поновите измени вовед</w:t>
      </w:r>
      <w:r w:rsidR="00EF2553">
        <w:rPr>
          <w:sz w:val="24"/>
          <w:szCs w:val="24"/>
          <w:lang w:val="mk-MK"/>
        </w:rPr>
        <w:t>уваат</w:t>
      </w:r>
      <w:r w:rsidRPr="00600E2B">
        <w:rPr>
          <w:sz w:val="24"/>
          <w:szCs w:val="24"/>
          <w:lang w:val="mk-MK"/>
        </w:rPr>
        <w:t xml:space="preserve"> и елементи на модернизација, како правила слични на business judgment rule и посебни одредби за управување со групи на друштва.</w:t>
      </w:r>
    </w:p>
    <w:p w14:paraId="1656FB33" w14:textId="498630E8" w:rsidR="005F53FB" w:rsidRDefault="00E22105" w:rsidP="00AD722F">
      <w:pPr>
        <w:spacing w:before="240"/>
        <w:ind w:firstLine="478"/>
        <w:jc w:val="both"/>
        <w:rPr>
          <w:sz w:val="24"/>
          <w:szCs w:val="24"/>
          <w:lang w:val="mk-MK"/>
        </w:rPr>
      </w:pPr>
      <w:r w:rsidRPr="00E22105">
        <w:rPr>
          <w:sz w:val="24"/>
          <w:szCs w:val="24"/>
          <w:lang w:val="mk-MK"/>
        </w:rPr>
        <w:t xml:space="preserve">Правилата слични на business judgment rule значат дека одговорноста на членовите на управните и надзорните органи не се врзува автоматски за исходот на нивните одлуки, туку за начинот на кој тие одлуки се донесени. Наместо да се прашува дали одлуката била „точна“ од економска перспектива, фокусот е ставен на тоа дали органите постапувале </w:t>
      </w:r>
      <w:r w:rsidR="0027161F">
        <w:rPr>
          <w:sz w:val="24"/>
          <w:szCs w:val="24"/>
          <w:lang w:val="mk-MK"/>
        </w:rPr>
        <w:t>в</w:t>
      </w:r>
      <w:r w:rsidRPr="00E22105">
        <w:rPr>
          <w:sz w:val="24"/>
          <w:szCs w:val="24"/>
          <w:lang w:val="mk-MK"/>
        </w:rPr>
        <w:t>о добра вер</w:t>
      </w:r>
      <w:r w:rsidR="0027161F">
        <w:rPr>
          <w:sz w:val="24"/>
          <w:szCs w:val="24"/>
          <w:lang w:val="mk-MK"/>
        </w:rPr>
        <w:t>б</w:t>
      </w:r>
      <w:r w:rsidRPr="00E22105">
        <w:rPr>
          <w:sz w:val="24"/>
          <w:szCs w:val="24"/>
          <w:lang w:val="mk-MK"/>
        </w:rPr>
        <w:t>а, дали биле соодветно информирани и дали немале личен интерес или конфликт. Ако овие услови се исполнети, директорите не сносат одговорност дури и кога одлуката подоцна се покажала како неуспешна. Целта на ваквиот пристап е да се избегне дефанзивно управување и страв од лична одговорност, кои често ги тераат управите да избегнуваат ризик и да носат формално „безбедни“, но економски неамбициозни одлуки.</w:t>
      </w:r>
    </w:p>
    <w:p w14:paraId="28DFA9F6" w14:textId="130ED6CF" w:rsidR="0027161F" w:rsidRDefault="007E4211" w:rsidP="00AD722F">
      <w:pPr>
        <w:spacing w:before="240"/>
        <w:ind w:firstLine="478"/>
        <w:jc w:val="both"/>
        <w:rPr>
          <w:sz w:val="24"/>
          <w:szCs w:val="24"/>
          <w:lang w:val="mk-MK"/>
        </w:rPr>
      </w:pPr>
      <w:r w:rsidRPr="007E4211">
        <w:rPr>
          <w:sz w:val="24"/>
          <w:szCs w:val="24"/>
          <w:lang w:val="mk-MK"/>
        </w:rPr>
        <w:t xml:space="preserve">Во полскиот контекст, овие правила не се преземени како класичен англосаксонски институт, туку како функционален еквивалент вграден во континенталното корпоративно право. Законот експлицитно дозволува судовите да ја оценуваат одлуката според разумноста на процесот на одлучување во моментот кога таа била донесена, а не според подоцнежните резултати. Така, управните органи се заштитени кога можеле </w:t>
      </w:r>
      <w:r w:rsidRPr="007E4211">
        <w:rPr>
          <w:sz w:val="24"/>
          <w:szCs w:val="24"/>
          <w:lang w:val="mk-MK"/>
        </w:rPr>
        <w:lastRenderedPageBreak/>
        <w:t>оправдано да веруваат дека дејствуваат во интерес на друштвото, врз основа на достапните информации и стручни проценки, без злоупотреба или несовесност.</w:t>
      </w:r>
      <w:r>
        <w:rPr>
          <w:rStyle w:val="FootnoteReference"/>
          <w:sz w:val="24"/>
          <w:szCs w:val="24"/>
          <w:lang w:val="mk-MK"/>
        </w:rPr>
        <w:footnoteReference w:id="682"/>
      </w:r>
    </w:p>
    <w:p w14:paraId="35602975" w14:textId="1B49A0D1" w:rsidR="0052624C" w:rsidRDefault="0052624C" w:rsidP="00AD722F">
      <w:pPr>
        <w:spacing w:before="240"/>
        <w:ind w:firstLine="478"/>
        <w:jc w:val="both"/>
        <w:rPr>
          <w:sz w:val="24"/>
          <w:szCs w:val="24"/>
          <w:lang w:val="mk-MK"/>
        </w:rPr>
      </w:pPr>
      <w:r w:rsidRPr="0052624C">
        <w:rPr>
          <w:sz w:val="24"/>
          <w:szCs w:val="24"/>
          <w:lang w:val="mk-MK"/>
        </w:rPr>
        <w:t>Посебните одредби за управување со групи на друштва се однесуваат на правното признавање на фактот дека многу компании функционираат како дел од пошироки корпоративни групи, во кои економската логика и стратешките одлуки се формираат на ниво на групата, а не на поединечното друштво. Класичното корпоративно право поаѓа од претпоставката дека секое друштво има сопствен, автономен интерес и дека управата мора да дејствува исклучиво во тој интерес. Во групни структури, ова правило често е во судир со реалноста, бидејќи зависните друштва се очекува да следат стратегија што е корисна за групата како целина, дури и ако краткорочно не е оптимална за нив самите.</w:t>
      </w:r>
    </w:p>
    <w:p w14:paraId="2BEE9ACA" w14:textId="1F74D551" w:rsidR="00170DA0" w:rsidRDefault="00170DA0" w:rsidP="00AD722F">
      <w:pPr>
        <w:spacing w:before="240"/>
        <w:ind w:firstLine="478"/>
        <w:jc w:val="both"/>
        <w:rPr>
          <w:sz w:val="24"/>
          <w:szCs w:val="24"/>
          <w:lang w:val="mk-MK"/>
        </w:rPr>
      </w:pPr>
      <w:r w:rsidRPr="00170DA0">
        <w:rPr>
          <w:sz w:val="24"/>
          <w:szCs w:val="24"/>
          <w:lang w:val="mk-MK"/>
        </w:rPr>
        <w:t>Со воведувањето на посебни правила за групи на друштва, полското право признава дека постои легитимен „интерес на групата“ и создава рамка во која матичното друштво може да дава насоки, а управата на зависното друштво може да ги следи тие насоки без автоматски да се смета дека го прекршува својот фидуцијарен долг. Истовремено, ваквите одредби поставуваат услови и заштитни механизми, особено во однос на малцинските акционери и доверителите, за да се спречи злоупотреба на групната моќ.</w:t>
      </w:r>
      <w:r w:rsidR="00166A53">
        <w:rPr>
          <w:rStyle w:val="FootnoteReference"/>
          <w:sz w:val="24"/>
          <w:szCs w:val="24"/>
          <w:lang w:val="mk-MK"/>
        </w:rPr>
        <w:footnoteReference w:id="683"/>
      </w:r>
      <w:r w:rsidRPr="00170DA0">
        <w:rPr>
          <w:sz w:val="24"/>
          <w:szCs w:val="24"/>
          <w:lang w:val="mk-MK"/>
        </w:rPr>
        <w:t xml:space="preserve"> На тој начин, правото се обидува да воспостави рамнотежа меѓу економската реалност на корпоративните групи и класичните принципи на автономија и одговорност на поединечното друштво.</w:t>
      </w:r>
      <w:r w:rsidR="00166A53">
        <w:rPr>
          <w:rStyle w:val="FootnoteReference"/>
          <w:sz w:val="24"/>
          <w:szCs w:val="24"/>
          <w:lang w:val="mk-MK"/>
        </w:rPr>
        <w:footnoteReference w:id="684"/>
      </w:r>
    </w:p>
    <w:p w14:paraId="10B36C9D" w14:textId="6704C570" w:rsidR="00F535A1" w:rsidRDefault="00F535A1" w:rsidP="00AD722F">
      <w:pPr>
        <w:spacing w:before="240"/>
        <w:ind w:firstLine="478"/>
        <w:jc w:val="both"/>
        <w:rPr>
          <w:sz w:val="24"/>
          <w:szCs w:val="24"/>
          <w:lang w:val="mk-MK"/>
        </w:rPr>
      </w:pPr>
      <w:r>
        <w:rPr>
          <w:sz w:val="24"/>
          <w:szCs w:val="24"/>
          <w:lang w:val="mk-MK"/>
        </w:rPr>
        <w:t>Во поглед на суштината н</w:t>
      </w:r>
      <w:r w:rsidRPr="00F535A1">
        <w:rPr>
          <w:sz w:val="24"/>
          <w:szCs w:val="24"/>
          <w:lang w:val="mk-MK"/>
        </w:rPr>
        <w:t>а ниво на трудово</w:t>
      </w:r>
      <w:r>
        <w:rPr>
          <w:sz w:val="24"/>
          <w:szCs w:val="24"/>
          <w:lang w:val="mk-MK"/>
        </w:rPr>
        <w:t>то</w:t>
      </w:r>
      <w:r w:rsidRPr="00F535A1">
        <w:rPr>
          <w:sz w:val="24"/>
          <w:szCs w:val="24"/>
          <w:lang w:val="mk-MK"/>
        </w:rPr>
        <w:t xml:space="preserve"> право, Полска ја транспонираше Директивата 2002/14/ЕЗ преку Законот од 7.04.2006 година за информирање и консултирање на вработените, со кој се воспоставува институцијата </w:t>
      </w:r>
      <w:r w:rsidRPr="00221175">
        <w:rPr>
          <w:i/>
          <w:iCs/>
          <w:sz w:val="24"/>
          <w:szCs w:val="24"/>
          <w:lang w:val="mk-MK"/>
        </w:rPr>
        <w:t>rada pracowników</w:t>
      </w:r>
      <w:r w:rsidR="00221175">
        <w:rPr>
          <w:sz w:val="24"/>
          <w:szCs w:val="24"/>
          <w:lang w:val="mk-MK"/>
        </w:rPr>
        <w:t xml:space="preserve">, што всушност значи </w:t>
      </w:r>
      <w:r w:rsidRPr="00F535A1">
        <w:rPr>
          <w:sz w:val="24"/>
          <w:szCs w:val="24"/>
          <w:lang w:val="mk-MK"/>
        </w:rPr>
        <w:t>работнички или совет на вработени</w:t>
      </w:r>
      <w:r w:rsidR="00221175">
        <w:rPr>
          <w:sz w:val="24"/>
          <w:szCs w:val="24"/>
          <w:lang w:val="mk-MK"/>
        </w:rPr>
        <w:t>,</w:t>
      </w:r>
      <w:r w:rsidRPr="00F535A1">
        <w:rPr>
          <w:sz w:val="24"/>
          <w:szCs w:val="24"/>
          <w:lang w:val="mk-MK"/>
        </w:rPr>
        <w:t xml:space="preserve"> во претпријатија со најмалку 50 вработени. Законот ги утврдува минималните правила за информирање, консултирање и избор на претставници. Дополнително, во националното право се инкорпорирани и правилата за европски работнички совети и учество на вработените во европски компании во прекугранични контексти.</w:t>
      </w:r>
    </w:p>
    <w:p w14:paraId="4FA60421" w14:textId="5C4ABF6E" w:rsidR="008A650A" w:rsidRDefault="00537F60" w:rsidP="00AD722F">
      <w:pPr>
        <w:spacing w:before="240"/>
        <w:ind w:firstLine="478"/>
        <w:jc w:val="both"/>
        <w:rPr>
          <w:sz w:val="24"/>
          <w:szCs w:val="24"/>
          <w:lang w:val="mk-MK"/>
        </w:rPr>
      </w:pPr>
      <w:r w:rsidRPr="00537F60">
        <w:rPr>
          <w:sz w:val="24"/>
          <w:szCs w:val="24"/>
          <w:lang w:val="mk-MK"/>
        </w:rPr>
        <w:t>Корпоративното управување кај котираните друштва е обликувано и од доброволниот Кодекс на добра практика на Варшавската берза, кој функционира врз принципот „примени или објасни“ и ги опфаќа прашањата на состав на одборите, комитети</w:t>
      </w:r>
      <w:r w:rsidR="00742E05">
        <w:rPr>
          <w:sz w:val="24"/>
          <w:szCs w:val="24"/>
          <w:lang w:val="mk-MK"/>
        </w:rPr>
        <w:t>те</w:t>
      </w:r>
      <w:r w:rsidRPr="00537F60">
        <w:rPr>
          <w:sz w:val="24"/>
          <w:szCs w:val="24"/>
          <w:lang w:val="mk-MK"/>
        </w:rPr>
        <w:t>, транспарентност</w:t>
      </w:r>
      <w:r w:rsidR="00742E05">
        <w:rPr>
          <w:sz w:val="24"/>
          <w:szCs w:val="24"/>
          <w:lang w:val="mk-MK"/>
        </w:rPr>
        <w:t>а</w:t>
      </w:r>
      <w:r w:rsidRPr="00537F60">
        <w:rPr>
          <w:sz w:val="24"/>
          <w:szCs w:val="24"/>
          <w:lang w:val="mk-MK"/>
        </w:rPr>
        <w:t xml:space="preserve"> и однос</w:t>
      </w:r>
      <w:r w:rsidR="00742E05">
        <w:rPr>
          <w:sz w:val="24"/>
          <w:szCs w:val="24"/>
          <w:lang w:val="mk-MK"/>
        </w:rPr>
        <w:t>от</w:t>
      </w:r>
      <w:r w:rsidRPr="00537F60">
        <w:rPr>
          <w:sz w:val="24"/>
          <w:szCs w:val="24"/>
          <w:lang w:val="mk-MK"/>
        </w:rPr>
        <w:t xml:space="preserve"> кон засегнатите страни. Кај државните и мешовитите друштва, управувањето е дополнително регулирано преку секторски правила и политики за управување со државната сопственост.</w:t>
      </w:r>
    </w:p>
    <w:p w14:paraId="228325DE" w14:textId="5ACFF009" w:rsidR="009C5331" w:rsidRDefault="009C5331" w:rsidP="006C3ED6">
      <w:pPr>
        <w:spacing w:before="240" w:after="240"/>
        <w:ind w:firstLine="478"/>
        <w:jc w:val="both"/>
        <w:rPr>
          <w:sz w:val="24"/>
          <w:szCs w:val="24"/>
          <w:lang w:val="mk-MK"/>
        </w:rPr>
      </w:pPr>
      <w:r w:rsidRPr="009C5331">
        <w:rPr>
          <w:sz w:val="24"/>
          <w:szCs w:val="24"/>
          <w:lang w:val="mk-MK"/>
        </w:rPr>
        <w:t>Законот од 2006 година создава правна можност за формирање работнички совети во компании со над 50 вработени и ја пропишува содржината и временската рамка на информирањето и консултирањето, особено во однос на економската состојба, изгледите за вработување и значајни организациски промени.</w:t>
      </w:r>
      <w:r w:rsidR="00EB2354">
        <w:rPr>
          <w:sz w:val="24"/>
          <w:szCs w:val="24"/>
          <w:lang w:val="mk-MK"/>
        </w:rPr>
        <w:t xml:space="preserve"> М</w:t>
      </w:r>
      <w:r w:rsidRPr="009C5331">
        <w:rPr>
          <w:sz w:val="24"/>
          <w:szCs w:val="24"/>
          <w:lang w:val="mk-MK"/>
        </w:rPr>
        <w:t>еѓутоа,</w:t>
      </w:r>
      <w:r w:rsidR="00EB2354">
        <w:rPr>
          <w:sz w:val="24"/>
          <w:szCs w:val="24"/>
          <w:lang w:val="mk-MK"/>
        </w:rPr>
        <w:t xml:space="preserve"> во реалноста</w:t>
      </w:r>
      <w:r w:rsidRPr="009C5331">
        <w:rPr>
          <w:sz w:val="24"/>
          <w:szCs w:val="24"/>
          <w:lang w:val="mk-MK"/>
        </w:rPr>
        <w:t xml:space="preserve"> примената на овие совети е ограничена. Многу компании се потпираат на синдикати или </w:t>
      </w:r>
      <w:r w:rsidRPr="009C5331">
        <w:rPr>
          <w:sz w:val="24"/>
          <w:szCs w:val="24"/>
          <w:lang w:val="mk-MK"/>
        </w:rPr>
        <w:lastRenderedPageBreak/>
        <w:t>на ад хок внатрешни договори, а анализите и официјалните извештаи укажуваат дека работничките совети се ретки и дека законот има ограничена практична ефикасност како инструмент на глас на вработените.</w:t>
      </w:r>
    </w:p>
    <w:p w14:paraId="304351BC" w14:textId="77777777" w:rsidR="005F5AA3" w:rsidRDefault="00CF0082" w:rsidP="006C3ED6">
      <w:pPr>
        <w:spacing w:before="240" w:after="240"/>
        <w:ind w:firstLine="478"/>
        <w:jc w:val="both"/>
        <w:rPr>
          <w:sz w:val="24"/>
          <w:szCs w:val="24"/>
          <w:lang w:val="mk-MK"/>
        </w:rPr>
      </w:pPr>
      <w:r w:rsidRPr="00CF0082">
        <w:rPr>
          <w:sz w:val="24"/>
          <w:szCs w:val="24"/>
          <w:lang w:val="mk-MK"/>
        </w:rPr>
        <w:t>Синдикатите остануваат примарниот институционален канал за претставување на вработените во Полска. По клучната улога на движењето „Солидарност“ во 1980-тите, синдикалната густина значително опадна</w:t>
      </w:r>
      <w:r w:rsidR="00FC0F11">
        <w:rPr>
          <w:sz w:val="24"/>
          <w:szCs w:val="24"/>
          <w:lang w:val="mk-MK"/>
        </w:rPr>
        <w:t>ла</w:t>
      </w:r>
      <w:r w:rsidRPr="00CF0082">
        <w:rPr>
          <w:sz w:val="24"/>
          <w:szCs w:val="24"/>
          <w:lang w:val="mk-MK"/>
        </w:rPr>
        <w:t xml:space="preserve"> за време на транзицијата. Денес членството и опфатот со колективно договарање се релативно ниски во споредба со просекот на ЕУ, при што договарањето е главно концентрирано на ниво на поединечни компании и во одредени сегменти на јавниот сектор.</w:t>
      </w:r>
      <w:r w:rsidR="00373190">
        <w:rPr>
          <w:sz w:val="24"/>
          <w:szCs w:val="24"/>
          <w:lang w:val="mk-MK"/>
        </w:rPr>
        <w:t xml:space="preserve"> </w:t>
      </w:r>
      <w:r w:rsidR="00373190" w:rsidRPr="00373190">
        <w:rPr>
          <w:sz w:val="24"/>
          <w:szCs w:val="24"/>
          <w:lang w:val="mk-MK"/>
        </w:rPr>
        <w:t xml:space="preserve">Според најновите податоци, синдикалната густина во Полска е </w:t>
      </w:r>
      <w:r w:rsidR="00373190">
        <w:rPr>
          <w:sz w:val="24"/>
          <w:szCs w:val="24"/>
          <w:lang w:val="mk-MK"/>
        </w:rPr>
        <w:t>по</w:t>
      </w:r>
      <w:r w:rsidR="00373190" w:rsidRPr="00373190">
        <w:rPr>
          <w:sz w:val="24"/>
          <w:szCs w:val="24"/>
          <w:lang w:val="mk-MK"/>
        </w:rPr>
        <w:t>меѓу најниските во ЕУ</w:t>
      </w:r>
      <w:r w:rsidR="008A5B3B">
        <w:rPr>
          <w:sz w:val="24"/>
          <w:szCs w:val="24"/>
          <w:lang w:val="mk-MK"/>
        </w:rPr>
        <w:t>,</w:t>
      </w:r>
      <w:r w:rsidR="00373190" w:rsidRPr="00373190">
        <w:rPr>
          <w:sz w:val="24"/>
          <w:szCs w:val="24"/>
          <w:lang w:val="mk-MK"/>
        </w:rPr>
        <w:t xml:space="preserve"> околу 12</w:t>
      </w:r>
      <w:r w:rsidR="008A5B3B">
        <w:rPr>
          <w:sz w:val="24"/>
          <w:szCs w:val="24"/>
          <w:lang w:val="mk-MK"/>
        </w:rPr>
        <w:t xml:space="preserve"> до</w:t>
      </w:r>
      <w:r w:rsidR="00373190" w:rsidRPr="00373190">
        <w:rPr>
          <w:sz w:val="24"/>
          <w:szCs w:val="24"/>
          <w:lang w:val="mk-MK"/>
        </w:rPr>
        <w:t xml:space="preserve"> 17 % од работната сила.</w:t>
      </w:r>
      <w:r w:rsidR="008A5B3B">
        <w:rPr>
          <w:rStyle w:val="FootnoteReference"/>
          <w:sz w:val="24"/>
          <w:szCs w:val="24"/>
          <w:lang w:val="mk-MK"/>
        </w:rPr>
        <w:footnoteReference w:id="685"/>
      </w:r>
      <w:r w:rsidR="00373190" w:rsidRPr="00373190">
        <w:rPr>
          <w:sz w:val="24"/>
          <w:szCs w:val="24"/>
          <w:lang w:val="mk-MK"/>
        </w:rPr>
        <w:t xml:space="preserve"> </w:t>
      </w:r>
    </w:p>
    <w:p w14:paraId="0A88B078" w14:textId="70A2CA99" w:rsidR="00CF0082" w:rsidRDefault="00373190" w:rsidP="006C3ED6">
      <w:pPr>
        <w:spacing w:before="240" w:after="240"/>
        <w:ind w:firstLine="478"/>
        <w:jc w:val="both"/>
        <w:rPr>
          <w:sz w:val="24"/>
          <w:szCs w:val="24"/>
          <w:lang w:val="mk-MK"/>
        </w:rPr>
      </w:pPr>
      <w:r w:rsidRPr="00373190">
        <w:rPr>
          <w:sz w:val="24"/>
          <w:szCs w:val="24"/>
          <w:lang w:val="mk-MK"/>
        </w:rPr>
        <w:t>Ова значи дека само околу еден од десет вработени е член на синдикат, што е значително под просекот за Европската унија</w:t>
      </w:r>
      <w:r w:rsidR="00975BDB">
        <w:rPr>
          <w:sz w:val="24"/>
          <w:szCs w:val="24"/>
          <w:lang w:val="en-US"/>
        </w:rPr>
        <w:t xml:space="preserve">, </w:t>
      </w:r>
      <w:r w:rsidR="00975BDB">
        <w:rPr>
          <w:sz w:val="24"/>
          <w:szCs w:val="24"/>
          <w:lang w:val="mk-MK"/>
        </w:rPr>
        <w:t>кој според конзервативни проценки е некаде околу 23%</w:t>
      </w:r>
      <w:r w:rsidRPr="00373190">
        <w:rPr>
          <w:sz w:val="24"/>
          <w:szCs w:val="24"/>
          <w:lang w:val="mk-MK"/>
        </w:rPr>
        <w:t xml:space="preserve"> и го одразува големиот пад на синдикалното членство по транзицијата од 1990-тите години. Во однос на покриеноста со колективно договарање,</w:t>
      </w:r>
      <w:r w:rsidR="00757420">
        <w:rPr>
          <w:rStyle w:val="FootnoteReference"/>
          <w:sz w:val="24"/>
          <w:szCs w:val="24"/>
          <w:lang w:val="mk-MK"/>
        </w:rPr>
        <w:footnoteReference w:id="686"/>
      </w:r>
      <w:r w:rsidRPr="00373190">
        <w:rPr>
          <w:sz w:val="24"/>
          <w:szCs w:val="24"/>
          <w:lang w:val="mk-MK"/>
        </w:rPr>
        <w:t xml:space="preserve"> и таа е релативно ниска</w:t>
      </w:r>
      <w:r w:rsidR="00224F7C">
        <w:rPr>
          <w:sz w:val="24"/>
          <w:szCs w:val="24"/>
          <w:lang w:val="mk-MK"/>
        </w:rPr>
        <w:t xml:space="preserve"> затоа што</w:t>
      </w:r>
      <w:r w:rsidRPr="00373190">
        <w:rPr>
          <w:sz w:val="24"/>
          <w:szCs w:val="24"/>
          <w:lang w:val="mk-MK"/>
        </w:rPr>
        <w:t xml:space="preserve"> околу 13 </w:t>
      </w:r>
      <w:r w:rsidR="00224F7C">
        <w:rPr>
          <w:sz w:val="24"/>
          <w:szCs w:val="24"/>
          <w:lang w:val="mk-MK"/>
        </w:rPr>
        <w:t>до</w:t>
      </w:r>
      <w:r w:rsidRPr="00373190">
        <w:rPr>
          <w:sz w:val="24"/>
          <w:szCs w:val="24"/>
          <w:lang w:val="mk-MK"/>
        </w:rPr>
        <w:t xml:space="preserve"> 17 % од работниците во Полска се покриени со колективни договори според податоците од различни истражувања. Ова е значително понизок процент во однос на земјите со развиени системи на колективно договарање каде колективните договори може да опфатат повеќе од половина или дури </w:t>
      </w:r>
      <w:r w:rsidR="00224F7C">
        <w:rPr>
          <w:sz w:val="24"/>
          <w:szCs w:val="24"/>
          <w:lang w:val="mk-MK"/>
        </w:rPr>
        <w:t>и нај</w:t>
      </w:r>
      <w:r w:rsidRPr="00373190">
        <w:rPr>
          <w:sz w:val="24"/>
          <w:szCs w:val="24"/>
          <w:lang w:val="mk-MK"/>
        </w:rPr>
        <w:t>голем дел од работната сила. Овие бројки зборуваат за слабата организациска покриеност на работниците и ограничениот домет на колективното договарање во Полска, што влијае и на тоа дека синдикатите често не функционираат како широк и системски канал за влијание врз корпоративните одлуки.</w:t>
      </w:r>
      <w:r w:rsidR="00CF0082" w:rsidRPr="00CF0082">
        <w:rPr>
          <w:sz w:val="24"/>
          <w:szCs w:val="24"/>
          <w:lang w:val="mk-MK"/>
        </w:rPr>
        <w:t xml:space="preserve"> Овие структурни карактеристики ја ограничуваат можноста синдикатите да делуваат како поширок канал за влијание на вработените врз корпоративното управување.</w:t>
      </w:r>
    </w:p>
    <w:p w14:paraId="4797D952" w14:textId="751EFA86" w:rsidR="00251923" w:rsidRDefault="00251923" w:rsidP="006C3ED6">
      <w:pPr>
        <w:spacing w:before="240" w:after="240"/>
        <w:ind w:firstLine="478"/>
        <w:jc w:val="both"/>
        <w:rPr>
          <w:sz w:val="24"/>
          <w:szCs w:val="24"/>
          <w:lang w:val="mk-MK"/>
        </w:rPr>
      </w:pPr>
      <w:r w:rsidRPr="00251923">
        <w:rPr>
          <w:sz w:val="24"/>
          <w:szCs w:val="24"/>
          <w:lang w:val="mk-MK"/>
        </w:rPr>
        <w:t>Полското право не предвидува општа кодетерминација на вработените во надзорните одбори на приватните компании. Сепак, постојат специфични законски „џебови“ каде што е предвидено вакво учество. Законот за комерцијализација од 1996 година пропишува дека при трансформација на државни претпријатија во акционерски друштва, првиот надзорен одбор мора да вклучи претставници на вработените. Слични правила постојат и за одредени општински и други друштва создадени од поранешна државна сопственост. Ова значи дека учеството на вработените на ниво на одбори постои, но е историски и институционално условено</w:t>
      </w:r>
      <w:r w:rsidR="00BE759D">
        <w:rPr>
          <w:sz w:val="24"/>
          <w:szCs w:val="24"/>
          <w:lang w:val="mk-MK"/>
        </w:rPr>
        <w:t xml:space="preserve"> и не е</w:t>
      </w:r>
      <w:r w:rsidRPr="00251923">
        <w:rPr>
          <w:sz w:val="24"/>
          <w:szCs w:val="24"/>
          <w:lang w:val="mk-MK"/>
        </w:rPr>
        <w:t xml:space="preserve"> системска карактеристика на полскиот модел.</w:t>
      </w:r>
    </w:p>
    <w:p w14:paraId="388B03CC" w14:textId="289AA3C9" w:rsidR="00BE759D" w:rsidRDefault="004A02F5" w:rsidP="006C3ED6">
      <w:pPr>
        <w:spacing w:before="240" w:after="240"/>
        <w:ind w:firstLine="478"/>
        <w:jc w:val="both"/>
        <w:rPr>
          <w:sz w:val="24"/>
          <w:szCs w:val="24"/>
          <w:lang w:val="en-US"/>
        </w:rPr>
      </w:pPr>
      <w:r w:rsidRPr="004A02F5">
        <w:rPr>
          <w:sz w:val="24"/>
          <w:szCs w:val="24"/>
          <w:lang w:val="mk-MK"/>
        </w:rPr>
        <w:t>Емпириската литература укажува на силна асиметрија помеѓу формалните законски права и реалната состојба на работните места. Таму каде што постојат работнички совети, нивната улога најчесто се сведува на информирање и консултирање, без суштинско влијание врз стратешките одлуки. Влијанието на вработените врз прашања како именување на одбори или алокација на капитал останува ограничено, освен кај тесниот круг на компании со јавно потекло. Дополнително, сегментацијата на пазарот на труд и широката употреба на нестандардни договори дополнително го ослабуваат колективниот глас на вработените.</w:t>
      </w:r>
    </w:p>
    <w:p w14:paraId="79E0D9C6" w14:textId="19577337" w:rsidR="000111E3" w:rsidRDefault="000111E3" w:rsidP="006C3ED6">
      <w:pPr>
        <w:spacing w:before="240" w:after="240"/>
        <w:ind w:firstLine="478"/>
        <w:jc w:val="both"/>
        <w:rPr>
          <w:sz w:val="24"/>
          <w:szCs w:val="24"/>
          <w:lang w:val="mk-MK"/>
        </w:rPr>
      </w:pPr>
      <w:r w:rsidRPr="000111E3">
        <w:rPr>
          <w:sz w:val="24"/>
          <w:szCs w:val="24"/>
          <w:lang w:val="mk-MK"/>
        </w:rPr>
        <w:t xml:space="preserve">Полскиот систем на корпоративно управување е под влијание на новите </w:t>
      </w:r>
      <w:r w:rsidRPr="000111E3">
        <w:rPr>
          <w:sz w:val="24"/>
          <w:szCs w:val="24"/>
          <w:lang w:val="mk-MK"/>
        </w:rPr>
        <w:lastRenderedPageBreak/>
        <w:t xml:space="preserve">регулаторни динамики на ЕУ, особено преку Директивата за корпоративно известување за одржливост (CSRD), која </w:t>
      </w:r>
      <w:r w:rsidR="00663BD7">
        <w:rPr>
          <w:sz w:val="24"/>
          <w:szCs w:val="24"/>
          <w:lang w:val="mk-MK"/>
        </w:rPr>
        <w:t>била</w:t>
      </w:r>
      <w:r w:rsidRPr="000111E3">
        <w:rPr>
          <w:sz w:val="24"/>
          <w:szCs w:val="24"/>
          <w:lang w:val="mk-MK"/>
        </w:rPr>
        <w:t xml:space="preserve"> транспонирана во националното право кон крајот на 2024 година</w:t>
      </w:r>
      <w:r w:rsidR="003B2A87">
        <w:rPr>
          <w:sz w:val="24"/>
          <w:szCs w:val="24"/>
          <w:lang w:val="mk-MK"/>
        </w:rPr>
        <w:t>, а</w:t>
      </w:r>
      <w:r w:rsidRPr="000111E3">
        <w:rPr>
          <w:sz w:val="24"/>
          <w:szCs w:val="24"/>
          <w:lang w:val="mk-MK"/>
        </w:rPr>
        <w:t xml:space="preserve"> стапи</w:t>
      </w:r>
      <w:r w:rsidR="003B2A87">
        <w:rPr>
          <w:sz w:val="24"/>
          <w:szCs w:val="24"/>
          <w:lang w:val="mk-MK"/>
        </w:rPr>
        <w:t>ла</w:t>
      </w:r>
      <w:r w:rsidRPr="000111E3">
        <w:rPr>
          <w:sz w:val="24"/>
          <w:szCs w:val="24"/>
          <w:lang w:val="mk-MK"/>
        </w:rPr>
        <w:t xml:space="preserve"> во сила во 2025 година. Овие правила значително го прошируваат обемот на обврските за известување за прашања поврзани со вработените, социјалните аспекти и управувањето, што може индиректно да ја зголеми видливоста на трудовите прашања во одборските дискусии. Сепак, тие не создаваат автоматски механизми за учество на вработените во органите на управување.</w:t>
      </w:r>
      <w:r w:rsidR="002504F7">
        <w:rPr>
          <w:rStyle w:val="FootnoteReference"/>
          <w:sz w:val="24"/>
          <w:szCs w:val="24"/>
          <w:lang w:val="mk-MK"/>
        </w:rPr>
        <w:footnoteReference w:id="687"/>
      </w:r>
    </w:p>
    <w:p w14:paraId="414B5FEF" w14:textId="0F3E3628" w:rsidR="003B2A87" w:rsidRDefault="003B2A87" w:rsidP="006C3ED6">
      <w:pPr>
        <w:spacing w:before="240" w:after="240"/>
        <w:ind w:firstLine="478"/>
        <w:jc w:val="both"/>
        <w:rPr>
          <w:sz w:val="24"/>
          <w:szCs w:val="24"/>
          <w:lang w:val="mk-MK"/>
        </w:rPr>
      </w:pPr>
      <w:r w:rsidRPr="003B2A87">
        <w:rPr>
          <w:sz w:val="24"/>
          <w:szCs w:val="24"/>
          <w:lang w:val="mk-MK"/>
        </w:rPr>
        <w:t xml:space="preserve">Клучните предизвици за продлабочување на учеството на вработените во Полска се ниската синдикална густина, слабото воспоставување на работнички совети, фрагментираната правна рамка за учество на ниво на одбори и потребата од поголема кохерентност </w:t>
      </w:r>
      <w:r w:rsidR="00A013C4">
        <w:rPr>
          <w:sz w:val="24"/>
          <w:szCs w:val="24"/>
          <w:lang w:val="mk-MK"/>
        </w:rPr>
        <w:t>по</w:t>
      </w:r>
      <w:r w:rsidRPr="003B2A87">
        <w:rPr>
          <w:sz w:val="24"/>
          <w:szCs w:val="24"/>
          <w:lang w:val="mk-MK"/>
        </w:rPr>
        <w:t xml:space="preserve">меѓу националните политики и европските обврски. Како можни насоки </w:t>
      </w:r>
      <w:r w:rsidR="00A013C4">
        <w:rPr>
          <w:sz w:val="24"/>
          <w:szCs w:val="24"/>
          <w:lang w:val="mk-MK"/>
        </w:rPr>
        <w:t xml:space="preserve">за развој и следни чекори </w:t>
      </w:r>
      <w:r w:rsidRPr="003B2A87">
        <w:rPr>
          <w:sz w:val="24"/>
          <w:szCs w:val="24"/>
          <w:lang w:val="mk-MK"/>
        </w:rPr>
        <w:t>се истакнуваат поттикнување</w:t>
      </w:r>
      <w:r w:rsidR="00A013C4">
        <w:rPr>
          <w:sz w:val="24"/>
          <w:szCs w:val="24"/>
          <w:lang w:val="mk-MK"/>
        </w:rPr>
        <w:t>то</w:t>
      </w:r>
      <w:r w:rsidRPr="003B2A87">
        <w:rPr>
          <w:sz w:val="24"/>
          <w:szCs w:val="24"/>
          <w:lang w:val="mk-MK"/>
        </w:rPr>
        <w:t xml:space="preserve"> на формирање работнички совети, проширување</w:t>
      </w:r>
      <w:r w:rsidR="00A013C4">
        <w:rPr>
          <w:sz w:val="24"/>
          <w:szCs w:val="24"/>
          <w:lang w:val="mk-MK"/>
        </w:rPr>
        <w:t>то</w:t>
      </w:r>
      <w:r w:rsidRPr="003B2A87">
        <w:rPr>
          <w:sz w:val="24"/>
          <w:szCs w:val="24"/>
          <w:lang w:val="mk-MK"/>
        </w:rPr>
        <w:t xml:space="preserve"> на опфатот на колективното договарање, професионализација</w:t>
      </w:r>
      <w:r w:rsidR="00A013C4">
        <w:rPr>
          <w:sz w:val="24"/>
          <w:szCs w:val="24"/>
          <w:lang w:val="mk-MK"/>
        </w:rPr>
        <w:t>та</w:t>
      </w:r>
      <w:r w:rsidRPr="003B2A87">
        <w:rPr>
          <w:sz w:val="24"/>
          <w:szCs w:val="24"/>
          <w:lang w:val="mk-MK"/>
        </w:rPr>
        <w:t xml:space="preserve"> на управувањето со државната сопственост и осигурување</w:t>
      </w:r>
      <w:r w:rsidR="00A013C4">
        <w:rPr>
          <w:sz w:val="24"/>
          <w:szCs w:val="24"/>
          <w:lang w:val="mk-MK"/>
        </w:rPr>
        <w:t>то</w:t>
      </w:r>
      <w:r w:rsidRPr="003B2A87">
        <w:rPr>
          <w:sz w:val="24"/>
          <w:szCs w:val="24"/>
          <w:lang w:val="mk-MK"/>
        </w:rPr>
        <w:t xml:space="preserve"> дека известувањето според CSRD навистина ја рефлектира состојбата на социјалниот дијалог.</w:t>
      </w:r>
    </w:p>
    <w:p w14:paraId="3D8E12EA" w14:textId="09D17544" w:rsidR="008C0F0C" w:rsidRDefault="008C0F0C" w:rsidP="006C3ED6">
      <w:pPr>
        <w:spacing w:before="240" w:after="240"/>
        <w:ind w:firstLine="478"/>
        <w:jc w:val="both"/>
        <w:rPr>
          <w:sz w:val="24"/>
          <w:szCs w:val="24"/>
          <w:lang w:val="mk-MK"/>
        </w:rPr>
      </w:pPr>
      <w:r w:rsidRPr="008C0F0C">
        <w:rPr>
          <w:sz w:val="24"/>
          <w:szCs w:val="24"/>
          <w:lang w:val="mk-MK"/>
        </w:rPr>
        <w:t xml:space="preserve">Полска претставува мешан и транзициски модел. Иако правната рамка формално овозможува информирање, консултирање и ограничено учество на вработените на ниво на одбори, во практика учеството е доминантно канализирано преку синдикати и колективно договарање, додека формалните работнички совети се слабо застапени. Новите европски регулаторни барања и домашните правни иновации можат да создадат поттик за поголема формализација на дијалогот, но трансформацијата на консултативните механизми во вистинско системско влијание врз корпоративното управување ќе бара намерни </w:t>
      </w:r>
      <w:r w:rsidR="005F131E">
        <w:rPr>
          <w:sz w:val="24"/>
          <w:szCs w:val="24"/>
          <w:lang w:val="mk-MK"/>
        </w:rPr>
        <w:t xml:space="preserve">и далекусежни </w:t>
      </w:r>
      <w:r w:rsidRPr="008C0F0C">
        <w:rPr>
          <w:sz w:val="24"/>
          <w:szCs w:val="24"/>
          <w:lang w:val="mk-MK"/>
        </w:rPr>
        <w:t>законски и институционални реформи, како и зајакнување на колективното претставување.</w:t>
      </w:r>
    </w:p>
    <w:p w14:paraId="7C040807" w14:textId="09B24197" w:rsidR="005F131E" w:rsidRDefault="00C20585" w:rsidP="006C3ED6">
      <w:pPr>
        <w:spacing w:before="240" w:after="240"/>
        <w:ind w:firstLine="478"/>
        <w:jc w:val="both"/>
        <w:rPr>
          <w:sz w:val="24"/>
          <w:szCs w:val="24"/>
          <w:lang w:val="mk-MK"/>
        </w:rPr>
      </w:pPr>
      <w:r>
        <w:rPr>
          <w:sz w:val="24"/>
          <w:szCs w:val="24"/>
          <w:lang w:val="mk-MK"/>
        </w:rPr>
        <w:t>Оттука, п</w:t>
      </w:r>
      <w:r w:rsidRPr="00C20585">
        <w:rPr>
          <w:sz w:val="24"/>
          <w:szCs w:val="24"/>
          <w:lang w:val="mk-MK"/>
        </w:rPr>
        <w:t xml:space="preserve">олскиот модел на корпоративно управување и учество на вработените зазема средишна, но нестабилна позиција </w:t>
      </w:r>
      <w:r w:rsidR="00497B8A">
        <w:rPr>
          <w:sz w:val="24"/>
          <w:szCs w:val="24"/>
          <w:lang w:val="mk-MK"/>
        </w:rPr>
        <w:t>на</w:t>
      </w:r>
      <w:r w:rsidRPr="00C20585">
        <w:rPr>
          <w:sz w:val="24"/>
          <w:szCs w:val="24"/>
          <w:lang w:val="mk-MK"/>
        </w:rPr>
        <w:t xml:space="preserve"> европската компаративна мапа. Тој формално прифаќа клучни елементи од европското право</w:t>
      </w:r>
      <w:r w:rsidR="00497B8A">
        <w:rPr>
          <w:sz w:val="24"/>
          <w:szCs w:val="24"/>
          <w:lang w:val="mk-MK"/>
        </w:rPr>
        <w:t>,</w:t>
      </w:r>
      <w:r w:rsidRPr="00C20585">
        <w:rPr>
          <w:sz w:val="24"/>
          <w:szCs w:val="24"/>
          <w:lang w:val="mk-MK"/>
        </w:rPr>
        <w:t xml:space="preserve"> информирање и консултација, ограничено учество во надзорни тела и транспонирани директиви</w:t>
      </w:r>
      <w:r w:rsidR="00354289">
        <w:rPr>
          <w:sz w:val="24"/>
          <w:szCs w:val="24"/>
          <w:lang w:val="mk-MK"/>
        </w:rPr>
        <w:t xml:space="preserve">, </w:t>
      </w:r>
      <w:r w:rsidRPr="00C20585">
        <w:rPr>
          <w:sz w:val="24"/>
          <w:szCs w:val="24"/>
          <w:lang w:val="mk-MK"/>
        </w:rPr>
        <w:t>но во практика не успева да ги институционализира како трајни и функционални канали на влијание. Токму оваа диспропорција помеѓу правната архитектура и реалниот ефект ја прави Полска особено корисна за споредба со останатите модели што веќе беа анализирани.</w:t>
      </w:r>
    </w:p>
    <w:p w14:paraId="1B689AE6" w14:textId="69C680E0" w:rsidR="002150D9" w:rsidRDefault="002150D9" w:rsidP="006C3ED6">
      <w:pPr>
        <w:spacing w:before="240" w:after="240"/>
        <w:ind w:firstLine="478"/>
        <w:jc w:val="both"/>
        <w:rPr>
          <w:sz w:val="24"/>
          <w:szCs w:val="24"/>
          <w:lang w:val="mk-MK"/>
        </w:rPr>
      </w:pPr>
      <w:r w:rsidRPr="002150D9">
        <w:rPr>
          <w:sz w:val="24"/>
          <w:szCs w:val="24"/>
          <w:lang w:val="mk-MK"/>
        </w:rPr>
        <w:t>Во споредба со германскиот модел, полскиот систем јасно ја покажува границата на „минималистичката европеизација“. Додека во Германија кодетерминацијата е системска, задолжителна и интегрирана во самото корпоративно право, во Полска учеството на вработените на ниво на одбори е исклучок врзан за историски контекст</w:t>
      </w:r>
      <w:r w:rsidR="00760850">
        <w:rPr>
          <w:sz w:val="24"/>
          <w:szCs w:val="24"/>
          <w:lang w:val="mk-MK"/>
        </w:rPr>
        <w:t>,</w:t>
      </w:r>
      <w:r w:rsidRPr="002150D9">
        <w:rPr>
          <w:sz w:val="24"/>
          <w:szCs w:val="24"/>
          <w:lang w:val="mk-MK"/>
        </w:rPr>
        <w:t xml:space="preserve"> трансформација од државна сопственост</w:t>
      </w:r>
      <w:r w:rsidR="00760850">
        <w:rPr>
          <w:sz w:val="24"/>
          <w:szCs w:val="24"/>
          <w:lang w:val="mk-MK"/>
        </w:rPr>
        <w:t>,</w:t>
      </w:r>
      <w:r w:rsidRPr="002150D9">
        <w:rPr>
          <w:sz w:val="24"/>
          <w:szCs w:val="24"/>
          <w:lang w:val="mk-MK"/>
        </w:rPr>
        <w:t xml:space="preserve"> а не општо правило. Ова значи дека учеството не произлегува од концепт на корпоративна демократија, туку од преодни аранжмани. Практичната последица е дека, за разлика од Германија, вработените во Полска немаат структурна позиција во процесите на стратешко одлучување, туку само повремено и условено присуство.</w:t>
      </w:r>
    </w:p>
    <w:p w14:paraId="6ADA159E" w14:textId="647453E6" w:rsidR="001159CB" w:rsidRDefault="001159CB" w:rsidP="006C3ED6">
      <w:pPr>
        <w:spacing w:before="240" w:after="240"/>
        <w:ind w:firstLine="478"/>
        <w:jc w:val="both"/>
        <w:rPr>
          <w:sz w:val="24"/>
          <w:szCs w:val="24"/>
          <w:lang w:val="en-US"/>
        </w:rPr>
      </w:pPr>
      <w:r w:rsidRPr="001159CB">
        <w:rPr>
          <w:sz w:val="24"/>
          <w:szCs w:val="24"/>
          <w:lang w:val="mk-MK"/>
        </w:rPr>
        <w:t xml:space="preserve">Кога се споредува со Холандија, полскиот модел повторно открива клучна институционална слабост. Холандија, и без формална кодетерминација, обезбедува силно и функционално учество преку работничките совети, правото на согласност и </w:t>
      </w:r>
      <w:r w:rsidRPr="001159CB">
        <w:rPr>
          <w:sz w:val="24"/>
          <w:szCs w:val="24"/>
          <w:lang w:val="mk-MK"/>
        </w:rPr>
        <w:lastRenderedPageBreak/>
        <w:t>судската заштита пред специјализирани органи. Полска, иако формално воспоставува работнички совети преку законот од 2006 година, не успева да создаде критична маса на нивна примена. За разлика од Холандија, каде што правото се „живее“ во секојдневната корпоративна практика, во Полска советите остануваат периферни, а учеството на вработените најчесто се прелева кон синдикалниот канал, кој сам по себе е институционално ослабен.</w:t>
      </w:r>
      <w:r w:rsidR="00EE10CE">
        <w:rPr>
          <w:rStyle w:val="FootnoteReference"/>
          <w:sz w:val="24"/>
          <w:szCs w:val="24"/>
          <w:lang w:val="mk-MK"/>
        </w:rPr>
        <w:footnoteReference w:id="688"/>
      </w:r>
    </w:p>
    <w:p w14:paraId="0089A237" w14:textId="28DA1785" w:rsidR="00E73628" w:rsidRPr="00AB65DC" w:rsidRDefault="00E73628" w:rsidP="006C3ED6">
      <w:pPr>
        <w:spacing w:before="240" w:after="240"/>
        <w:ind w:firstLine="478"/>
        <w:jc w:val="both"/>
        <w:rPr>
          <w:sz w:val="24"/>
          <w:szCs w:val="24"/>
          <w:lang w:val="en-US"/>
        </w:rPr>
      </w:pPr>
      <w:r w:rsidRPr="00E73628">
        <w:rPr>
          <w:sz w:val="24"/>
          <w:szCs w:val="24"/>
          <w:lang w:val="mk-MK"/>
        </w:rPr>
        <w:t>Во</w:t>
      </w:r>
      <w:r w:rsidR="00C52B99">
        <w:rPr>
          <w:sz w:val="24"/>
          <w:szCs w:val="24"/>
          <w:lang w:val="mk-MK"/>
        </w:rPr>
        <w:t xml:space="preserve"> корелација со</w:t>
      </w:r>
      <w:r w:rsidRPr="00E73628">
        <w:rPr>
          <w:sz w:val="24"/>
          <w:szCs w:val="24"/>
          <w:lang w:val="mk-MK"/>
        </w:rPr>
        <w:t xml:space="preserve"> Италија, Полска дели една суштинска карактеристика</w:t>
      </w:r>
      <w:r w:rsidR="00C52B99">
        <w:rPr>
          <w:sz w:val="24"/>
          <w:szCs w:val="24"/>
          <w:lang w:val="mk-MK"/>
        </w:rPr>
        <w:t xml:space="preserve"> во однос на</w:t>
      </w:r>
      <w:r w:rsidRPr="00E73628">
        <w:rPr>
          <w:sz w:val="24"/>
          <w:szCs w:val="24"/>
          <w:lang w:val="mk-MK"/>
        </w:rPr>
        <w:t xml:space="preserve"> централната улога на синдикатите како примарен канал на работничко учество. Сепак, додека во Италија овој модел е историски стабилен и дополнет со нови законски можности по 2025 година, во Полска синдикалното посредување се одвива во услови на ниска густина и ограничен опфат со колективно договарање. Оттука, иако двата системи формално не се потпираат на силна кодетерминација, италијанскиот модел покажува поголема кохерентност и потенцијал за еволуција, додека полскиот останува фрагментиран и реактивен.</w:t>
      </w:r>
    </w:p>
    <w:p w14:paraId="32306382" w14:textId="12FD4FD8" w:rsidR="001F4ED5" w:rsidRDefault="001F4ED5" w:rsidP="006C3ED6">
      <w:pPr>
        <w:spacing w:before="240" w:after="240"/>
        <w:ind w:firstLine="478"/>
        <w:jc w:val="both"/>
        <w:rPr>
          <w:sz w:val="24"/>
          <w:szCs w:val="24"/>
          <w:lang w:val="en-US"/>
        </w:rPr>
      </w:pPr>
      <w:r w:rsidRPr="001F4ED5">
        <w:rPr>
          <w:sz w:val="24"/>
          <w:szCs w:val="24"/>
          <w:lang w:val="mk-MK"/>
        </w:rPr>
        <w:t>Полскиот случај е особено поучен кога се споредува со постјугословенските системи, вклучително и Македонија. Како и во Македонија, постои релативно развиена нормативна рамка усогласена со ЕУ, но реалниот импулс на учество е слаб. Во двата контекста, законите создаваат впечаток на формална усогласеност, но без силни институции, ефективно спроведување и социјални актери со реална моќ, тие остануваат симболични. Полска, меѓутоа, покажува дека дури и во поголема економија и со подолг период на ЕУ-членство, ваквиот модел не се „самокоригира“ со време.</w:t>
      </w:r>
    </w:p>
    <w:p w14:paraId="643D210E" w14:textId="6F77249C" w:rsidR="00AB65DC" w:rsidRDefault="00B45B66" w:rsidP="006C3ED6">
      <w:pPr>
        <w:spacing w:before="240" w:after="240"/>
        <w:ind w:firstLine="478"/>
        <w:jc w:val="both"/>
        <w:rPr>
          <w:sz w:val="24"/>
          <w:szCs w:val="24"/>
          <w:lang w:val="mk-MK"/>
        </w:rPr>
      </w:pPr>
      <w:r w:rsidRPr="00B45B66">
        <w:rPr>
          <w:sz w:val="24"/>
          <w:szCs w:val="24"/>
          <w:lang w:val="mk-MK"/>
        </w:rPr>
        <w:t>Истражувањата спроведени во периодот од 1 до 31 мај 2026 година на Универзитетот во Краков, под менторство на професор Кристоф Оплустил, дополнително ја потврдија оваа слика. Интервјуа со академици и практичари, како и анализа на корпоративната пракса, покажаа дека теоретските модели и законските решенија во Полска произведуваат многу слаб практичен импулс, без значајни и трајни резултати во корпоративното управување.</w:t>
      </w:r>
    </w:p>
    <w:p w14:paraId="34976EA1" w14:textId="3D978CBD" w:rsidR="006C3ED6" w:rsidRDefault="00B45B66" w:rsidP="000873C5">
      <w:pPr>
        <w:spacing w:before="240" w:after="240"/>
        <w:ind w:firstLine="478"/>
        <w:jc w:val="both"/>
        <w:rPr>
          <w:sz w:val="24"/>
          <w:szCs w:val="24"/>
          <w:lang w:val="mk-MK"/>
        </w:rPr>
      </w:pPr>
      <w:r w:rsidRPr="00B45B66">
        <w:rPr>
          <w:sz w:val="24"/>
          <w:szCs w:val="24"/>
          <w:lang w:val="mk-MK"/>
        </w:rPr>
        <w:t>Интегрираната компаративна анализа јасно укажува дека полскиот модел не смее да биде референтна точка за Македонија, освен како предупредување. Македонија веќе се наоѓа блиску до оваа позиција</w:t>
      </w:r>
      <w:r w:rsidR="00E46A1E">
        <w:rPr>
          <w:sz w:val="24"/>
          <w:szCs w:val="24"/>
          <w:lang w:val="mk-MK"/>
        </w:rPr>
        <w:t xml:space="preserve"> затоа што има</w:t>
      </w:r>
      <w:r w:rsidRPr="00B45B66">
        <w:rPr>
          <w:sz w:val="24"/>
          <w:szCs w:val="24"/>
          <w:lang w:val="mk-MK"/>
        </w:rPr>
        <w:t xml:space="preserve"> формално усогласено право, но минимално реално учество.</w:t>
      </w:r>
      <w:r w:rsidR="00E46A1E">
        <w:rPr>
          <w:sz w:val="24"/>
          <w:szCs w:val="24"/>
          <w:lang w:val="mk-MK"/>
        </w:rPr>
        <w:t xml:space="preserve"> Ако од </w:t>
      </w:r>
      <w:r w:rsidR="00E46A1E" w:rsidRPr="00E46A1E">
        <w:rPr>
          <w:sz w:val="24"/>
          <w:szCs w:val="24"/>
          <w:lang w:val="mk-MK"/>
        </w:rPr>
        <w:t>Германија, Македонија може да научи дека без задолжителни, структурни решенија нема трансформација</w:t>
      </w:r>
      <w:r w:rsidR="00FB7E98">
        <w:rPr>
          <w:sz w:val="24"/>
          <w:szCs w:val="24"/>
          <w:lang w:val="mk-MK"/>
        </w:rPr>
        <w:t>, о</w:t>
      </w:r>
      <w:r w:rsidR="00E46A1E" w:rsidRPr="00E46A1E">
        <w:rPr>
          <w:sz w:val="24"/>
          <w:szCs w:val="24"/>
          <w:lang w:val="mk-MK"/>
        </w:rPr>
        <w:t>д Холандија, дека дури и без паритетна кодетерминација, силни процесни права и судска заштита можат да создадат реално влијание</w:t>
      </w:r>
      <w:r w:rsidR="00FB7E98">
        <w:rPr>
          <w:sz w:val="24"/>
          <w:szCs w:val="24"/>
          <w:lang w:val="mk-MK"/>
        </w:rPr>
        <w:t>, о</w:t>
      </w:r>
      <w:r w:rsidR="00E46A1E" w:rsidRPr="00E46A1E">
        <w:rPr>
          <w:sz w:val="24"/>
          <w:szCs w:val="24"/>
          <w:lang w:val="mk-MK"/>
        </w:rPr>
        <w:t>д Италија, дека синдикално посредуваното учество може да функционира само ако е институционално поддржано и надградено со јасни законски канали</w:t>
      </w:r>
      <w:r w:rsidR="00FB7E98">
        <w:rPr>
          <w:sz w:val="24"/>
          <w:szCs w:val="24"/>
          <w:lang w:val="mk-MK"/>
        </w:rPr>
        <w:t xml:space="preserve">, </w:t>
      </w:r>
      <w:r w:rsidR="00252421">
        <w:rPr>
          <w:sz w:val="24"/>
          <w:szCs w:val="24"/>
          <w:lang w:val="mk-MK"/>
        </w:rPr>
        <w:t>о</w:t>
      </w:r>
      <w:r w:rsidR="00252421" w:rsidRPr="00252421">
        <w:rPr>
          <w:sz w:val="24"/>
          <w:szCs w:val="24"/>
          <w:lang w:val="mk-MK"/>
        </w:rPr>
        <w:t>д Полска поуката е негативна</w:t>
      </w:r>
      <w:r w:rsidR="00252421">
        <w:rPr>
          <w:sz w:val="24"/>
          <w:szCs w:val="24"/>
          <w:lang w:val="mk-MK"/>
        </w:rPr>
        <w:t>,</w:t>
      </w:r>
      <w:r w:rsidR="00252421" w:rsidRPr="00252421">
        <w:rPr>
          <w:sz w:val="24"/>
          <w:szCs w:val="24"/>
          <w:lang w:val="mk-MK"/>
        </w:rPr>
        <w:t xml:space="preserve"> но клучна</w:t>
      </w:r>
      <w:r w:rsidR="00252421">
        <w:rPr>
          <w:sz w:val="24"/>
          <w:szCs w:val="24"/>
          <w:lang w:val="mk-MK"/>
        </w:rPr>
        <w:t>. Т</w:t>
      </w:r>
      <w:r w:rsidR="00252421" w:rsidRPr="00252421">
        <w:rPr>
          <w:sz w:val="24"/>
          <w:szCs w:val="24"/>
          <w:lang w:val="mk-MK"/>
        </w:rPr>
        <w:t>ранспонирањето на директиви, без институционална длабочина и без обврзувачки механизми, води кон симболичка европеизација. За Македонија, вистинската реформа не е во умножување</w:t>
      </w:r>
      <w:r w:rsidR="00252421">
        <w:rPr>
          <w:sz w:val="24"/>
          <w:szCs w:val="24"/>
          <w:lang w:val="mk-MK"/>
        </w:rPr>
        <w:t>то</w:t>
      </w:r>
      <w:r w:rsidR="00252421" w:rsidRPr="00252421">
        <w:rPr>
          <w:sz w:val="24"/>
          <w:szCs w:val="24"/>
          <w:lang w:val="mk-MK"/>
        </w:rPr>
        <w:t xml:space="preserve"> на норми, туку во прецизно дизајнирани, спроведливи и задолжителни механизми на учество, кои постепено, но системски ќе го менуваат корпоративното управување.</w:t>
      </w:r>
    </w:p>
    <w:p w14:paraId="0E08DC87" w14:textId="6796DC47" w:rsidR="00245548" w:rsidRPr="009C5331" w:rsidRDefault="00245548" w:rsidP="000873C5">
      <w:pPr>
        <w:spacing w:before="240" w:after="240"/>
        <w:ind w:firstLine="478"/>
        <w:jc w:val="both"/>
        <w:rPr>
          <w:sz w:val="24"/>
          <w:szCs w:val="24"/>
          <w:lang w:val="mk-MK"/>
        </w:rPr>
      </w:pPr>
      <w:r w:rsidRPr="00245548">
        <w:rPr>
          <w:sz w:val="24"/>
          <w:szCs w:val="24"/>
          <w:lang w:val="mk-MK"/>
        </w:rPr>
        <w:lastRenderedPageBreak/>
        <w:t xml:space="preserve">Согледувањето на континенталните модели на работничко учество и колективно договарање природно води кон потребата анализата да се прошири кон Обединетото Кралство, како јурисдикција што историски и структурно се разликува од германскиот, холандскиот и јужноевропските пристапи. За разлика од моделите засновани на институционализирано учество, силни синдикати и нормативно проширено колективно договарање, британскиот систем се темели на пазарно ориентирана регулација, слаб степен на законска интервенција и нагласена улога на индивидуалниот договор за вработување. Вклучувањето на Обединетото Кралство овозможува јасен контраст </w:t>
      </w:r>
      <w:r w:rsidR="002B44E1">
        <w:rPr>
          <w:sz w:val="24"/>
          <w:szCs w:val="24"/>
          <w:lang w:val="mk-MK"/>
        </w:rPr>
        <w:t>по</w:t>
      </w:r>
      <w:r w:rsidRPr="00245548">
        <w:rPr>
          <w:sz w:val="24"/>
          <w:szCs w:val="24"/>
          <w:lang w:val="mk-MK"/>
        </w:rPr>
        <w:t>меѓу континенталната традиција на социјално партнерство и англосаксонскиот модел, и помага да се идентификуваат границите на преносливост на одредени решенија, но и ризиците од дерегулативен пристап во контексти со слаби колективни актери, каков што е македонскиот.</w:t>
      </w:r>
    </w:p>
    <w:p w14:paraId="2DF77C41" w14:textId="76552737" w:rsidR="006607EE" w:rsidRPr="00A6193C" w:rsidRDefault="009320D5" w:rsidP="009330C0">
      <w:pPr>
        <w:pStyle w:val="Heading1"/>
        <w:numPr>
          <w:ilvl w:val="0"/>
          <w:numId w:val="7"/>
        </w:numPr>
        <w:jc w:val="both"/>
      </w:pPr>
      <w:bookmarkStart w:id="76" w:name="_Toc230523929"/>
      <w:r>
        <w:rPr>
          <w:lang w:val="mk-MK"/>
        </w:rPr>
        <w:t>Приматот на акционерите,</w:t>
      </w:r>
      <w:r w:rsidRPr="009320D5">
        <w:rPr>
          <w:lang w:val="mk-MK"/>
        </w:rPr>
        <w:t xml:space="preserve"> процесна</w:t>
      </w:r>
      <w:r>
        <w:rPr>
          <w:lang w:val="mk-MK"/>
        </w:rPr>
        <w:t>та</w:t>
      </w:r>
      <w:r w:rsidRPr="009320D5">
        <w:rPr>
          <w:lang w:val="mk-MK"/>
        </w:rPr>
        <w:t xml:space="preserve"> „гласност“ и границите на мекото вклучување на вработените</w:t>
      </w:r>
      <w:r>
        <w:rPr>
          <w:lang w:val="mk-MK"/>
        </w:rPr>
        <w:t xml:space="preserve"> во </w:t>
      </w:r>
      <w:r w:rsidR="001C463D">
        <w:rPr>
          <w:lang w:val="mk-MK"/>
        </w:rPr>
        <w:t xml:space="preserve">Обединетото </w:t>
      </w:r>
      <w:r w:rsidR="00AC2656">
        <w:rPr>
          <w:lang w:val="mk-MK"/>
        </w:rPr>
        <w:t>К</w:t>
      </w:r>
      <w:r w:rsidR="001C463D">
        <w:rPr>
          <w:lang w:val="mk-MK"/>
        </w:rPr>
        <w:t>ралство</w:t>
      </w:r>
      <w:bookmarkEnd w:id="76"/>
      <w:r w:rsidR="001C463D">
        <w:rPr>
          <w:lang w:val="mk-MK"/>
        </w:rPr>
        <w:t xml:space="preserve"> </w:t>
      </w:r>
      <w:r>
        <w:rPr>
          <w:lang w:val="mk-MK"/>
        </w:rPr>
        <w:t xml:space="preserve"> </w:t>
      </w:r>
    </w:p>
    <w:p w14:paraId="1B75D8E7" w14:textId="33C12FE2" w:rsidR="007E4211" w:rsidRDefault="001C463D" w:rsidP="006607EE">
      <w:pPr>
        <w:spacing w:before="240"/>
        <w:ind w:firstLine="478"/>
        <w:jc w:val="both"/>
        <w:rPr>
          <w:sz w:val="24"/>
          <w:szCs w:val="24"/>
          <w:lang w:val="mk-MK"/>
        </w:rPr>
      </w:pPr>
      <w:r w:rsidRPr="001C463D">
        <w:rPr>
          <w:sz w:val="24"/>
          <w:szCs w:val="24"/>
          <w:lang w:val="mk-MK"/>
        </w:rPr>
        <w:t xml:space="preserve">Обединетото Кралство претставува јасен пример на англоамерикански, акционерски ориентиран модел на корпоративно управување, заснован на </w:t>
      </w:r>
      <w:r w:rsidR="00057986">
        <w:rPr>
          <w:sz w:val="24"/>
          <w:szCs w:val="24"/>
          <w:lang w:val="mk-MK"/>
        </w:rPr>
        <w:t>едностепен</w:t>
      </w:r>
      <w:r w:rsidRPr="001C463D">
        <w:rPr>
          <w:sz w:val="24"/>
          <w:szCs w:val="24"/>
          <w:lang w:val="mk-MK"/>
        </w:rPr>
        <w:t xml:space="preserve"> управен одбор и пазарно ориентирани механизми на отчетност, наместо на формализирано учество на вработените на ниво на управување. Основната рамка на компаниското право е содржана во Законот за трговски друштва од 2006 година,</w:t>
      </w:r>
      <w:r w:rsidR="007A16E5">
        <w:rPr>
          <w:rStyle w:val="FootnoteReference"/>
          <w:sz w:val="24"/>
          <w:szCs w:val="24"/>
          <w:lang w:val="mk-MK"/>
        </w:rPr>
        <w:footnoteReference w:id="689"/>
      </w:r>
      <w:r w:rsidRPr="001C463D">
        <w:rPr>
          <w:sz w:val="24"/>
          <w:szCs w:val="24"/>
          <w:lang w:val="mk-MK"/>
        </w:rPr>
        <w:t xml:space="preserve"> кој ги уредува фидуцијарните обврски на директорите кон друштвото. Најзначајна</w:t>
      </w:r>
      <w:r w:rsidR="00A54C88">
        <w:rPr>
          <w:sz w:val="24"/>
          <w:szCs w:val="24"/>
          <w:lang w:val="en-US"/>
        </w:rPr>
        <w:t xml:space="preserve"> </w:t>
      </w:r>
      <w:r w:rsidR="00A54C88">
        <w:rPr>
          <w:sz w:val="24"/>
          <w:szCs w:val="24"/>
          <w:lang w:val="mk-MK"/>
        </w:rPr>
        <w:t>одредба</w:t>
      </w:r>
      <w:r w:rsidRPr="001C463D">
        <w:rPr>
          <w:sz w:val="24"/>
          <w:szCs w:val="24"/>
          <w:lang w:val="mk-MK"/>
        </w:rPr>
        <w:t xml:space="preserve"> во тој поглед е член 172, кој ги обврзува директорите да го унапредуваат успехот на друштвото „во корист на неговите членови како целина“, при што истовремено мора да земат предвид низа други фактори, вклучително и интересите на вработените, односите со добавувачите и клиентите, влијанието врз заедницата и животната средина, угледот на друштвото и долгорочните последици од донесените одлуки. Иако оваа формулација експлицитно ги вклучува </w:t>
      </w:r>
      <w:r w:rsidR="00B37B80">
        <w:rPr>
          <w:sz w:val="24"/>
          <w:szCs w:val="24"/>
          <w:lang w:val="mk-MK"/>
        </w:rPr>
        <w:t xml:space="preserve">таканаречените </w:t>
      </w:r>
      <w:r w:rsidRPr="001C463D">
        <w:rPr>
          <w:sz w:val="24"/>
          <w:szCs w:val="24"/>
          <w:lang w:val="mk-MK"/>
        </w:rPr>
        <w:t>засегнати страни, таа суштински останува вградена во архитектура</w:t>
      </w:r>
      <w:r w:rsidR="00B37B80">
        <w:rPr>
          <w:sz w:val="24"/>
          <w:szCs w:val="24"/>
          <w:lang w:val="mk-MK"/>
        </w:rPr>
        <w:t>та</w:t>
      </w:r>
      <w:r w:rsidRPr="001C463D">
        <w:rPr>
          <w:sz w:val="24"/>
          <w:szCs w:val="24"/>
          <w:lang w:val="mk-MK"/>
        </w:rPr>
        <w:t xml:space="preserve"> што ја задржува примарноста на акционерите и не создава самостојни права или институционални позиции за вработените во управувањето.</w:t>
      </w:r>
    </w:p>
    <w:p w14:paraId="458585CD" w14:textId="77777777" w:rsidR="00183185" w:rsidRDefault="00925CDF" w:rsidP="006607EE">
      <w:pPr>
        <w:spacing w:before="240"/>
        <w:ind w:firstLine="478"/>
        <w:jc w:val="both"/>
        <w:rPr>
          <w:sz w:val="24"/>
          <w:szCs w:val="24"/>
          <w:lang w:val="mk-MK"/>
        </w:rPr>
      </w:pPr>
      <w:r w:rsidRPr="00925CDF">
        <w:rPr>
          <w:sz w:val="24"/>
          <w:szCs w:val="24"/>
          <w:lang w:val="mk-MK"/>
        </w:rPr>
        <w:t>На ниво на „меко право“, котираните друштва се обврзани да известуваат согласно Кодексот за корпоративно управување на Обединетото Кралство, врз основа на принципот „придржувај се или објасни“.</w:t>
      </w:r>
      <w:r w:rsidR="00236F12">
        <w:rPr>
          <w:rStyle w:val="FootnoteReference"/>
          <w:sz w:val="24"/>
          <w:szCs w:val="24"/>
          <w:lang w:val="mk-MK"/>
        </w:rPr>
        <w:footnoteReference w:id="690"/>
      </w:r>
      <w:r w:rsidRPr="00925CDF">
        <w:rPr>
          <w:sz w:val="24"/>
          <w:szCs w:val="24"/>
          <w:lang w:val="mk-MK"/>
        </w:rPr>
        <w:t xml:space="preserve"> Верзијата од 2024 година го задржува принципиелниот пристап карактеристичен за британскиот модел, преку области како лидерство и цел</w:t>
      </w:r>
      <w:r w:rsidR="00420FD9">
        <w:rPr>
          <w:sz w:val="24"/>
          <w:szCs w:val="24"/>
          <w:lang w:val="mk-MK"/>
        </w:rPr>
        <w:t>и</w:t>
      </w:r>
      <w:r w:rsidRPr="00925CDF">
        <w:rPr>
          <w:sz w:val="24"/>
          <w:szCs w:val="24"/>
          <w:lang w:val="mk-MK"/>
        </w:rPr>
        <w:t xml:space="preserve">, распределба на одговорности, состав и сукцесија на одборот, ревизија и управување со ризици, како и наградување. Особено значајна е новата одредба со која </w:t>
      </w:r>
      <w:r w:rsidR="00420FD9">
        <w:rPr>
          <w:sz w:val="24"/>
          <w:szCs w:val="24"/>
          <w:lang w:val="mk-MK"/>
        </w:rPr>
        <w:t xml:space="preserve">од </w:t>
      </w:r>
      <w:r w:rsidRPr="00925CDF">
        <w:rPr>
          <w:sz w:val="24"/>
          <w:szCs w:val="24"/>
          <w:lang w:val="mk-MK"/>
        </w:rPr>
        <w:t xml:space="preserve">одборите се очекува експлицитно да ја потврдат ефективноста на материјалните внатрешни контроли, со што се заострува одговорноста за надзор над ризиците. </w:t>
      </w:r>
    </w:p>
    <w:p w14:paraId="3C8C3E8B" w14:textId="4C647912" w:rsidR="00B37B80" w:rsidRDefault="00925CDF" w:rsidP="006607EE">
      <w:pPr>
        <w:spacing w:before="240"/>
        <w:ind w:firstLine="478"/>
        <w:jc w:val="both"/>
        <w:rPr>
          <w:sz w:val="24"/>
          <w:szCs w:val="24"/>
          <w:lang w:val="mk-MK"/>
        </w:rPr>
      </w:pPr>
      <w:r w:rsidRPr="00925CDF">
        <w:rPr>
          <w:sz w:val="24"/>
          <w:szCs w:val="24"/>
          <w:lang w:val="mk-MK"/>
        </w:rPr>
        <w:t xml:space="preserve">Уште </w:t>
      </w:r>
      <w:r w:rsidR="00DF776A">
        <w:rPr>
          <w:sz w:val="24"/>
          <w:szCs w:val="24"/>
          <w:lang w:val="mk-MK"/>
        </w:rPr>
        <w:t>со</w:t>
      </w:r>
      <w:r w:rsidRPr="00925CDF">
        <w:rPr>
          <w:sz w:val="24"/>
          <w:szCs w:val="24"/>
          <w:lang w:val="mk-MK"/>
        </w:rPr>
        <w:t xml:space="preserve"> реформите </w:t>
      </w:r>
      <w:r w:rsidR="00DF776A">
        <w:rPr>
          <w:sz w:val="24"/>
          <w:szCs w:val="24"/>
          <w:lang w:val="mk-MK"/>
        </w:rPr>
        <w:t>од</w:t>
      </w:r>
      <w:r w:rsidRPr="00925CDF">
        <w:rPr>
          <w:sz w:val="24"/>
          <w:szCs w:val="24"/>
          <w:lang w:val="mk-MK"/>
        </w:rPr>
        <w:t xml:space="preserve"> 2018 година, Кодексот ја нагласува и потребата </w:t>
      </w:r>
      <w:r w:rsidR="00DF776A">
        <w:rPr>
          <w:sz w:val="24"/>
          <w:szCs w:val="24"/>
          <w:lang w:val="mk-MK"/>
        </w:rPr>
        <w:t>од</w:t>
      </w:r>
      <w:r w:rsidRPr="00925CDF">
        <w:rPr>
          <w:sz w:val="24"/>
          <w:szCs w:val="24"/>
          <w:lang w:val="mk-MK"/>
        </w:rPr>
        <w:t xml:space="preserve"> воспоставување механизми за ангажман со вработените, при што на друштвата им се нудат три алтернативи: именување директор од редовите на работната сила, формирање советодавен панел на вработени или назначување неизвршен директор задолжен за прашања поврзани со работната сила. Во пракса, најчесто се избираат последните две опции, додека директори од редовите на вработените остануваат исклучок, што е конзистентно со традицијата на</w:t>
      </w:r>
      <w:r w:rsidR="005854C1">
        <w:rPr>
          <w:sz w:val="24"/>
          <w:szCs w:val="24"/>
          <w:lang w:val="mk-MK"/>
        </w:rPr>
        <w:t xml:space="preserve"> едностепен</w:t>
      </w:r>
      <w:r w:rsidRPr="00925CDF">
        <w:rPr>
          <w:sz w:val="24"/>
          <w:szCs w:val="24"/>
          <w:lang w:val="mk-MK"/>
        </w:rPr>
        <w:t xml:space="preserve"> управен одбор и со отпорот кон структурно </w:t>
      </w:r>
      <w:r w:rsidRPr="00925CDF">
        <w:rPr>
          <w:sz w:val="24"/>
          <w:szCs w:val="24"/>
          <w:lang w:val="mk-MK"/>
        </w:rPr>
        <w:lastRenderedPageBreak/>
        <w:t>учество на работниците.</w:t>
      </w:r>
    </w:p>
    <w:p w14:paraId="52C52695" w14:textId="79034225" w:rsidR="00183185" w:rsidRDefault="00183185" w:rsidP="006607EE">
      <w:pPr>
        <w:spacing w:before="240"/>
        <w:ind w:firstLine="478"/>
        <w:jc w:val="both"/>
        <w:rPr>
          <w:sz w:val="24"/>
          <w:szCs w:val="24"/>
          <w:lang w:val="mk-MK"/>
        </w:rPr>
      </w:pPr>
      <w:r w:rsidRPr="00183185">
        <w:rPr>
          <w:sz w:val="24"/>
          <w:szCs w:val="24"/>
          <w:lang w:val="mk-MK"/>
        </w:rPr>
        <w:t xml:space="preserve">За големите приватни друштва, Принципите на </w:t>
      </w:r>
      <w:r w:rsidR="00DB69D0">
        <w:rPr>
          <w:sz w:val="24"/>
          <w:szCs w:val="24"/>
          <w:lang w:val="mk-MK"/>
        </w:rPr>
        <w:t>Ватс</w:t>
      </w:r>
      <w:r w:rsidRPr="00183185">
        <w:rPr>
          <w:sz w:val="24"/>
          <w:szCs w:val="24"/>
          <w:lang w:val="mk-MK"/>
        </w:rPr>
        <w:t xml:space="preserve"> од 2018 година обезбедуваат доброволна рамка за известување и унапредување на стандардите на управување, со фокус на целта на друштвото, составот и одговорностите на управните тела</w:t>
      </w:r>
      <w:r w:rsidR="004C578C">
        <w:rPr>
          <w:sz w:val="24"/>
          <w:szCs w:val="24"/>
          <w:lang w:val="en-US"/>
        </w:rPr>
        <w:t>.</w:t>
      </w:r>
      <w:r w:rsidR="004C578C">
        <w:rPr>
          <w:rStyle w:val="FootnoteReference"/>
          <w:sz w:val="24"/>
          <w:szCs w:val="24"/>
          <w:lang w:val="en-US"/>
        </w:rPr>
        <w:footnoteReference w:id="691"/>
      </w:r>
      <w:r w:rsidRPr="00183185">
        <w:rPr>
          <w:sz w:val="24"/>
          <w:szCs w:val="24"/>
          <w:lang w:val="mk-MK"/>
        </w:rPr>
        <w:t xml:space="preserve"> </w:t>
      </w:r>
      <w:r w:rsidR="004C578C">
        <w:rPr>
          <w:sz w:val="24"/>
          <w:szCs w:val="24"/>
          <w:lang w:val="mk-MK"/>
        </w:rPr>
        <w:t xml:space="preserve">При тоа, принципите содржат и делови за </w:t>
      </w:r>
      <w:r w:rsidRPr="00183185">
        <w:rPr>
          <w:sz w:val="24"/>
          <w:szCs w:val="24"/>
          <w:lang w:val="mk-MK"/>
        </w:rPr>
        <w:t>можности</w:t>
      </w:r>
      <w:r w:rsidR="004C578C">
        <w:rPr>
          <w:sz w:val="24"/>
          <w:szCs w:val="24"/>
          <w:lang w:val="mk-MK"/>
        </w:rPr>
        <w:t>те,</w:t>
      </w:r>
      <w:r w:rsidRPr="00183185">
        <w:rPr>
          <w:sz w:val="24"/>
          <w:szCs w:val="24"/>
          <w:lang w:val="mk-MK"/>
        </w:rPr>
        <w:t xml:space="preserve"> ризиците, наградувањето и односите со засегнатите страни. Иако не се правно обврзувачки, овие принципи се надоврзуваат на законските обврски за известување и во практика претставуваат референтна точка за артикулирање на ангажманот со вработените надвор од котираниот сектор.</w:t>
      </w:r>
    </w:p>
    <w:p w14:paraId="0EAD5A49" w14:textId="3A8352E4" w:rsidR="00007339" w:rsidRDefault="00007339" w:rsidP="006607EE">
      <w:pPr>
        <w:spacing w:before="240"/>
        <w:ind w:firstLine="478"/>
        <w:jc w:val="both"/>
        <w:rPr>
          <w:sz w:val="24"/>
          <w:szCs w:val="24"/>
          <w:lang w:val="mk-MK"/>
        </w:rPr>
      </w:pPr>
      <w:r>
        <w:rPr>
          <w:sz w:val="24"/>
          <w:szCs w:val="24"/>
          <w:lang w:val="mk-MK"/>
        </w:rPr>
        <w:t xml:space="preserve">Под целосното име, </w:t>
      </w:r>
      <w:r w:rsidRPr="00007339">
        <w:rPr>
          <w:sz w:val="24"/>
          <w:szCs w:val="24"/>
          <w:lang w:val="mk-MK"/>
        </w:rPr>
        <w:t>Wates Corporate Governance Principles</w:t>
      </w:r>
      <w:r>
        <w:rPr>
          <w:sz w:val="24"/>
          <w:szCs w:val="24"/>
          <w:lang w:val="mk-MK"/>
        </w:rPr>
        <w:t>, принципите</w:t>
      </w:r>
      <w:r w:rsidRPr="00007339">
        <w:rPr>
          <w:sz w:val="24"/>
          <w:szCs w:val="24"/>
          <w:lang w:val="mk-MK"/>
        </w:rPr>
        <w:t xml:space="preserve"> се сет на </w:t>
      </w:r>
      <w:r>
        <w:rPr>
          <w:sz w:val="24"/>
          <w:szCs w:val="24"/>
          <w:lang w:val="mk-MK"/>
        </w:rPr>
        <w:t>доброволни,</w:t>
      </w:r>
      <w:r w:rsidRPr="00007339">
        <w:rPr>
          <w:sz w:val="24"/>
          <w:szCs w:val="24"/>
          <w:lang w:val="mk-MK"/>
        </w:rPr>
        <w:t xml:space="preserve"> принципиелно формулирани насоки за корпоративно управување, наменети за големи приватни компании во Обединетото Кралство кои не се котирани на берза и затоа не подлежат на</w:t>
      </w:r>
      <w:r w:rsidR="00F03453">
        <w:rPr>
          <w:sz w:val="24"/>
          <w:szCs w:val="24"/>
          <w:lang w:val="mk-MK"/>
        </w:rPr>
        <w:t xml:space="preserve"> кодексот,</w:t>
      </w:r>
      <w:r w:rsidRPr="00007339">
        <w:rPr>
          <w:sz w:val="24"/>
          <w:szCs w:val="24"/>
          <w:lang w:val="mk-MK"/>
        </w:rPr>
        <w:t xml:space="preserve"> UK Corporate Governance Code. Тие не создаваат законски права или институционални механизми за учество на вработените во органите на управување, туку функционираат како нормативна рамка што ги надградува обврските на директорите според</w:t>
      </w:r>
      <w:r w:rsidR="00F03453">
        <w:rPr>
          <w:sz w:val="24"/>
          <w:szCs w:val="24"/>
          <w:lang w:val="mk-MK"/>
        </w:rPr>
        <w:t xml:space="preserve"> нивниот Закон за трговски друштва,</w:t>
      </w:r>
      <w:r w:rsidRPr="00007339">
        <w:rPr>
          <w:sz w:val="24"/>
          <w:szCs w:val="24"/>
          <w:lang w:val="mk-MK"/>
        </w:rPr>
        <w:t xml:space="preserve"> Companies Act 2006, особено обврската да се земат предвид интересите на засегнатите страни. Принципите се засноваат на логиката „примени или објасни“ и опфаќаат јасна корпоративна цел, одговорно лидерство, соодветен состав и функционирање на одборот, управување со ризици и можности, транспарентно наградување и значењето на дијалогот со вработените и </w:t>
      </w:r>
      <w:r w:rsidR="002271F0">
        <w:rPr>
          <w:sz w:val="24"/>
          <w:szCs w:val="24"/>
          <w:lang w:val="mk-MK"/>
        </w:rPr>
        <w:t>сите</w:t>
      </w:r>
      <w:r w:rsidRPr="00007339">
        <w:rPr>
          <w:sz w:val="24"/>
          <w:szCs w:val="24"/>
          <w:lang w:val="mk-MK"/>
        </w:rPr>
        <w:t xml:space="preserve"> страни како дел од долгорочниот успех на компанијата.</w:t>
      </w:r>
    </w:p>
    <w:p w14:paraId="20ED3AAE" w14:textId="1A4AC051" w:rsidR="005820B3" w:rsidRDefault="005820B3" w:rsidP="006607EE">
      <w:pPr>
        <w:spacing w:before="240"/>
        <w:ind w:firstLine="478"/>
        <w:jc w:val="both"/>
        <w:rPr>
          <w:sz w:val="24"/>
          <w:szCs w:val="24"/>
          <w:lang w:val="mk-MK"/>
        </w:rPr>
      </w:pPr>
      <w:r w:rsidRPr="005820B3">
        <w:rPr>
          <w:sz w:val="24"/>
          <w:szCs w:val="24"/>
          <w:lang w:val="mk-MK"/>
        </w:rPr>
        <w:t xml:space="preserve">Во суштина, </w:t>
      </w:r>
      <w:r>
        <w:rPr>
          <w:sz w:val="24"/>
          <w:szCs w:val="24"/>
          <w:lang w:val="mk-MK"/>
        </w:rPr>
        <w:t>овие принципи</w:t>
      </w:r>
      <w:r w:rsidRPr="005820B3">
        <w:rPr>
          <w:sz w:val="24"/>
          <w:szCs w:val="24"/>
          <w:lang w:val="mk-MK"/>
        </w:rPr>
        <w:t xml:space="preserve"> претставуваат типичен англосаксонски пристап кон корпоративното управување, во кој учеството на вработените е процесно и индиректно. Тие не воспоставуваат кодетерминација ниту задолжителна застапеност на работниците во одборите, туку се потпираат на транспарентност, отчетност и саморегулација за да поттикнат одговорно однесување на управата. Во компаративна перспектива, тие стојат во јасен контраст со германскиот и холандскиот модел, каде што учеството на вработените е правно вградено во управувачката структура, и се поблиски до италијанскиот и полскиот модел, каде што гласот на работниците се канализира преку консултации и синдикално посредување. За македонскиот контекст, </w:t>
      </w:r>
      <w:r w:rsidR="00E8401B">
        <w:rPr>
          <w:sz w:val="24"/>
          <w:szCs w:val="24"/>
          <w:lang w:val="mk-MK"/>
        </w:rPr>
        <w:t>принципите</w:t>
      </w:r>
      <w:r w:rsidR="00ED03F9">
        <w:rPr>
          <w:sz w:val="24"/>
          <w:szCs w:val="24"/>
          <w:lang w:val="mk-MK"/>
        </w:rPr>
        <w:t xml:space="preserve"> на Ватс</w:t>
      </w:r>
      <w:r w:rsidR="00E8401B">
        <w:rPr>
          <w:sz w:val="24"/>
          <w:szCs w:val="24"/>
          <w:lang w:val="mk-MK"/>
        </w:rPr>
        <w:t xml:space="preserve"> </w:t>
      </w:r>
      <w:r w:rsidRPr="005820B3">
        <w:rPr>
          <w:sz w:val="24"/>
          <w:szCs w:val="24"/>
          <w:lang w:val="mk-MK"/>
        </w:rPr>
        <w:t>се релевантни не како модел за работничко учество, туку како пример како преку меки правила и обврска за објаснување може да се подигне квалитетот на управувањето и отчетноста, без притоа да се замени потребата од јасни законски механизми за реално вклучување на вработените.</w:t>
      </w:r>
    </w:p>
    <w:p w14:paraId="09B75971" w14:textId="7FA87AA0" w:rsidR="002271F0" w:rsidRDefault="00B0508A" w:rsidP="006607EE">
      <w:pPr>
        <w:spacing w:before="240"/>
        <w:ind w:firstLine="478"/>
        <w:jc w:val="both"/>
        <w:rPr>
          <w:sz w:val="24"/>
          <w:szCs w:val="24"/>
          <w:lang w:val="mk-MK"/>
        </w:rPr>
      </w:pPr>
      <w:r w:rsidRPr="00B0508A">
        <w:rPr>
          <w:sz w:val="24"/>
          <w:szCs w:val="24"/>
          <w:lang w:val="mk-MK"/>
        </w:rPr>
        <w:t xml:space="preserve">Формална кодетерминација, во смисла на задолжителни места за претставници на вработените во управните одбори, не постои во британското компанииско право, а </w:t>
      </w:r>
      <w:r w:rsidR="008C7797">
        <w:rPr>
          <w:sz w:val="24"/>
          <w:szCs w:val="24"/>
          <w:lang w:val="mk-MK"/>
        </w:rPr>
        <w:t xml:space="preserve">едностепениот </w:t>
      </w:r>
      <w:r w:rsidRPr="00B0508A">
        <w:rPr>
          <w:sz w:val="24"/>
          <w:szCs w:val="24"/>
          <w:lang w:val="mk-MK"/>
        </w:rPr>
        <w:t>одбор</w:t>
      </w:r>
      <w:r w:rsidR="008C7797">
        <w:rPr>
          <w:sz w:val="24"/>
          <w:szCs w:val="24"/>
          <w:lang w:val="mk-MK"/>
        </w:rPr>
        <w:t xml:space="preserve"> на „надворешни“ директори</w:t>
      </w:r>
      <w:r w:rsidRPr="00B0508A">
        <w:rPr>
          <w:sz w:val="24"/>
          <w:szCs w:val="24"/>
          <w:lang w:val="mk-MK"/>
        </w:rPr>
        <w:t xml:space="preserve"> останува доминантен модел. Како резултат на тоа, гласот на вработените се канализира првенствено преку три патишта: постапки за информирање и консултација, колективно договарање преку независни синдикати и доброволни механизми за ангажман на ниво на одбор, поттикнати од Кодексот. Регулативата за информирање и консултација на вработените предвидува воспоставување на такви механизми по барање на вработените, при што од 2020 година прагот за покренување е намален на 2 проценти од работната сила, со минимум од 15 </w:t>
      </w:r>
      <w:r w:rsidRPr="00B0508A">
        <w:rPr>
          <w:sz w:val="24"/>
          <w:szCs w:val="24"/>
          <w:lang w:val="mk-MK"/>
        </w:rPr>
        <w:lastRenderedPageBreak/>
        <w:t>вработени, со што формално се олеснува пристапот до консултативни структури.</w:t>
      </w:r>
      <w:r w:rsidR="00D111CD">
        <w:rPr>
          <w:rStyle w:val="FootnoteReference"/>
          <w:sz w:val="24"/>
          <w:szCs w:val="24"/>
          <w:lang w:val="mk-MK"/>
        </w:rPr>
        <w:footnoteReference w:id="692"/>
      </w:r>
      <w:r w:rsidRPr="00B0508A">
        <w:rPr>
          <w:sz w:val="24"/>
          <w:szCs w:val="24"/>
          <w:lang w:val="mk-MK"/>
        </w:rPr>
        <w:t xml:space="preserve"> Сепак, синдикалната густина продолжува да опаѓа и во 2023 година се движи </w:t>
      </w:r>
      <w:r w:rsidR="009D0D32">
        <w:rPr>
          <w:sz w:val="24"/>
          <w:szCs w:val="24"/>
          <w:lang w:val="mk-MK"/>
        </w:rPr>
        <w:t>околу</w:t>
      </w:r>
      <w:r w:rsidRPr="00B0508A">
        <w:rPr>
          <w:sz w:val="24"/>
          <w:szCs w:val="24"/>
          <w:lang w:val="mk-MK"/>
        </w:rPr>
        <w:t xml:space="preserve"> дваесет проценти, што резултира со нерамномерна и често слаба застапеност на вработените на ниво на работно место и сектор.</w:t>
      </w:r>
    </w:p>
    <w:p w14:paraId="5D4BC24F" w14:textId="58631243" w:rsidR="00174C95" w:rsidRDefault="00B27ED8" w:rsidP="006607EE">
      <w:pPr>
        <w:spacing w:before="240"/>
        <w:ind w:firstLine="478"/>
        <w:jc w:val="both"/>
        <w:rPr>
          <w:sz w:val="24"/>
          <w:szCs w:val="24"/>
          <w:lang w:val="mk-MK"/>
        </w:rPr>
      </w:pPr>
      <w:r w:rsidRPr="00B27ED8">
        <w:rPr>
          <w:sz w:val="24"/>
          <w:szCs w:val="24"/>
          <w:lang w:val="mk-MK"/>
        </w:rPr>
        <w:t>Одредени механизми</w:t>
      </w:r>
      <w:r>
        <w:rPr>
          <w:sz w:val="24"/>
          <w:szCs w:val="24"/>
          <w:lang w:val="mk-MK"/>
        </w:rPr>
        <w:t>, кои главно водат</w:t>
      </w:r>
      <w:r w:rsidRPr="00B27ED8">
        <w:rPr>
          <w:sz w:val="24"/>
          <w:szCs w:val="24"/>
          <w:lang w:val="mk-MK"/>
        </w:rPr>
        <w:t xml:space="preserve"> потекло од правото на ЕУ</w:t>
      </w:r>
      <w:r>
        <w:rPr>
          <w:sz w:val="24"/>
          <w:szCs w:val="24"/>
          <w:lang w:val="mk-MK"/>
        </w:rPr>
        <w:t>,</w:t>
      </w:r>
      <w:r w:rsidRPr="00B27ED8">
        <w:rPr>
          <w:sz w:val="24"/>
          <w:szCs w:val="24"/>
          <w:lang w:val="mk-MK"/>
        </w:rPr>
        <w:t xml:space="preserve"> остануваат релевантни во ограничен обем. Пред Брегзит, британските друштва можеа да ја користат формата Societas Europaea со договорено учество на вработените, а по напуштањето на ЕУ беше воспоставен посебен режим за т.н. UK Societas, кој задржува дел од правилата за учество кај постојните субјекти.</w:t>
      </w:r>
      <w:r w:rsidR="003629ED" w:rsidRPr="003629ED">
        <w:rPr>
          <w:sz w:val="24"/>
          <w:szCs w:val="24"/>
          <w:lang w:val="mk-MK"/>
        </w:rPr>
        <w:t xml:space="preserve"> </w:t>
      </w:r>
      <w:r w:rsidR="003629ED">
        <w:rPr>
          <w:sz w:val="24"/>
          <w:szCs w:val="24"/>
          <w:lang w:val="mk-MK"/>
        </w:rPr>
        <w:t>Е</w:t>
      </w:r>
      <w:r w:rsidR="003629ED" w:rsidRPr="003629ED">
        <w:rPr>
          <w:sz w:val="24"/>
          <w:szCs w:val="24"/>
          <w:lang w:val="mk-MK"/>
        </w:rPr>
        <w:t>вропска</w:t>
      </w:r>
      <w:r w:rsidR="003629ED">
        <w:rPr>
          <w:sz w:val="24"/>
          <w:szCs w:val="24"/>
          <w:lang w:val="mk-MK"/>
        </w:rPr>
        <w:t>та</w:t>
      </w:r>
      <w:r w:rsidR="003629ED" w:rsidRPr="003629ED">
        <w:rPr>
          <w:sz w:val="24"/>
          <w:szCs w:val="24"/>
          <w:lang w:val="mk-MK"/>
        </w:rPr>
        <w:t xml:space="preserve"> правна форма овозможува</w:t>
      </w:r>
      <w:r w:rsidR="003629ED">
        <w:rPr>
          <w:sz w:val="24"/>
          <w:szCs w:val="24"/>
          <w:lang w:val="mk-MK"/>
        </w:rPr>
        <w:t>ше</w:t>
      </w:r>
      <w:r w:rsidR="003629ED" w:rsidRPr="003629ED">
        <w:rPr>
          <w:sz w:val="24"/>
          <w:szCs w:val="24"/>
          <w:lang w:val="mk-MK"/>
        </w:rPr>
        <w:t xml:space="preserve"> прекугранично работење и задолжително предвидува</w:t>
      </w:r>
      <w:r w:rsidR="003629ED">
        <w:rPr>
          <w:sz w:val="24"/>
          <w:szCs w:val="24"/>
          <w:lang w:val="mk-MK"/>
        </w:rPr>
        <w:t>ше</w:t>
      </w:r>
      <w:r w:rsidR="003629ED" w:rsidRPr="003629ED">
        <w:rPr>
          <w:sz w:val="24"/>
          <w:szCs w:val="24"/>
          <w:lang w:val="mk-MK"/>
        </w:rPr>
        <w:t xml:space="preserve"> преговори за учество на вработените во управувањето, вклучително и можност за претставници на работниците во управните или надзорните органи. По Брегзит, ново основање на SE во Велика Британија повеќе не е можно, </w:t>
      </w:r>
      <w:r w:rsidR="000A6099">
        <w:rPr>
          <w:sz w:val="24"/>
          <w:szCs w:val="24"/>
          <w:lang w:val="mk-MK"/>
        </w:rPr>
        <w:t>па затоа</w:t>
      </w:r>
      <w:r w:rsidR="003629ED" w:rsidRPr="003629ED">
        <w:rPr>
          <w:sz w:val="24"/>
          <w:szCs w:val="24"/>
          <w:lang w:val="mk-MK"/>
        </w:rPr>
        <w:t xml:space="preserve"> национал</w:t>
      </w:r>
      <w:r w:rsidR="0002179F">
        <w:rPr>
          <w:sz w:val="24"/>
          <w:szCs w:val="24"/>
          <w:lang w:val="mk-MK"/>
        </w:rPr>
        <w:t>ниот</w:t>
      </w:r>
      <w:r w:rsidR="003629ED" w:rsidRPr="003629ED">
        <w:rPr>
          <w:sz w:val="24"/>
          <w:szCs w:val="24"/>
          <w:lang w:val="mk-MK"/>
        </w:rPr>
        <w:t xml:space="preserve"> режим </w:t>
      </w:r>
      <w:r w:rsidR="0002179F">
        <w:rPr>
          <w:sz w:val="24"/>
          <w:szCs w:val="24"/>
          <w:lang w:val="mk-MK"/>
        </w:rPr>
        <w:t xml:space="preserve">за </w:t>
      </w:r>
      <w:r w:rsidR="003629ED" w:rsidRPr="003629ED">
        <w:rPr>
          <w:sz w:val="24"/>
          <w:szCs w:val="24"/>
          <w:lang w:val="mk-MK"/>
        </w:rPr>
        <w:t>UK Societas, служи да ги „преведе“ постојните SE регистрирани во Обединетото Кралство во домашна форма, при што се задржуваат претходно договорените правила за учество на вработените. Со тоа се спречува губење на веќе стекнатите права на вработените во тие компании, но без проширување на моделот кон нови субјекти или воведување општа кодетерминација во британското право.</w:t>
      </w:r>
    </w:p>
    <w:p w14:paraId="191D7755" w14:textId="066DEADF" w:rsidR="009E1C1C" w:rsidRDefault="00B27ED8" w:rsidP="006607EE">
      <w:pPr>
        <w:spacing w:before="240"/>
        <w:ind w:firstLine="478"/>
        <w:jc w:val="both"/>
        <w:rPr>
          <w:sz w:val="24"/>
          <w:szCs w:val="24"/>
          <w:lang w:val="mk-MK"/>
        </w:rPr>
      </w:pPr>
      <w:r w:rsidRPr="00B27ED8">
        <w:rPr>
          <w:sz w:val="24"/>
          <w:szCs w:val="24"/>
          <w:lang w:val="mk-MK"/>
        </w:rPr>
        <w:t>Пошироко гледано, дебатата за корпоративно управување во Обединетото Кралство по 2019 година покажува засилен дискурс за „засегнати страни“, но без суштинско поместување кон структурно учество на вработените на ниво на управување. Изјавите по член 172 и опциите за ангажман предвидени во Кодексот претставуваат главни институционални алатки за вклучување на перспективата на вработените во стратешкото одлучување, но тие остануваат процесни, а не структурни механизми.</w:t>
      </w:r>
      <w:r w:rsidR="000E7809">
        <w:rPr>
          <w:sz w:val="24"/>
          <w:szCs w:val="24"/>
          <w:lang w:val="mk-MK"/>
        </w:rPr>
        <w:t xml:space="preserve"> </w:t>
      </w:r>
      <w:r w:rsidR="000E7809" w:rsidRPr="000E7809">
        <w:rPr>
          <w:sz w:val="24"/>
          <w:szCs w:val="24"/>
          <w:lang w:val="mk-MK"/>
        </w:rPr>
        <w:t>Изјавите ги обврзуваат директорите јавно да објаснат како при носењето стратешки одлуки ги земале предвид вработените и другите засегнати страни, додека Кодексот за корпоративно управување нуди опции како советодавни панели или назначување директор задолжен за односите со работната сила. Овие алатки можат да ја подобрат транспарентноста и дијалогот, но не создаваат трајна институционална позиција за вработените во управната структура, за разлика од германскиот или словенечкиот модел каде учеството е вградено на ниво на одбор.</w:t>
      </w:r>
    </w:p>
    <w:p w14:paraId="39EB73F1" w14:textId="47A48E0D" w:rsidR="00FA4D2C" w:rsidRDefault="00FA4D2C" w:rsidP="006607EE">
      <w:pPr>
        <w:spacing w:before="240"/>
        <w:ind w:firstLine="478"/>
        <w:jc w:val="both"/>
        <w:rPr>
          <w:sz w:val="24"/>
          <w:szCs w:val="24"/>
          <w:lang w:val="mk-MK"/>
        </w:rPr>
      </w:pPr>
      <w:r w:rsidRPr="00FA4D2C">
        <w:rPr>
          <w:sz w:val="24"/>
          <w:szCs w:val="24"/>
          <w:lang w:val="mk-MK"/>
        </w:rPr>
        <w:t xml:space="preserve">Во компаративна перспектива, британскиот модел ја става во преден план одговорноста на одборот кон акционерите, потпирајќи се на развиен систем на транспарентност, известување и инвеститорски надзор, додека учеството на вработените е ограничено на консултативни и дискрециони форми. Во споредба со германскиот или словенечкиот модел, каде работничкото учество е институционализирано и правно гарантирано преку задолжителни места во управните структури, улогата на вработените во Обединетото Кралство е значително послаба, помалку видлива и зависна од добра волја, меко право и силата на колективните актери. Оваа разлика е особено релевантна </w:t>
      </w:r>
      <w:r w:rsidRPr="00FA4D2C">
        <w:rPr>
          <w:sz w:val="24"/>
          <w:szCs w:val="24"/>
          <w:lang w:val="mk-MK"/>
        </w:rPr>
        <w:lastRenderedPageBreak/>
        <w:t>при разгледување на преносливоста на британските решенија во контексти со веќе слаби синдикати и ограничена култура на колективно застапување, како што е македонскиот.</w:t>
      </w:r>
    </w:p>
    <w:p w14:paraId="6EF354F3" w14:textId="05717FE7" w:rsidR="006506CD" w:rsidRDefault="006506CD" w:rsidP="006607EE">
      <w:pPr>
        <w:spacing w:before="240"/>
        <w:ind w:firstLine="478"/>
        <w:jc w:val="both"/>
        <w:rPr>
          <w:sz w:val="24"/>
          <w:szCs w:val="24"/>
          <w:lang w:val="mk-MK"/>
        </w:rPr>
      </w:pPr>
      <w:r w:rsidRPr="006506CD">
        <w:rPr>
          <w:sz w:val="24"/>
          <w:szCs w:val="24"/>
          <w:lang w:val="mk-MK"/>
        </w:rPr>
        <w:t>Во однос на континенталните модели разгледани претходно, британскиот систем на корпоративно управување претставува најчиста артикулација на акционерска примарност,</w:t>
      </w:r>
      <w:r w:rsidR="002E7CC1">
        <w:rPr>
          <w:sz w:val="24"/>
          <w:szCs w:val="24"/>
          <w:lang w:val="en-US"/>
        </w:rPr>
        <w:t xml:space="preserve"> </w:t>
      </w:r>
      <w:r w:rsidR="002E7CC1">
        <w:rPr>
          <w:sz w:val="24"/>
          <w:szCs w:val="24"/>
          <w:lang w:val="mk-MK"/>
        </w:rPr>
        <w:t>послаб можеби само од американскиот,</w:t>
      </w:r>
      <w:r w:rsidRPr="006506CD">
        <w:rPr>
          <w:sz w:val="24"/>
          <w:szCs w:val="24"/>
          <w:lang w:val="mk-MK"/>
        </w:rPr>
        <w:t xml:space="preserve"> при што учеството на вработените се појавува како процесна, а не структурна категорија.</w:t>
      </w:r>
      <w:r w:rsidR="002E7CC1">
        <w:rPr>
          <w:rStyle w:val="FootnoteReference"/>
          <w:sz w:val="24"/>
          <w:szCs w:val="24"/>
          <w:lang w:val="mk-MK"/>
        </w:rPr>
        <w:footnoteReference w:id="693"/>
      </w:r>
      <w:r w:rsidRPr="006506CD">
        <w:rPr>
          <w:sz w:val="24"/>
          <w:szCs w:val="24"/>
          <w:lang w:val="mk-MK"/>
        </w:rPr>
        <w:t xml:space="preserve"> За разлика од германската кодетерминација, каде застапеноста на работниците во надзорните органи има конститутивна функција, или италијанскиот плуралистички пристап со формално раздвојување на управување и надзор преку </w:t>
      </w:r>
      <w:r w:rsidRPr="007265B6">
        <w:rPr>
          <w:i/>
          <w:iCs/>
          <w:sz w:val="24"/>
          <w:szCs w:val="24"/>
          <w:lang w:val="mk-MK"/>
        </w:rPr>
        <w:t>collegio sindacale</w:t>
      </w:r>
      <w:r w:rsidRPr="006506CD">
        <w:rPr>
          <w:sz w:val="24"/>
          <w:szCs w:val="24"/>
          <w:lang w:val="mk-MK"/>
        </w:rPr>
        <w:t xml:space="preserve">, британскиот модел ја концентрира одговорноста и дискрецијата во </w:t>
      </w:r>
      <w:r w:rsidR="00641028">
        <w:rPr>
          <w:sz w:val="24"/>
          <w:szCs w:val="24"/>
          <w:lang w:val="mk-MK"/>
        </w:rPr>
        <w:t>едностепениот</w:t>
      </w:r>
      <w:r w:rsidRPr="006506CD">
        <w:rPr>
          <w:sz w:val="24"/>
          <w:szCs w:val="24"/>
          <w:lang w:val="mk-MK"/>
        </w:rPr>
        <w:t xml:space="preserve"> управен одбор, без правно загарантирани позиции за вработените. Дури и во споредба со холандскиот систем, каде надзорниот одбор има поголема автономија и посредничка улога </w:t>
      </w:r>
      <w:r w:rsidR="00641028">
        <w:rPr>
          <w:sz w:val="24"/>
          <w:szCs w:val="24"/>
          <w:lang w:val="mk-MK"/>
        </w:rPr>
        <w:t>по</w:t>
      </w:r>
      <w:r w:rsidRPr="006506CD">
        <w:rPr>
          <w:sz w:val="24"/>
          <w:szCs w:val="24"/>
          <w:lang w:val="mk-MK"/>
        </w:rPr>
        <w:t>меѓу различни интереси, британскиот одбор останува експлицитно ориентиран кон создавање вредност за акционерите, при што другите интереси се интегрираат исклучиво преку обврска за „разгледување“, а не преку право на ко</w:t>
      </w:r>
      <w:r w:rsidR="00641028">
        <w:rPr>
          <w:sz w:val="24"/>
          <w:szCs w:val="24"/>
          <w:lang w:val="mk-MK"/>
        </w:rPr>
        <w:t>-</w:t>
      </w:r>
      <w:r w:rsidRPr="006506CD">
        <w:rPr>
          <w:sz w:val="24"/>
          <w:szCs w:val="24"/>
          <w:lang w:val="mk-MK"/>
        </w:rPr>
        <w:t>одлучување.</w:t>
      </w:r>
    </w:p>
    <w:p w14:paraId="55C73A9E" w14:textId="52C7DFCF" w:rsidR="00641028" w:rsidRDefault="008F6F49" w:rsidP="006607EE">
      <w:pPr>
        <w:spacing w:before="240"/>
        <w:ind w:firstLine="478"/>
        <w:jc w:val="both"/>
        <w:rPr>
          <w:sz w:val="24"/>
          <w:szCs w:val="24"/>
          <w:lang w:val="mk-MK"/>
        </w:rPr>
      </w:pPr>
      <w:r w:rsidRPr="008F6F49">
        <w:rPr>
          <w:sz w:val="24"/>
          <w:szCs w:val="24"/>
          <w:lang w:val="mk-MK"/>
        </w:rPr>
        <w:t>Во таа смисла, британскиот модел концептуално се доближува до полското искуство, каде формалните механизми за учество постојат, но произведуваат слаб институционален импулс и ограничени практични резултати. Како и во Полска, вклучувањето на вработените во Обединетото Кралство е претежно медијирано преку консултативни процедури и преку рамки на меко право, кои зависат од корпоративната култура и од пазарниот притисок, а не од обврзувачка правна архитектура. Разликата е што, британскиот модел функционира во средина со силни пазари на капитал, развиени инвеститорски механизми и високо развиена култура на известување, што делумно ја компензира слабата позиција на работничкото учество</w:t>
      </w:r>
      <w:r w:rsidR="00EF39BB">
        <w:rPr>
          <w:sz w:val="24"/>
          <w:szCs w:val="24"/>
          <w:lang w:val="mk-MK"/>
        </w:rPr>
        <w:t>.</w:t>
      </w:r>
    </w:p>
    <w:p w14:paraId="6B87185D" w14:textId="1D6B6315" w:rsidR="00EF39BB" w:rsidRDefault="00EF39BB" w:rsidP="006607EE">
      <w:pPr>
        <w:spacing w:before="240"/>
        <w:ind w:firstLine="478"/>
        <w:jc w:val="both"/>
        <w:rPr>
          <w:sz w:val="24"/>
          <w:szCs w:val="24"/>
          <w:lang w:val="mk-MK"/>
        </w:rPr>
      </w:pPr>
      <w:r>
        <w:rPr>
          <w:sz w:val="24"/>
          <w:szCs w:val="24"/>
          <w:lang w:val="mk-MK"/>
        </w:rPr>
        <w:t xml:space="preserve">Притоа, важно е и да се напомене дека </w:t>
      </w:r>
      <w:r w:rsidRPr="00EF39BB">
        <w:rPr>
          <w:sz w:val="24"/>
          <w:szCs w:val="24"/>
          <w:lang w:val="mk-MK"/>
        </w:rPr>
        <w:t>Обединетото Кралство, за разлика од повеќе континентални европски системи, доследно и свесно го поддржува својот пазарно ориентиран, акционерски модел на корпоративно управување и не покажува сериозна намера да воведе структурна коодлучувачка улога на вработените во управните органи. Наместо тоа, британскиот пристап е нормативно јасен и институционално конзистентен. Вработените се признаваат како релевантни засегнати страни, но нивното вклучување се замислува преку економско учество и транспарентност, а не преку формално управување. Во таа смисла, британскиот модел е помалку декларативен и повеќе инструментален од системите кои формално прокламираат учество, но во пракса обезбедуваат слаб или симболичен импакт.</w:t>
      </w:r>
      <w:r w:rsidR="00EE407B">
        <w:rPr>
          <w:rStyle w:val="FootnoteReference"/>
          <w:sz w:val="24"/>
          <w:szCs w:val="24"/>
          <w:lang w:val="mk-MK"/>
        </w:rPr>
        <w:footnoteReference w:id="694"/>
      </w:r>
    </w:p>
    <w:p w14:paraId="18B4A510" w14:textId="572373B1" w:rsidR="00677E4A" w:rsidRDefault="00C20F8B" w:rsidP="006607EE">
      <w:pPr>
        <w:spacing w:before="240"/>
        <w:ind w:firstLine="478"/>
        <w:jc w:val="both"/>
        <w:rPr>
          <w:sz w:val="24"/>
          <w:szCs w:val="24"/>
          <w:lang w:val="mk-MK"/>
        </w:rPr>
      </w:pPr>
      <w:r w:rsidRPr="00C20F8B">
        <w:rPr>
          <w:sz w:val="24"/>
          <w:szCs w:val="24"/>
          <w:lang w:val="mk-MK"/>
        </w:rPr>
        <w:t>Клучниот канал преку кој Обединетото Кралство ја реализира идејата за вклучување на вработените е преку сопственичко учество, односно преку доделување акции и финансиска партиципација. Наместо место во одбор, вработениот добива удел во капиталот и индиректно станува дел од групата чиј интерес директорите се должни да го унапредуваат. Овој пристап е во целосна согласност со логиката на член 172 од Companies Act 2006 и со акционерската ориентација на британското корпоративно право.</w:t>
      </w:r>
      <w:r w:rsidR="00A05D32">
        <w:rPr>
          <w:sz w:val="24"/>
          <w:szCs w:val="24"/>
          <w:lang w:val="mk-MK"/>
        </w:rPr>
        <w:t xml:space="preserve"> </w:t>
      </w:r>
      <w:r w:rsidR="00A05D32" w:rsidRPr="00A05D32">
        <w:rPr>
          <w:sz w:val="24"/>
          <w:szCs w:val="24"/>
          <w:lang w:val="mk-MK"/>
        </w:rPr>
        <w:t xml:space="preserve">Во пракса, Обединетото Кралство разви еден од најсофистицираните и најстимулирачки режими за вработеничко акционерство во Европа. Најраспространети </w:t>
      </w:r>
      <w:r w:rsidR="00A05D32" w:rsidRPr="00A05D32">
        <w:rPr>
          <w:sz w:val="24"/>
          <w:szCs w:val="24"/>
          <w:lang w:val="mk-MK"/>
        </w:rPr>
        <w:lastRenderedPageBreak/>
        <w:t>се Share Incentive Plans (SIP), кои овозможуваат доделување бесплатни или купени акции со даночни олеснувања, Save As You Earn (SAYE) шеми кои комбинираат штедење и опции за купување акции, како и Employee Ownership Trusts (EOT), преку кои компаниите можат делумно или целосно да преминат во сопственост</w:t>
      </w:r>
      <w:r w:rsidR="00B14A18">
        <w:rPr>
          <w:sz w:val="24"/>
          <w:szCs w:val="24"/>
          <w:lang w:val="mk-MK"/>
        </w:rPr>
        <w:t xml:space="preserve"> на вработените</w:t>
      </w:r>
      <w:r w:rsidR="00A05D32" w:rsidRPr="00A05D32">
        <w:rPr>
          <w:sz w:val="24"/>
          <w:szCs w:val="24"/>
          <w:lang w:val="mk-MK"/>
        </w:rPr>
        <w:t>. Овие механизми не се маргинални, туку системски поддржани преку даночната политика и активната улога на државата во промовирање на „employee share ownership“.</w:t>
      </w:r>
    </w:p>
    <w:p w14:paraId="6CF84EE5" w14:textId="65F6B9C4" w:rsidR="00263918" w:rsidRDefault="00263918" w:rsidP="006607EE">
      <w:pPr>
        <w:spacing w:before="240"/>
        <w:ind w:firstLine="478"/>
        <w:jc w:val="both"/>
        <w:rPr>
          <w:sz w:val="24"/>
          <w:szCs w:val="24"/>
          <w:lang w:val="mk-MK"/>
        </w:rPr>
      </w:pPr>
      <w:r>
        <w:rPr>
          <w:sz w:val="24"/>
          <w:szCs w:val="24"/>
          <w:lang w:val="mk-MK"/>
        </w:rPr>
        <w:t xml:space="preserve">Компаративно, </w:t>
      </w:r>
      <w:r w:rsidRPr="00263918">
        <w:rPr>
          <w:sz w:val="24"/>
          <w:szCs w:val="24"/>
          <w:lang w:val="mk-MK"/>
        </w:rPr>
        <w:t>вклучувањето на вработените преку доделување акции или финансиска партиципација во</w:t>
      </w:r>
      <w:r>
        <w:rPr>
          <w:sz w:val="24"/>
          <w:szCs w:val="24"/>
          <w:lang w:val="mk-MK"/>
        </w:rPr>
        <w:t xml:space="preserve"> останатите </w:t>
      </w:r>
      <w:r w:rsidRPr="00263918">
        <w:rPr>
          <w:sz w:val="24"/>
          <w:szCs w:val="24"/>
          <w:lang w:val="mk-MK"/>
        </w:rPr>
        <w:t>осум земји</w:t>
      </w:r>
      <w:r>
        <w:rPr>
          <w:sz w:val="24"/>
          <w:szCs w:val="24"/>
          <w:lang w:val="mk-MK"/>
        </w:rPr>
        <w:t xml:space="preserve"> кои беа предмет на анализа досега</w:t>
      </w:r>
      <w:r w:rsidRPr="00263918">
        <w:rPr>
          <w:sz w:val="24"/>
          <w:szCs w:val="24"/>
          <w:lang w:val="mk-MK"/>
        </w:rPr>
        <w:t>, со фокус на правната рамка, реалната практика и институционалната тежина на овој инструмент</w:t>
      </w:r>
      <w:r>
        <w:rPr>
          <w:sz w:val="24"/>
          <w:szCs w:val="24"/>
          <w:lang w:val="mk-MK"/>
        </w:rPr>
        <w:t xml:space="preserve">, </w:t>
      </w:r>
      <w:r w:rsidR="00EE407B">
        <w:rPr>
          <w:sz w:val="24"/>
          <w:szCs w:val="24"/>
          <w:lang w:val="mk-MK"/>
        </w:rPr>
        <w:t xml:space="preserve">покажува целосно поразлична слика. На пример, </w:t>
      </w:r>
      <w:r w:rsidR="0036600D">
        <w:rPr>
          <w:sz w:val="24"/>
          <w:szCs w:val="24"/>
          <w:lang w:val="mk-MK"/>
        </w:rPr>
        <w:t>в</w:t>
      </w:r>
      <w:r w:rsidR="0036600D" w:rsidRPr="0036600D">
        <w:rPr>
          <w:sz w:val="24"/>
          <w:szCs w:val="24"/>
          <w:lang w:val="mk-MK"/>
        </w:rPr>
        <w:t xml:space="preserve">о македонскиот правен систем </w:t>
      </w:r>
      <w:r w:rsidR="0036600D">
        <w:rPr>
          <w:sz w:val="24"/>
          <w:szCs w:val="24"/>
          <w:lang w:val="mk-MK"/>
        </w:rPr>
        <w:t>работничкото</w:t>
      </w:r>
      <w:r w:rsidR="0036600D" w:rsidRPr="0036600D">
        <w:rPr>
          <w:sz w:val="24"/>
          <w:szCs w:val="24"/>
          <w:lang w:val="mk-MK"/>
        </w:rPr>
        <w:t xml:space="preserve"> акционерство постои речиси исклучиво како историски остаток од процесите на приватизација од 1990-тите, преку т.н. интерна приватизација и менаџерско-</w:t>
      </w:r>
      <w:r w:rsidR="0036600D">
        <w:rPr>
          <w:sz w:val="24"/>
          <w:szCs w:val="24"/>
          <w:lang w:val="mk-MK"/>
        </w:rPr>
        <w:t>работнички</w:t>
      </w:r>
      <w:r w:rsidR="0036600D" w:rsidRPr="0036600D">
        <w:rPr>
          <w:sz w:val="24"/>
          <w:szCs w:val="24"/>
          <w:lang w:val="mk-MK"/>
        </w:rPr>
        <w:t xml:space="preserve"> откупи. Денес, позитивното право не содржи развиен, функционален или стимулативен режим за доделување акции на вработени во тековното корпоративно работење. Нема посебни даночни олеснувања, нема типизирани шеми, ниту јавни политики што го охрабруваат овој модел. Во практика, учеството преку акции е ретко, фрагментирано и без реална улога во корпоративното управување.</w:t>
      </w:r>
    </w:p>
    <w:p w14:paraId="033B9487" w14:textId="27997A3F" w:rsidR="000C7261" w:rsidRDefault="000C7261" w:rsidP="006607EE">
      <w:pPr>
        <w:spacing w:before="240"/>
        <w:ind w:firstLine="478"/>
        <w:jc w:val="both"/>
        <w:rPr>
          <w:sz w:val="24"/>
          <w:szCs w:val="24"/>
          <w:lang w:val="mk-MK"/>
        </w:rPr>
      </w:pPr>
      <w:r w:rsidRPr="000C7261">
        <w:rPr>
          <w:sz w:val="24"/>
          <w:szCs w:val="24"/>
          <w:lang w:val="mk-MK"/>
        </w:rPr>
        <w:t>Србија има слична траекторија како Македонија</w:t>
      </w:r>
      <w:r w:rsidR="0086460F">
        <w:rPr>
          <w:sz w:val="24"/>
          <w:szCs w:val="24"/>
          <w:lang w:val="mk-MK"/>
        </w:rPr>
        <w:t>. Работничкото</w:t>
      </w:r>
      <w:r w:rsidRPr="000C7261">
        <w:rPr>
          <w:sz w:val="24"/>
          <w:szCs w:val="24"/>
          <w:lang w:val="mk-MK"/>
        </w:rPr>
        <w:t xml:space="preserve"> акционерство б</w:t>
      </w:r>
      <w:r w:rsidR="0086460F">
        <w:rPr>
          <w:sz w:val="24"/>
          <w:szCs w:val="24"/>
          <w:lang w:val="mk-MK"/>
        </w:rPr>
        <w:t>ило</w:t>
      </w:r>
      <w:r w:rsidRPr="000C7261">
        <w:rPr>
          <w:sz w:val="24"/>
          <w:szCs w:val="24"/>
          <w:lang w:val="mk-MK"/>
        </w:rPr>
        <w:t xml:space="preserve"> присутно во процесите на трансформација и приватизација, но како преоден инструмент, а не како траен модел на учество. Денес, иако Законот за </w:t>
      </w:r>
      <w:r w:rsidR="00734EB1">
        <w:rPr>
          <w:sz w:val="24"/>
          <w:szCs w:val="24"/>
          <w:lang w:val="mk-MK"/>
        </w:rPr>
        <w:t>трговски</w:t>
      </w:r>
      <w:r w:rsidRPr="000C7261">
        <w:rPr>
          <w:sz w:val="24"/>
          <w:szCs w:val="24"/>
          <w:lang w:val="mk-MK"/>
        </w:rPr>
        <w:t xml:space="preserve"> друштва формално дозволува доделување акции или удели на вработени, не постои системска поддршка, даночна мотивација или стандардизирани шеми. Во практика, овој модел е маргинален и најчесто се користи кај стартапи или ИТ-секторот, без поврзаност со колективно учество или корпоративна демократија.</w:t>
      </w:r>
    </w:p>
    <w:p w14:paraId="7EAB85B2" w14:textId="4C675663" w:rsidR="00373BCE" w:rsidRDefault="00716886" w:rsidP="006607EE">
      <w:pPr>
        <w:spacing w:before="240"/>
        <w:ind w:firstLine="478"/>
        <w:jc w:val="both"/>
        <w:rPr>
          <w:sz w:val="24"/>
          <w:szCs w:val="24"/>
          <w:lang w:val="mk-MK"/>
        </w:rPr>
      </w:pPr>
      <w:r>
        <w:rPr>
          <w:sz w:val="24"/>
          <w:szCs w:val="24"/>
          <w:lang w:val="mk-MK"/>
        </w:rPr>
        <w:t>Слична е ситуацијата и во Босна, каде</w:t>
      </w:r>
      <w:r w:rsidRPr="00716886">
        <w:rPr>
          <w:sz w:val="24"/>
          <w:szCs w:val="24"/>
          <w:lang w:val="mk-MK"/>
        </w:rPr>
        <w:t xml:space="preserve"> акционерство е речиси целосно поврзано со постприватизациски структури и со компании кои произлегуваат од поранешна општествена сопственост. Денешната регулаторна рамка е фрагментирана по ентитети и не создава услови за современи шеми на доделување акции на вработени. Во практика, вакви механизми се исклучок, без економска маса и без институционално значење.</w:t>
      </w:r>
      <w:r w:rsidR="002946B1">
        <w:rPr>
          <w:sz w:val="24"/>
          <w:szCs w:val="24"/>
          <w:lang w:val="mk-MK"/>
        </w:rPr>
        <w:t xml:space="preserve"> Од друга страна, </w:t>
      </w:r>
      <w:r w:rsidR="00373BCE" w:rsidRPr="00373BCE">
        <w:rPr>
          <w:sz w:val="24"/>
          <w:szCs w:val="24"/>
          <w:lang w:val="mk-MK"/>
        </w:rPr>
        <w:t xml:space="preserve">Хрватска правно е поотворена кон </w:t>
      </w:r>
      <w:r w:rsidR="00373BCE">
        <w:rPr>
          <w:sz w:val="24"/>
          <w:szCs w:val="24"/>
          <w:lang w:val="mk-MK"/>
        </w:rPr>
        <w:t>ваквиот тип на</w:t>
      </w:r>
      <w:r w:rsidR="00373BCE" w:rsidRPr="00373BCE">
        <w:rPr>
          <w:sz w:val="24"/>
          <w:szCs w:val="24"/>
          <w:lang w:val="mk-MK"/>
        </w:rPr>
        <w:t xml:space="preserve"> финансиска партиципација, </w:t>
      </w:r>
      <w:r w:rsidR="002946B1">
        <w:rPr>
          <w:sz w:val="24"/>
          <w:szCs w:val="24"/>
          <w:lang w:val="mk-MK"/>
        </w:rPr>
        <w:t>иако</w:t>
      </w:r>
      <w:r w:rsidR="00373BCE" w:rsidRPr="00373BCE">
        <w:rPr>
          <w:sz w:val="24"/>
          <w:szCs w:val="24"/>
          <w:lang w:val="mk-MK"/>
        </w:rPr>
        <w:t xml:space="preserve"> практиката останува ограничена. Постојат можности за доделување акции или опции, особено кај котирани друштва и нови технолошки компании, но без развиен и јасно стимулиран режим споредлив со британскиот или холандскиот модел. </w:t>
      </w:r>
      <w:r w:rsidR="00910495">
        <w:rPr>
          <w:sz w:val="24"/>
          <w:szCs w:val="24"/>
          <w:lang w:val="mk-MK"/>
        </w:rPr>
        <w:t>Работничкото</w:t>
      </w:r>
      <w:r w:rsidR="00373BCE" w:rsidRPr="00373BCE">
        <w:rPr>
          <w:sz w:val="24"/>
          <w:szCs w:val="24"/>
          <w:lang w:val="mk-MK"/>
        </w:rPr>
        <w:t xml:space="preserve"> акционерство не е интегрирано во системот на работничко учество и најчесто има мотивациска, </w:t>
      </w:r>
      <w:r w:rsidR="003940F1">
        <w:rPr>
          <w:sz w:val="24"/>
          <w:szCs w:val="24"/>
          <w:lang w:val="mk-MK"/>
        </w:rPr>
        <w:t>но</w:t>
      </w:r>
      <w:r w:rsidR="00373BCE" w:rsidRPr="00373BCE">
        <w:rPr>
          <w:sz w:val="24"/>
          <w:szCs w:val="24"/>
          <w:lang w:val="mk-MK"/>
        </w:rPr>
        <w:t xml:space="preserve"> не</w:t>
      </w:r>
      <w:r w:rsidR="003940F1">
        <w:rPr>
          <w:sz w:val="24"/>
          <w:szCs w:val="24"/>
          <w:lang w:val="mk-MK"/>
        </w:rPr>
        <w:t xml:space="preserve"> и</w:t>
      </w:r>
      <w:r w:rsidR="00373BCE" w:rsidRPr="00373BCE">
        <w:rPr>
          <w:sz w:val="24"/>
          <w:szCs w:val="24"/>
          <w:lang w:val="mk-MK"/>
        </w:rPr>
        <w:t xml:space="preserve"> управувачка функција.</w:t>
      </w:r>
    </w:p>
    <w:p w14:paraId="0339397A" w14:textId="2370F0D3" w:rsidR="003940F1" w:rsidRDefault="003940F1" w:rsidP="006607EE">
      <w:pPr>
        <w:spacing w:before="240"/>
        <w:ind w:firstLine="478"/>
        <w:jc w:val="both"/>
        <w:rPr>
          <w:sz w:val="24"/>
          <w:szCs w:val="24"/>
          <w:lang w:val="mk-MK"/>
        </w:rPr>
      </w:pPr>
      <w:r w:rsidRPr="003940F1">
        <w:rPr>
          <w:sz w:val="24"/>
          <w:szCs w:val="24"/>
          <w:lang w:val="mk-MK"/>
        </w:rPr>
        <w:t xml:space="preserve">Германија има развиен, но секундарен модел на </w:t>
      </w:r>
      <w:r w:rsidR="00F71DE8">
        <w:rPr>
          <w:sz w:val="24"/>
          <w:szCs w:val="24"/>
          <w:lang w:val="mk-MK"/>
        </w:rPr>
        <w:t>работничко</w:t>
      </w:r>
      <w:r w:rsidRPr="003940F1">
        <w:rPr>
          <w:sz w:val="24"/>
          <w:szCs w:val="24"/>
          <w:lang w:val="mk-MK"/>
        </w:rPr>
        <w:t xml:space="preserve"> акционерство</w:t>
      </w:r>
      <w:r w:rsidR="00F71DE8">
        <w:rPr>
          <w:sz w:val="24"/>
          <w:szCs w:val="24"/>
          <w:lang w:val="mk-MK"/>
        </w:rPr>
        <w:t>, кој всушност служи како некоја форма на второстепена мотивација</w:t>
      </w:r>
      <w:r w:rsidRPr="003940F1">
        <w:rPr>
          <w:sz w:val="24"/>
          <w:szCs w:val="24"/>
          <w:lang w:val="mk-MK"/>
        </w:rPr>
        <w:t xml:space="preserve">. Иако централниот механизам за учество е коодлучувањето преку надзорните одбори, германското право и даночна политика дозволуваат и умерено стимулираат </w:t>
      </w:r>
      <w:r w:rsidRPr="00EF3B40">
        <w:rPr>
          <w:i/>
          <w:iCs/>
          <w:sz w:val="24"/>
          <w:szCs w:val="24"/>
          <w:lang w:val="mk-MK"/>
        </w:rPr>
        <w:t>Mitarbeiterkapitalbeteiligung</w:t>
      </w:r>
      <w:r w:rsidRPr="003940F1">
        <w:rPr>
          <w:sz w:val="24"/>
          <w:szCs w:val="24"/>
          <w:lang w:val="mk-MK"/>
        </w:rPr>
        <w:t xml:space="preserve">. Овие шеми се користат како дополнување, а не како замена за коодлучувањето. Учеството преку акции е најчесто ограничено по обем и внимателно дизајнирано за да не ја наруши јасната институционална архитектура на </w:t>
      </w:r>
      <w:r w:rsidRPr="00EF3B40">
        <w:rPr>
          <w:i/>
          <w:iCs/>
          <w:sz w:val="24"/>
          <w:szCs w:val="24"/>
          <w:lang w:val="mk-MK"/>
        </w:rPr>
        <w:t>Mitbestimmung</w:t>
      </w:r>
      <w:r w:rsidRPr="003940F1">
        <w:rPr>
          <w:sz w:val="24"/>
          <w:szCs w:val="24"/>
          <w:lang w:val="mk-MK"/>
        </w:rPr>
        <w:t>.</w:t>
      </w:r>
    </w:p>
    <w:p w14:paraId="71528967" w14:textId="2475D498" w:rsidR="00C44A7E" w:rsidRDefault="00C44A7E" w:rsidP="006607EE">
      <w:pPr>
        <w:spacing w:before="240"/>
        <w:ind w:firstLine="478"/>
        <w:jc w:val="both"/>
        <w:rPr>
          <w:sz w:val="24"/>
          <w:szCs w:val="24"/>
          <w:lang w:val="mk-MK"/>
        </w:rPr>
      </w:pPr>
      <w:r w:rsidRPr="00C44A7E">
        <w:rPr>
          <w:sz w:val="24"/>
          <w:szCs w:val="24"/>
          <w:lang w:val="mk-MK"/>
        </w:rPr>
        <w:t xml:space="preserve">Холандија има прагматичен и функционален пристап кон </w:t>
      </w:r>
      <w:r>
        <w:rPr>
          <w:sz w:val="24"/>
          <w:szCs w:val="24"/>
          <w:lang w:val="mk-MK"/>
        </w:rPr>
        <w:t xml:space="preserve">работничкото </w:t>
      </w:r>
      <w:r w:rsidRPr="00C44A7E">
        <w:rPr>
          <w:sz w:val="24"/>
          <w:szCs w:val="24"/>
          <w:lang w:val="mk-MK"/>
        </w:rPr>
        <w:t xml:space="preserve">акционерство. Доделувањето акции, опции или фантом-акции е релативно честа практика, особено кај мултинационални и иновативни компании. Овие механизми </w:t>
      </w:r>
      <w:r w:rsidRPr="00C44A7E">
        <w:rPr>
          <w:sz w:val="24"/>
          <w:szCs w:val="24"/>
          <w:lang w:val="mk-MK"/>
        </w:rPr>
        <w:lastRenderedPageBreak/>
        <w:t>коегзистираат со силниот систем на работнички совети и не се перципираат како замена за колективното учество, туку како економско дополнување. Холандскиот модел покажува како финансиската партиципација може да биде комплементарна со институционализираниот социјален дијалог.</w:t>
      </w:r>
    </w:p>
    <w:p w14:paraId="77EC34A6" w14:textId="58F453C0" w:rsidR="00C7040F" w:rsidRDefault="00C7040F" w:rsidP="006607EE">
      <w:pPr>
        <w:spacing w:before="240"/>
        <w:ind w:firstLine="478"/>
        <w:jc w:val="both"/>
        <w:rPr>
          <w:sz w:val="24"/>
          <w:szCs w:val="24"/>
          <w:lang w:val="mk-MK"/>
        </w:rPr>
      </w:pPr>
      <w:r w:rsidRPr="00C7040F">
        <w:rPr>
          <w:sz w:val="24"/>
          <w:szCs w:val="24"/>
          <w:lang w:val="mk-MK"/>
        </w:rPr>
        <w:t>Во Италија</w:t>
      </w:r>
      <w:r>
        <w:rPr>
          <w:sz w:val="24"/>
          <w:szCs w:val="24"/>
          <w:lang w:val="mk-MK"/>
        </w:rPr>
        <w:t>, работничкото</w:t>
      </w:r>
      <w:r w:rsidRPr="00C7040F">
        <w:rPr>
          <w:sz w:val="24"/>
          <w:szCs w:val="24"/>
          <w:lang w:val="mk-MK"/>
        </w:rPr>
        <w:t xml:space="preserve"> акционерство традиционално има ограничена улога и долго време </w:t>
      </w:r>
      <w:r w:rsidR="0025759A">
        <w:rPr>
          <w:sz w:val="24"/>
          <w:szCs w:val="24"/>
          <w:lang w:val="mk-MK"/>
        </w:rPr>
        <w:t>било целосно</w:t>
      </w:r>
      <w:r w:rsidRPr="00C7040F">
        <w:rPr>
          <w:sz w:val="24"/>
          <w:szCs w:val="24"/>
          <w:lang w:val="mk-MK"/>
        </w:rPr>
        <w:t xml:space="preserve"> маргина</w:t>
      </w:r>
      <w:r w:rsidR="0025759A">
        <w:rPr>
          <w:sz w:val="24"/>
          <w:szCs w:val="24"/>
          <w:lang w:val="mk-MK"/>
        </w:rPr>
        <w:t>лизиранно</w:t>
      </w:r>
      <w:r w:rsidRPr="00C7040F">
        <w:rPr>
          <w:sz w:val="24"/>
          <w:szCs w:val="24"/>
          <w:lang w:val="mk-MK"/>
        </w:rPr>
        <w:t xml:space="preserve"> во споредба со колективното договарање. Сепак, поновите политики и Законот за учество на работниците од 2025 година експлицитно ја препознаваат финансиската партиципација, вклучително и profit-sharing и share ownership, како </w:t>
      </w:r>
      <w:r w:rsidR="00A75C9E">
        <w:rPr>
          <w:sz w:val="24"/>
          <w:szCs w:val="24"/>
          <w:lang w:val="mk-MK"/>
        </w:rPr>
        <w:t>легитимни</w:t>
      </w:r>
      <w:r w:rsidRPr="00C7040F">
        <w:rPr>
          <w:sz w:val="24"/>
          <w:szCs w:val="24"/>
          <w:lang w:val="mk-MK"/>
        </w:rPr>
        <w:t xml:space="preserve"> канал</w:t>
      </w:r>
      <w:r w:rsidR="00A75C9E">
        <w:rPr>
          <w:sz w:val="24"/>
          <w:szCs w:val="24"/>
          <w:lang w:val="mk-MK"/>
        </w:rPr>
        <w:t>и</w:t>
      </w:r>
      <w:r w:rsidRPr="00C7040F">
        <w:rPr>
          <w:sz w:val="24"/>
          <w:szCs w:val="24"/>
          <w:lang w:val="mk-MK"/>
        </w:rPr>
        <w:t xml:space="preserve"> на учество. И покрај тоа, практичната имплементација сè уште е во рана фаза и силно зависи од колективните договори</w:t>
      </w:r>
      <w:r w:rsidR="00126880">
        <w:rPr>
          <w:sz w:val="24"/>
          <w:szCs w:val="24"/>
          <w:lang w:val="mk-MK"/>
        </w:rPr>
        <w:t>.</w:t>
      </w:r>
      <w:r w:rsidR="00126880">
        <w:rPr>
          <w:rStyle w:val="FootnoteReference"/>
          <w:sz w:val="24"/>
          <w:szCs w:val="24"/>
          <w:lang w:val="mk-MK"/>
        </w:rPr>
        <w:footnoteReference w:id="695"/>
      </w:r>
    </w:p>
    <w:p w14:paraId="3735ACAD" w14:textId="5CECC0DE" w:rsidR="001B4A54" w:rsidRDefault="00C15E91" w:rsidP="006607EE">
      <w:pPr>
        <w:spacing w:before="240"/>
        <w:ind w:firstLine="478"/>
        <w:jc w:val="both"/>
        <w:rPr>
          <w:sz w:val="24"/>
          <w:szCs w:val="24"/>
          <w:lang w:val="mk-MK"/>
        </w:rPr>
      </w:pPr>
      <w:r>
        <w:rPr>
          <w:sz w:val="24"/>
          <w:szCs w:val="24"/>
          <w:lang w:val="mk-MK"/>
        </w:rPr>
        <w:t>Последно, в</w:t>
      </w:r>
      <w:r w:rsidR="001B4A54" w:rsidRPr="001B4A54">
        <w:rPr>
          <w:sz w:val="24"/>
          <w:szCs w:val="24"/>
          <w:lang w:val="mk-MK"/>
        </w:rPr>
        <w:t xml:space="preserve">о Полска </w:t>
      </w:r>
      <w:r>
        <w:rPr>
          <w:sz w:val="24"/>
          <w:szCs w:val="24"/>
          <w:lang w:val="mk-MK"/>
        </w:rPr>
        <w:t>работничко</w:t>
      </w:r>
      <w:r w:rsidR="001B4A54" w:rsidRPr="001B4A54">
        <w:rPr>
          <w:sz w:val="24"/>
          <w:szCs w:val="24"/>
          <w:lang w:val="mk-MK"/>
        </w:rPr>
        <w:t xml:space="preserve"> акционерство е слабо развиено и главно историски поврзано со трансформацијата на државни претпријатија. Денес не постои развиен систем на доброволни или даночно стимулирани шеми за широка </w:t>
      </w:r>
      <w:r w:rsidR="009C6810">
        <w:rPr>
          <w:sz w:val="24"/>
          <w:szCs w:val="24"/>
          <w:lang w:val="mk-MK"/>
        </w:rPr>
        <w:t>работничка</w:t>
      </w:r>
      <w:r w:rsidR="001B4A54" w:rsidRPr="001B4A54">
        <w:rPr>
          <w:sz w:val="24"/>
          <w:szCs w:val="24"/>
          <w:lang w:val="mk-MK"/>
        </w:rPr>
        <w:t xml:space="preserve"> сопственост. Финансиската партиципација на вработените не е централна тема во корпоративното управување и останува маргинална во однос на синдикалното посредување и државното сопствеништво во одредени компании. Сумирано компаративно гледано, само Холандија, Германија и Италија</w:t>
      </w:r>
      <w:r w:rsidR="00DD61E1">
        <w:rPr>
          <w:sz w:val="24"/>
          <w:szCs w:val="24"/>
          <w:lang w:val="mk-MK"/>
        </w:rPr>
        <w:t xml:space="preserve">, </w:t>
      </w:r>
      <w:r w:rsidR="001B4A54" w:rsidRPr="001B4A54">
        <w:rPr>
          <w:sz w:val="24"/>
          <w:szCs w:val="24"/>
          <w:lang w:val="mk-MK"/>
        </w:rPr>
        <w:t>во поново време</w:t>
      </w:r>
      <w:r w:rsidR="00DD61E1">
        <w:rPr>
          <w:sz w:val="24"/>
          <w:szCs w:val="24"/>
          <w:lang w:val="mk-MK"/>
        </w:rPr>
        <w:t>,</w:t>
      </w:r>
      <w:r w:rsidR="001B4A54" w:rsidRPr="001B4A54">
        <w:rPr>
          <w:sz w:val="24"/>
          <w:szCs w:val="24"/>
          <w:lang w:val="mk-MK"/>
        </w:rPr>
        <w:t xml:space="preserve"> ја третираат </w:t>
      </w:r>
      <w:r w:rsidR="00582CE6">
        <w:rPr>
          <w:sz w:val="24"/>
          <w:szCs w:val="24"/>
          <w:lang w:val="mk-MK"/>
        </w:rPr>
        <w:t xml:space="preserve">работничката </w:t>
      </w:r>
      <w:r w:rsidR="001B4A54" w:rsidRPr="001B4A54">
        <w:rPr>
          <w:sz w:val="24"/>
          <w:szCs w:val="24"/>
          <w:lang w:val="mk-MK"/>
        </w:rPr>
        <w:t xml:space="preserve">сопственост како дел од поширока архитектура на учество. Во поранешните југословенски земји и Полска, таа останува историски остаток или индивидуален мотивациски инструмент, без системска улога. Македонија, во овој контекст, се наоѓа </w:t>
      </w:r>
      <w:r w:rsidR="005E1AB7">
        <w:rPr>
          <w:sz w:val="24"/>
          <w:szCs w:val="24"/>
          <w:lang w:val="mk-MK"/>
        </w:rPr>
        <w:t>по</w:t>
      </w:r>
      <w:r w:rsidR="001B4A54" w:rsidRPr="001B4A54">
        <w:rPr>
          <w:sz w:val="24"/>
          <w:szCs w:val="24"/>
          <w:lang w:val="mk-MK"/>
        </w:rPr>
        <w:t xml:space="preserve">меѓу најнеразвиените режими и би можела </w:t>
      </w:r>
      <w:r w:rsidR="005E1AB7">
        <w:rPr>
          <w:sz w:val="24"/>
          <w:szCs w:val="24"/>
          <w:lang w:val="mk-MK"/>
        </w:rPr>
        <w:t xml:space="preserve">тука </w:t>
      </w:r>
      <w:r w:rsidR="001B4A54" w:rsidRPr="001B4A54">
        <w:rPr>
          <w:sz w:val="24"/>
          <w:szCs w:val="24"/>
          <w:lang w:val="mk-MK"/>
        </w:rPr>
        <w:t>да учи не</w:t>
      </w:r>
      <w:r w:rsidR="005E1AB7">
        <w:rPr>
          <w:sz w:val="24"/>
          <w:szCs w:val="24"/>
          <w:lang w:val="mk-MK"/>
        </w:rPr>
        <w:t xml:space="preserve"> само</w:t>
      </w:r>
      <w:r w:rsidR="001B4A54" w:rsidRPr="001B4A54">
        <w:rPr>
          <w:sz w:val="24"/>
          <w:szCs w:val="24"/>
          <w:lang w:val="mk-MK"/>
        </w:rPr>
        <w:t xml:space="preserve"> од германскиот модел на коодлучување, туку од холандско-британскиот пристап</w:t>
      </w:r>
      <w:r w:rsidR="005620B3">
        <w:rPr>
          <w:sz w:val="24"/>
          <w:szCs w:val="24"/>
          <w:lang w:val="mk-MK"/>
        </w:rPr>
        <w:t xml:space="preserve"> во однос на </w:t>
      </w:r>
      <w:r w:rsidR="001B4A54" w:rsidRPr="001B4A54">
        <w:rPr>
          <w:sz w:val="24"/>
          <w:szCs w:val="24"/>
          <w:lang w:val="mk-MK"/>
        </w:rPr>
        <w:t xml:space="preserve">јасни правила, даночни поттикнувања и интеграција на </w:t>
      </w:r>
      <w:r w:rsidR="005620B3">
        <w:rPr>
          <w:sz w:val="24"/>
          <w:szCs w:val="24"/>
          <w:lang w:val="mk-MK"/>
        </w:rPr>
        <w:t>работничкото</w:t>
      </w:r>
      <w:r w:rsidR="001B4A54" w:rsidRPr="001B4A54">
        <w:rPr>
          <w:sz w:val="24"/>
          <w:szCs w:val="24"/>
          <w:lang w:val="mk-MK"/>
        </w:rPr>
        <w:t xml:space="preserve"> акционерство како реален,</w:t>
      </w:r>
      <w:r w:rsidR="005620B3">
        <w:rPr>
          <w:sz w:val="24"/>
          <w:szCs w:val="24"/>
          <w:lang w:val="mk-MK"/>
        </w:rPr>
        <w:t xml:space="preserve"> наместо</w:t>
      </w:r>
      <w:r w:rsidR="001B4A54" w:rsidRPr="001B4A54">
        <w:rPr>
          <w:sz w:val="24"/>
          <w:szCs w:val="24"/>
          <w:lang w:val="mk-MK"/>
        </w:rPr>
        <w:t xml:space="preserve"> симболичен канал на учество.</w:t>
      </w:r>
    </w:p>
    <w:p w14:paraId="2FF0DE4D" w14:textId="04A14B27" w:rsidR="008D4C65" w:rsidRDefault="008D4C65" w:rsidP="006607EE">
      <w:pPr>
        <w:spacing w:before="240"/>
        <w:ind w:firstLine="478"/>
        <w:jc w:val="both"/>
        <w:rPr>
          <w:sz w:val="24"/>
          <w:szCs w:val="24"/>
          <w:lang w:val="mk-MK"/>
        </w:rPr>
      </w:pPr>
      <w:r w:rsidRPr="008D4C65">
        <w:rPr>
          <w:sz w:val="24"/>
          <w:szCs w:val="24"/>
          <w:lang w:val="mk-MK"/>
        </w:rPr>
        <w:t>Во споредба со поранешните југословенски системи, особено словенечкиот, каде работничкото учество има историска и уставна димензија, британскиот пристап покажува сосема поинаква логика на легитимација. Наместо демократско втемелување на управувањето, легитимитетот се црпи од транспарентноста, отчетноста и пазарната дисциплина. Ова објаснува зошто механизмите за „глас на вработените“ во Обединетото Кралство остануваат фрагментарни, слабо видливи и институционално нестабилни, слично како во македонскиот контекст, но по сосема различни причини. Додека во Македонија слабата ефективност произлегува од институционална недоразвиеност и ниска синдикална густина, во британскиот модел таа е резултат на свесен нормативен избор да се задржи управувањето како функција на сопственоста.</w:t>
      </w:r>
    </w:p>
    <w:p w14:paraId="5938F92B" w14:textId="50052CE5" w:rsidR="001F6E68" w:rsidRDefault="001F6E68" w:rsidP="006607EE">
      <w:pPr>
        <w:spacing w:before="240"/>
        <w:ind w:firstLine="478"/>
        <w:jc w:val="both"/>
        <w:rPr>
          <w:sz w:val="24"/>
          <w:szCs w:val="24"/>
          <w:lang w:val="mk-MK"/>
        </w:rPr>
      </w:pPr>
      <w:r w:rsidRPr="001F6E68">
        <w:rPr>
          <w:sz w:val="24"/>
          <w:szCs w:val="24"/>
          <w:lang w:val="mk-MK"/>
        </w:rPr>
        <w:t xml:space="preserve">Оттука, британското искуство е аналитички корисно не </w:t>
      </w:r>
      <w:r w:rsidR="00DA256E">
        <w:rPr>
          <w:sz w:val="24"/>
          <w:szCs w:val="24"/>
          <w:lang w:val="mk-MK"/>
        </w:rPr>
        <w:t xml:space="preserve">толку </w:t>
      </w:r>
      <w:r w:rsidRPr="001F6E68">
        <w:rPr>
          <w:sz w:val="24"/>
          <w:szCs w:val="24"/>
          <w:lang w:val="mk-MK"/>
        </w:rPr>
        <w:t>како модел за директно преземање, туку како предупредувачки пример за лимитите на мекото право и процесните решенија во отсуство на структурни гаранции.</w:t>
      </w:r>
      <w:r w:rsidR="00725E01">
        <w:rPr>
          <w:rStyle w:val="FootnoteReference"/>
          <w:sz w:val="24"/>
          <w:szCs w:val="24"/>
          <w:lang w:val="mk-MK"/>
        </w:rPr>
        <w:footnoteReference w:id="696"/>
      </w:r>
      <w:r w:rsidRPr="001F6E68">
        <w:rPr>
          <w:sz w:val="24"/>
          <w:szCs w:val="24"/>
          <w:lang w:val="mk-MK"/>
        </w:rPr>
        <w:t xml:space="preserve"> За разлика од германскиот и словенечкиот модел, каде правото создава трајни канали за учество, и за разлика од италијанскиот и холандскиот систем, каде надзорните структури обезбедуваат институционална рамнотежа, британскиот пристап покажува дека вклучувањето на вработените без правно зајакната позиција останува периферно и лесно реверзибилно. Во тој поглед, тој јасно ги потврдува наодите од полскиот случај дека без формализирана улога во управувањето, учеството се сведува на симболичка консултација со ограничено </w:t>
      </w:r>
      <w:r w:rsidRPr="001F6E68">
        <w:rPr>
          <w:sz w:val="24"/>
          <w:szCs w:val="24"/>
          <w:lang w:val="mk-MK"/>
        </w:rPr>
        <w:lastRenderedPageBreak/>
        <w:t>влијание врз корпоративната стратегија.</w:t>
      </w:r>
    </w:p>
    <w:p w14:paraId="2E3CAD2A" w14:textId="128D1BDA" w:rsidR="00C6157E" w:rsidRDefault="00C6157E" w:rsidP="006607EE">
      <w:pPr>
        <w:spacing w:before="240"/>
        <w:ind w:firstLine="478"/>
        <w:jc w:val="both"/>
        <w:rPr>
          <w:sz w:val="24"/>
          <w:szCs w:val="24"/>
          <w:lang w:val="mk-MK"/>
        </w:rPr>
      </w:pPr>
      <w:r w:rsidRPr="00C6157E">
        <w:rPr>
          <w:sz w:val="24"/>
          <w:szCs w:val="24"/>
          <w:lang w:val="mk-MK"/>
        </w:rPr>
        <w:t>П</w:t>
      </w:r>
      <w:r w:rsidR="0009357E">
        <w:rPr>
          <w:sz w:val="24"/>
          <w:szCs w:val="24"/>
          <w:lang w:val="mk-MK"/>
        </w:rPr>
        <w:t>оследно, п</w:t>
      </w:r>
      <w:r w:rsidRPr="00C6157E">
        <w:rPr>
          <w:sz w:val="24"/>
          <w:szCs w:val="24"/>
          <w:lang w:val="mk-MK"/>
        </w:rPr>
        <w:t>осебно е значајно што британскиот модел не ја поврзува финансиската партиципација со обврска за колективно дејствување или синдикално посредување. Учеството преку акции е индивидуализирано, пазарно и доброволно, што одговара на пошироката либерална архитектура на трудовите односи во земјата. На тој начин, вработениот е мотивиран да се идентификува со долгорочниот успех на компанијата, без да се менува структурата на управување или да се воведуваат сложени хибридни модели на коодлучување.</w:t>
      </w:r>
      <w:r w:rsidR="000422F3">
        <w:rPr>
          <w:sz w:val="24"/>
          <w:szCs w:val="24"/>
          <w:lang w:val="mk-MK"/>
        </w:rPr>
        <w:t xml:space="preserve"> </w:t>
      </w:r>
      <w:r w:rsidR="000422F3" w:rsidRPr="000422F3">
        <w:rPr>
          <w:sz w:val="24"/>
          <w:szCs w:val="24"/>
          <w:lang w:val="mk-MK"/>
        </w:rPr>
        <w:t>Во компаративна перспектива, ова го прави британскиот пристап појасен и поконзистентен од моделите во кои учество</w:t>
      </w:r>
      <w:r w:rsidR="000422F3">
        <w:rPr>
          <w:sz w:val="24"/>
          <w:szCs w:val="24"/>
          <w:lang w:val="mk-MK"/>
        </w:rPr>
        <w:t>то на вработените</w:t>
      </w:r>
      <w:r w:rsidR="000422F3" w:rsidRPr="000422F3">
        <w:rPr>
          <w:sz w:val="24"/>
          <w:szCs w:val="24"/>
          <w:lang w:val="mk-MK"/>
        </w:rPr>
        <w:t xml:space="preserve"> е нормативно прогласено, но институционално слабо поддржано. Обединетото Кралство отворено избира капитална партиципација наместо управувачка, и токму во таа јасна изборна логика лежи неговата стабилност.</w:t>
      </w:r>
    </w:p>
    <w:p w14:paraId="4EE29DF9" w14:textId="46CEA2BB" w:rsidR="00F3396E" w:rsidRPr="009C5331" w:rsidRDefault="00147410" w:rsidP="0009357E">
      <w:pPr>
        <w:spacing w:before="240" w:after="240"/>
        <w:ind w:firstLine="478"/>
        <w:jc w:val="both"/>
        <w:rPr>
          <w:sz w:val="24"/>
          <w:szCs w:val="24"/>
          <w:lang w:val="mk-MK"/>
        </w:rPr>
      </w:pPr>
      <w:r w:rsidRPr="00147410">
        <w:rPr>
          <w:sz w:val="24"/>
          <w:szCs w:val="24"/>
          <w:lang w:val="mk-MK"/>
        </w:rPr>
        <w:t>Овој нагласок на сопственичко учество и пазарни поттикнувања претставува природен концептуален мост кон американскиот модел, каде акционерската доминација, ESOP структурите и финансиското вклучување на вработените се уште поизразени, а идејата за формално учество во управните органи е речиси целосно отсутна.</w:t>
      </w:r>
    </w:p>
    <w:p w14:paraId="66D3371E" w14:textId="6B443A88" w:rsidR="00F3396E" w:rsidRPr="00A6193C" w:rsidRDefault="00401A1F" w:rsidP="009330C0">
      <w:pPr>
        <w:pStyle w:val="Heading1"/>
        <w:numPr>
          <w:ilvl w:val="0"/>
          <w:numId w:val="7"/>
        </w:numPr>
        <w:jc w:val="both"/>
      </w:pPr>
      <w:bookmarkStart w:id="77" w:name="_Toc230523930"/>
      <w:r>
        <w:rPr>
          <w:lang w:val="mk-MK"/>
        </w:rPr>
        <w:t>К</w:t>
      </w:r>
      <w:r w:rsidRPr="00401A1F">
        <w:rPr>
          <w:lang w:val="mk-MK"/>
        </w:rPr>
        <w:t>орпоративно управување без кодетерминација и со апсолутен приоритет на акционерите</w:t>
      </w:r>
      <w:r w:rsidR="00375BDF">
        <w:rPr>
          <w:lang w:val="mk-MK"/>
        </w:rPr>
        <w:t xml:space="preserve"> во САД</w:t>
      </w:r>
      <w:bookmarkEnd w:id="77"/>
      <w:r w:rsidR="00F3396E">
        <w:rPr>
          <w:lang w:val="mk-MK"/>
        </w:rPr>
        <w:t xml:space="preserve">  </w:t>
      </w:r>
    </w:p>
    <w:p w14:paraId="07FEA3E8" w14:textId="4B04805F" w:rsidR="00F3396E" w:rsidRDefault="00375BDF" w:rsidP="00375BDF">
      <w:pPr>
        <w:spacing w:before="240"/>
        <w:ind w:firstLine="478"/>
        <w:jc w:val="both"/>
        <w:rPr>
          <w:sz w:val="24"/>
          <w:szCs w:val="24"/>
          <w:lang w:val="en-US"/>
        </w:rPr>
      </w:pPr>
      <w:r w:rsidRPr="00375BDF">
        <w:rPr>
          <w:sz w:val="24"/>
          <w:szCs w:val="24"/>
          <w:lang w:val="mk-MK"/>
        </w:rPr>
        <w:t>Соединетите Американски Држави претставуваат радикално поинаков модел на корпоративно управување во споредба со континентална Европа и постсоцијалистичките држави од Југоисточна Европа. Американскиот систем е изграден врз долготрајната доктрина на приматот на акционерите, според која централната цел на корпорацијата е зголемување на вредноста за сопствениците на капиталот. Во таков нормативен и институционален контекст, учеството на вработените во управувањето, во смисла на формално претставување во управни или надзорни одбори, практично не постои и никогаш не било системски инкорпорирано во корпоративното право.</w:t>
      </w:r>
    </w:p>
    <w:p w14:paraId="34CD2EE2" w14:textId="66F28DF0" w:rsidR="00F97283" w:rsidRDefault="00140831" w:rsidP="00375BDF">
      <w:pPr>
        <w:spacing w:before="240"/>
        <w:ind w:firstLine="478"/>
        <w:jc w:val="both"/>
        <w:rPr>
          <w:sz w:val="24"/>
          <w:szCs w:val="24"/>
          <w:lang w:val="mk-MK"/>
        </w:rPr>
      </w:pPr>
      <w:r w:rsidRPr="00140831">
        <w:rPr>
          <w:sz w:val="24"/>
          <w:szCs w:val="24"/>
          <w:lang w:val="mk-MK"/>
        </w:rPr>
        <w:t xml:space="preserve">Корпоративното управување во САД е регулирано претежно на ниво на сојузните држави, при што </w:t>
      </w:r>
      <w:r w:rsidR="0017442F">
        <w:rPr>
          <w:sz w:val="24"/>
          <w:szCs w:val="24"/>
          <w:lang w:val="mk-MK"/>
        </w:rPr>
        <w:t xml:space="preserve">државата </w:t>
      </w:r>
      <w:r w:rsidRPr="00140831">
        <w:rPr>
          <w:sz w:val="24"/>
          <w:szCs w:val="24"/>
          <w:lang w:val="mk-MK"/>
        </w:rPr>
        <w:t>Делавер има доминантна улога поради своето флексибилно корпоративно законодавство и богата судска пракса.</w:t>
      </w:r>
      <w:r w:rsidR="0017442F">
        <w:rPr>
          <w:rStyle w:val="FootnoteReference"/>
          <w:sz w:val="24"/>
          <w:szCs w:val="24"/>
          <w:lang w:val="mk-MK"/>
        </w:rPr>
        <w:footnoteReference w:id="697"/>
      </w:r>
      <w:r w:rsidRPr="00140831">
        <w:rPr>
          <w:sz w:val="24"/>
          <w:szCs w:val="24"/>
          <w:lang w:val="mk-MK"/>
        </w:rPr>
        <w:t xml:space="preserve"> Преовладувачката управувачка структура е едностепениот одбор на директори, кој ги обединува надзорните и управувачките функции. Директорите се избираат од страна на акционерите и имаат фидуцијарни обврски, пред сè должност на грижа и должност на лојалност, кон корпорацијата и нејзините акционери. За разлика од Германија, Словенија или Холандија, вработените во САД немаат законско право да избираат или именуваат членови на одборот, а концептот на кодетерминација никогаш не бил дел од американската корпоративна традиција.</w:t>
      </w:r>
    </w:p>
    <w:p w14:paraId="119B8DF2" w14:textId="002B976D" w:rsidR="0003180A" w:rsidRDefault="0003180A" w:rsidP="00375BDF">
      <w:pPr>
        <w:spacing w:before="240"/>
        <w:ind w:firstLine="478"/>
        <w:jc w:val="both"/>
        <w:rPr>
          <w:sz w:val="24"/>
          <w:szCs w:val="24"/>
          <w:lang w:val="mk-MK"/>
        </w:rPr>
      </w:pPr>
      <w:r w:rsidRPr="0003180A">
        <w:rPr>
          <w:sz w:val="24"/>
          <w:szCs w:val="24"/>
          <w:lang w:val="mk-MK"/>
        </w:rPr>
        <w:t xml:space="preserve">Учество на вработените затоа се одвива преку индиректни и алтернативни канали. Синдикатите историски имаат клучна улога во застапувањето на интересите на работниците, особено преку колективното договарање за плати, услови за работа и социјални бенефиции. Сепак, синдикалната густина драматично опаѓа во последните децении: од околу една третина од работната сила во 1950-тите, денес таа изнесува </w:t>
      </w:r>
      <w:r w:rsidRPr="0003180A">
        <w:rPr>
          <w:sz w:val="24"/>
          <w:szCs w:val="24"/>
          <w:lang w:val="mk-MK"/>
        </w:rPr>
        <w:lastRenderedPageBreak/>
        <w:t>помалку од 11 проценти. Овој пад значително ја ослабува колективната моќ на вработените и нивното влијание врз корпоративното одлучување.</w:t>
      </w:r>
    </w:p>
    <w:p w14:paraId="36875A68" w14:textId="52607AEF" w:rsidR="00DF6A21" w:rsidRDefault="00AA754F" w:rsidP="00375BDF">
      <w:pPr>
        <w:spacing w:before="240"/>
        <w:ind w:firstLine="478"/>
        <w:jc w:val="both"/>
        <w:rPr>
          <w:sz w:val="24"/>
          <w:szCs w:val="24"/>
          <w:lang w:val="mk-MK"/>
        </w:rPr>
      </w:pPr>
      <w:r w:rsidRPr="00AA754F">
        <w:rPr>
          <w:sz w:val="24"/>
          <w:szCs w:val="24"/>
          <w:lang w:val="mk-MK"/>
        </w:rPr>
        <w:t xml:space="preserve">Друг важен, но ограничен механизам е </w:t>
      </w:r>
      <w:r>
        <w:rPr>
          <w:sz w:val="24"/>
          <w:szCs w:val="24"/>
          <w:lang w:val="mk-MK"/>
        </w:rPr>
        <w:t>работничкото</w:t>
      </w:r>
      <w:r w:rsidRPr="00AA754F">
        <w:rPr>
          <w:sz w:val="24"/>
          <w:szCs w:val="24"/>
          <w:lang w:val="mk-MK"/>
        </w:rPr>
        <w:t xml:space="preserve"> акционерство, особено преку т.н. employee stock ownership plans (ESOPs). Овие шеми им овозможуваат на вработените да стекнат акции во својата компанија, често со значајни даночни поволности, со цел да се усогласят интересите на трудот и капиталот. Иако ESOPs опфаќаат милиони вработени и имаат значајна економска тежина, тие ретко водат до реално управувачко влијание. Вработените-акционери обично немаат доволна гласачка моќ, а контролата врз одборите останува цврсто во рацете на претставниците на капиталот.</w:t>
      </w:r>
    </w:p>
    <w:p w14:paraId="3A2297CB" w14:textId="5EAC6140" w:rsidR="002247E2" w:rsidRDefault="002247E2" w:rsidP="00375BDF">
      <w:pPr>
        <w:spacing w:before="240"/>
        <w:ind w:firstLine="478"/>
        <w:jc w:val="both"/>
        <w:rPr>
          <w:sz w:val="24"/>
          <w:szCs w:val="24"/>
          <w:lang w:val="mk-MK"/>
        </w:rPr>
      </w:pPr>
      <w:r w:rsidRPr="002247E2">
        <w:rPr>
          <w:sz w:val="24"/>
          <w:szCs w:val="24"/>
          <w:lang w:val="mk-MK"/>
        </w:rPr>
        <w:t>ESOP плановите се механизми преку кои вработените добиваат акции или економски интерес во компанијата во која работат, најчесто преку посебен фонд или траст. Во класичниот модел, компанијата формира ESOP траст кој купува акции од постојните сопственици или добива новоиздадени акции, а тие акции постепено се распределуваат на индивидуални сметки на вработените, обично според плата и стаж. Вработените не ги купуваат акциите директно со свои средства, туку тие се финансираат од компанијата, често со даночни олеснувања, и стануваат сопственост на вработениот по одреден период (vesting).</w:t>
      </w:r>
    </w:p>
    <w:p w14:paraId="4106421A" w14:textId="0DA07F39" w:rsidR="004D6005" w:rsidRDefault="00CB2982" w:rsidP="00375BDF">
      <w:pPr>
        <w:spacing w:before="240"/>
        <w:ind w:firstLine="478"/>
        <w:jc w:val="both"/>
        <w:rPr>
          <w:sz w:val="24"/>
          <w:szCs w:val="24"/>
          <w:lang w:val="mk-MK"/>
        </w:rPr>
      </w:pPr>
      <w:r w:rsidRPr="00CB2982">
        <w:rPr>
          <w:sz w:val="24"/>
          <w:szCs w:val="24"/>
          <w:lang w:val="mk-MK"/>
        </w:rPr>
        <w:t>Формално, ESOP создава широка база на вработени-акционери и може да опфати милиони лица, особено во САД и Обединетото Кралство. Економската тежина е значајна, бидејќи станува збор за огромна вредност на акции и за важен инструмент на пензиско и долгорочно штедење. Во тој поглед, ESOP е пред сè финансиски и социјален инструмент, насочен кон задржување на вработени, мотивација и распределба на добивката, а не кон трансформација на корпоративното управување.</w:t>
      </w:r>
    </w:p>
    <w:p w14:paraId="4B921B52" w14:textId="77777777" w:rsidR="00E04207" w:rsidRDefault="00D71758" w:rsidP="00375BDF">
      <w:pPr>
        <w:spacing w:before="240"/>
        <w:ind w:firstLine="478"/>
        <w:jc w:val="both"/>
        <w:rPr>
          <w:sz w:val="24"/>
          <w:szCs w:val="24"/>
          <w:lang w:val="mk-MK"/>
        </w:rPr>
      </w:pPr>
      <w:r w:rsidRPr="00D71758">
        <w:rPr>
          <w:sz w:val="24"/>
          <w:szCs w:val="24"/>
          <w:lang w:val="mk-MK"/>
        </w:rPr>
        <w:t>Кога се вели дека овие планови ретко водат до реалн</w:t>
      </w:r>
      <w:r>
        <w:rPr>
          <w:sz w:val="24"/>
          <w:szCs w:val="24"/>
          <w:lang w:val="mk-MK"/>
        </w:rPr>
        <w:t>о</w:t>
      </w:r>
      <w:r w:rsidRPr="00D71758">
        <w:rPr>
          <w:sz w:val="24"/>
          <w:szCs w:val="24"/>
          <w:lang w:val="mk-MK"/>
        </w:rPr>
        <w:t xml:space="preserve"> управувачко влијание, се мисли на тоа дека сопственоста не се претвора во ефективна моќ на одлучување. Иако вработените формално се акционери, нивните удели се распарчени на илјадници или милиони индивидуални сметки, без координација и без заедничка стратегија. Како резултат, нивната гласачка моќ на собранијата на акционери е минимална или чисто симболична.</w:t>
      </w:r>
      <w:r w:rsidR="00E04207">
        <w:rPr>
          <w:sz w:val="24"/>
          <w:szCs w:val="24"/>
          <w:lang w:val="mk-MK"/>
        </w:rPr>
        <w:t xml:space="preserve"> </w:t>
      </w:r>
      <w:r w:rsidR="00E04207" w:rsidRPr="00E04207">
        <w:rPr>
          <w:sz w:val="24"/>
          <w:szCs w:val="24"/>
          <w:lang w:val="mk-MK"/>
        </w:rPr>
        <w:t xml:space="preserve">Дополнително, правото на глас најчесто не го остваруваат самите вработени, туку ESOP трастот или неговите управители, кои имаат фидуцијарна должност да дејствуваат во „најдобар финансиски интерес“ на корисниците. </w:t>
      </w:r>
    </w:p>
    <w:p w14:paraId="3F920978" w14:textId="359FB93D" w:rsidR="008E024E" w:rsidRDefault="00E04207" w:rsidP="00375BDF">
      <w:pPr>
        <w:spacing w:before="240"/>
        <w:ind w:firstLine="478"/>
        <w:jc w:val="both"/>
        <w:rPr>
          <w:sz w:val="24"/>
          <w:szCs w:val="24"/>
          <w:lang w:val="mk-MK"/>
        </w:rPr>
      </w:pPr>
      <w:r w:rsidRPr="00E04207">
        <w:rPr>
          <w:sz w:val="24"/>
          <w:szCs w:val="24"/>
          <w:lang w:val="mk-MK"/>
        </w:rPr>
        <w:t>Во пракса, тоа значи дека тие управители ретко влегуваат во конфликт со постојниот менаџмент или со доминантните капитални акционери, бидејќи нивниот фокус е стабилноста и вредноста на акциите, а не демократизацијата на управувањето. Оттука, иако ESOP создава сопственост „одоздола“, контролата врз одборите на директори и стратешките одлуки останува цврсто во рацете на претставниците на капиталот, институционалните инвеститори или основачите. Вработените учествуваат во економскиот резултат, но не и во дефинирањето на корпоративната стратегија. Затоа, овие модели се сметаат за учество во сопственост без соодветно учество во управување, што ги прави фундаментално различни од системи како германската кодетерминација, каде вработените имаат загарантирани места во надзорните органи.</w:t>
      </w:r>
    </w:p>
    <w:p w14:paraId="62749A59" w14:textId="5FF88AE1" w:rsidR="00E81376" w:rsidRPr="00140831" w:rsidRDefault="00314DFE" w:rsidP="00375BDF">
      <w:pPr>
        <w:spacing w:before="240"/>
        <w:ind w:firstLine="478"/>
        <w:jc w:val="both"/>
        <w:rPr>
          <w:sz w:val="24"/>
          <w:szCs w:val="24"/>
          <w:lang w:val="mk-MK"/>
        </w:rPr>
      </w:pPr>
      <w:r>
        <w:rPr>
          <w:sz w:val="24"/>
          <w:szCs w:val="24"/>
          <w:lang w:val="mk-MK"/>
        </w:rPr>
        <w:t>Веројатно токму заради тоа, в</w:t>
      </w:r>
      <w:r w:rsidRPr="00314DFE">
        <w:rPr>
          <w:sz w:val="24"/>
          <w:szCs w:val="24"/>
          <w:lang w:val="mk-MK"/>
        </w:rPr>
        <w:t xml:space="preserve">о последните години, дебатите за корпоративната цел и т.н. stakeholder governance повторно го отворија прашањето за улогата на вработените. </w:t>
      </w:r>
      <w:r w:rsidR="00E14F34">
        <w:rPr>
          <w:sz w:val="24"/>
          <w:szCs w:val="24"/>
          <w:lang w:val="mk-MK"/>
        </w:rPr>
        <w:t>Заклучокот</w:t>
      </w:r>
      <w:r w:rsidRPr="00314DFE">
        <w:rPr>
          <w:sz w:val="24"/>
          <w:szCs w:val="24"/>
          <w:lang w:val="mk-MK"/>
        </w:rPr>
        <w:t xml:space="preserve"> на Business Roundtable од 2019 година, со која водечките извршни директори </w:t>
      </w:r>
      <w:r w:rsidRPr="00314DFE">
        <w:rPr>
          <w:sz w:val="24"/>
          <w:szCs w:val="24"/>
          <w:lang w:val="mk-MK"/>
        </w:rPr>
        <w:lastRenderedPageBreak/>
        <w:t>формално поддржаа пошироко разбирање на корпоративната цел надвор од исклучивиот интерес на акционерите, сигнализираше можен идеолошки пресврт. Сепак, преовладувачките анализи укажуваат дека ова останува претежно реторички гест, без суштински промени во правните обврски на директорите или во практиката на управување.</w:t>
      </w:r>
    </w:p>
    <w:p w14:paraId="04B26F4C" w14:textId="62C11F44" w:rsidR="00183185" w:rsidRDefault="00D628BB" w:rsidP="006607EE">
      <w:pPr>
        <w:spacing w:before="240"/>
        <w:ind w:firstLine="478"/>
        <w:jc w:val="both"/>
        <w:rPr>
          <w:sz w:val="24"/>
          <w:szCs w:val="24"/>
          <w:lang w:val="mk-MK"/>
        </w:rPr>
      </w:pPr>
      <w:r w:rsidRPr="00D628BB">
        <w:rPr>
          <w:sz w:val="24"/>
          <w:szCs w:val="24"/>
          <w:lang w:val="mk-MK"/>
        </w:rPr>
        <w:t>Пандемијата на КОВИД-19, растечката нееднаквост и несигурноста на трудот дополнително ги интензивираа дискусиите за вклучување на вработените во управувањето. Иако беа предложени законски иницијативи за воведување „работнички директори“ во одборите на големите корпорации, особено од прогресивни политички актери, тие не добија реална законодавна поддршка. Оттука, учеството на вработените во САД и понатаму се сведува на колективно договарање, финансиска партиципација преку акции и повремени доброволни консултативни механизми, а не на институционализирана кодетерминација.</w:t>
      </w:r>
      <w:r w:rsidR="00700614">
        <w:rPr>
          <w:rStyle w:val="FootnoteReference"/>
          <w:sz w:val="24"/>
          <w:szCs w:val="24"/>
          <w:lang w:val="mk-MK"/>
        </w:rPr>
        <w:footnoteReference w:id="698"/>
      </w:r>
    </w:p>
    <w:p w14:paraId="72786799" w14:textId="50E61FC1" w:rsidR="00676885" w:rsidRDefault="00676885" w:rsidP="006607EE">
      <w:pPr>
        <w:spacing w:before="240"/>
        <w:ind w:firstLine="478"/>
        <w:jc w:val="both"/>
        <w:rPr>
          <w:sz w:val="24"/>
          <w:szCs w:val="24"/>
          <w:lang w:val="en-US"/>
        </w:rPr>
      </w:pPr>
      <w:r w:rsidRPr="00676885">
        <w:rPr>
          <w:sz w:val="24"/>
          <w:szCs w:val="24"/>
          <w:lang w:val="mk-MK"/>
        </w:rPr>
        <w:t xml:space="preserve">Од компаративна перспектива, американскиот модел претставува чиста форма на англо-американското корпоративно управување, во кое одборот е пред сè одговорен пред акционерите, а вработените се третираат како договорни, </w:t>
      </w:r>
      <w:r w:rsidR="003B1545">
        <w:rPr>
          <w:sz w:val="24"/>
          <w:szCs w:val="24"/>
          <w:lang w:val="mk-MK"/>
        </w:rPr>
        <w:t>наместо</w:t>
      </w:r>
      <w:r w:rsidRPr="00676885">
        <w:rPr>
          <w:sz w:val="24"/>
          <w:szCs w:val="24"/>
          <w:lang w:val="mk-MK"/>
        </w:rPr>
        <w:t xml:space="preserve"> управувачки чинители. Токму поради тоа, САД се наоѓаат на спротивниот крај од спектарот во однос на системи како германскиот или словенечкиот, каде што учеството на работниците на ниво на одбори е законски загарантирано и структурно вградено во корпоративната архитектура.</w:t>
      </w:r>
    </w:p>
    <w:p w14:paraId="4C52D98F" w14:textId="091F8B1F" w:rsidR="0058086F" w:rsidRPr="0058086F" w:rsidRDefault="0058086F" w:rsidP="006607EE">
      <w:pPr>
        <w:spacing w:before="240"/>
        <w:ind w:firstLine="478"/>
        <w:jc w:val="both"/>
        <w:rPr>
          <w:sz w:val="24"/>
          <w:szCs w:val="24"/>
          <w:lang w:val="mk-MK"/>
        </w:rPr>
      </w:pPr>
      <w:r w:rsidRPr="0058086F">
        <w:rPr>
          <w:sz w:val="24"/>
          <w:szCs w:val="24"/>
          <w:lang w:val="mk-MK"/>
        </w:rPr>
        <w:t xml:space="preserve">Американскиот модел е клучен за Македонија затоа што претставува најразвиен и најинституционализиран пример за вклучување преку сопственост без интервенција во класичната структура на корпоративната моќ. ESOP моделот во САД систематски ја раздвојува економската инклузија од управувачката контрола, со што овозможува масовно учество на вработените во капиталот, но без нарушување на приматот на одборите и инвеститорите. </w:t>
      </w:r>
      <w:r w:rsidR="004A6A62">
        <w:rPr>
          <w:sz w:val="24"/>
          <w:szCs w:val="24"/>
          <w:lang w:val="mk-MK"/>
        </w:rPr>
        <w:t>Оваа</w:t>
      </w:r>
      <w:r w:rsidRPr="0058086F">
        <w:rPr>
          <w:sz w:val="24"/>
          <w:szCs w:val="24"/>
          <w:lang w:val="mk-MK"/>
        </w:rPr>
        <w:t xml:space="preserve"> логика го поврзува американското искуство со британскиот пристап по член 172 и со UK share ownership шемите, како и со постсоцијалистичките контексти како Македонија, Србија и Хрватска, каде постои силна институционална резерва кон структурно учество на вработените во управувањето.</w:t>
      </w:r>
    </w:p>
    <w:p w14:paraId="6B194F23" w14:textId="08A80394" w:rsidR="00424F53" w:rsidRDefault="00B86614" w:rsidP="006607EE">
      <w:pPr>
        <w:spacing w:before="240"/>
        <w:ind w:firstLine="478"/>
        <w:jc w:val="both"/>
        <w:rPr>
          <w:sz w:val="24"/>
          <w:szCs w:val="24"/>
          <w:lang w:val="mk-MK"/>
        </w:rPr>
      </w:pPr>
      <w:r w:rsidRPr="00B86614">
        <w:rPr>
          <w:sz w:val="24"/>
          <w:szCs w:val="24"/>
          <w:lang w:val="mk-MK"/>
        </w:rPr>
        <w:t>За Македонија, значајноста на САД лежи во фактот што американскиот модел нуди политички и правно безбеден шаблон за реформа</w:t>
      </w:r>
      <w:r w:rsidR="00862129">
        <w:rPr>
          <w:sz w:val="24"/>
          <w:szCs w:val="24"/>
          <w:lang w:val="en-US"/>
        </w:rPr>
        <w:t xml:space="preserve"> </w:t>
      </w:r>
      <w:r w:rsidR="00862129">
        <w:rPr>
          <w:sz w:val="24"/>
          <w:szCs w:val="24"/>
          <w:lang w:val="mk-MK"/>
        </w:rPr>
        <w:t>што не е взаемно исклучив со</w:t>
      </w:r>
      <w:r w:rsidR="00B24AC2">
        <w:rPr>
          <w:sz w:val="24"/>
          <w:szCs w:val="24"/>
          <w:lang w:val="mk-MK"/>
        </w:rPr>
        <w:t xml:space="preserve"> севкупната реформа на корпоративното управување</w:t>
      </w:r>
      <w:r w:rsidRPr="00B86614">
        <w:rPr>
          <w:sz w:val="24"/>
          <w:szCs w:val="24"/>
          <w:lang w:val="mk-MK"/>
        </w:rPr>
        <w:t>. За разлика од германската кодетерминација или холандските модели на зајакнато учество, кои бараат длабоки интервенции во управните органи и во корпоративната култура, ESOP логиката може релативно лесно да се вгради во постојната рамка на трговско право. Во тој поглед, американскиот модел функционира како референтна точка слична на онаа што Обединетото Кралство ја прифати по Брегзит</w:t>
      </w:r>
      <w:r w:rsidR="00B24AC2">
        <w:rPr>
          <w:sz w:val="24"/>
          <w:szCs w:val="24"/>
          <w:lang w:val="mk-MK"/>
        </w:rPr>
        <w:t>,</w:t>
      </w:r>
      <w:r w:rsidRPr="00B86614">
        <w:rPr>
          <w:sz w:val="24"/>
          <w:szCs w:val="24"/>
          <w:lang w:val="mk-MK"/>
        </w:rPr>
        <w:t xml:space="preserve"> симболично и економско вклучување на вработените, без трансформација на центарот на одлучување.</w:t>
      </w:r>
    </w:p>
    <w:p w14:paraId="37603329" w14:textId="6430AFDB" w:rsidR="00B24AC2" w:rsidRDefault="000118C3" w:rsidP="006607EE">
      <w:pPr>
        <w:spacing w:before="240"/>
        <w:ind w:firstLine="478"/>
        <w:jc w:val="both"/>
        <w:rPr>
          <w:sz w:val="24"/>
          <w:szCs w:val="24"/>
          <w:lang w:val="mk-MK"/>
        </w:rPr>
      </w:pPr>
      <w:r w:rsidRPr="000118C3">
        <w:rPr>
          <w:sz w:val="24"/>
          <w:szCs w:val="24"/>
          <w:lang w:val="mk-MK"/>
        </w:rPr>
        <w:t xml:space="preserve">Истовремено, споредбата со земјите од регионот покажува дека токму ваквиот модел е </w:t>
      </w:r>
      <w:r w:rsidR="000C30F1">
        <w:rPr>
          <w:sz w:val="24"/>
          <w:szCs w:val="24"/>
          <w:lang w:val="mk-MK"/>
        </w:rPr>
        <w:t>лесна, но не и најверојатна</w:t>
      </w:r>
      <w:r w:rsidRPr="000118C3">
        <w:rPr>
          <w:sz w:val="24"/>
          <w:szCs w:val="24"/>
          <w:lang w:val="mk-MK"/>
        </w:rPr>
        <w:t xml:space="preserve"> траекторија за Македонија. Во Србија, Хрватска и Босна и Херцеговина, доделувањето акции на вработени постои фрагментарно и најчесто како приватноправна опција, без колективна димензија и без управувачки </w:t>
      </w:r>
      <w:r w:rsidRPr="000118C3">
        <w:rPr>
          <w:sz w:val="24"/>
          <w:szCs w:val="24"/>
          <w:lang w:val="mk-MK"/>
        </w:rPr>
        <w:lastRenderedPageBreak/>
        <w:t>ефект. Американското искуство ја легитимира оваа практика како доволна форма на учество, што може да биде искористено и нормативно и политички за да се оправда отсуството на подлабоки механизми.</w:t>
      </w:r>
    </w:p>
    <w:p w14:paraId="73AEC51B" w14:textId="0E557337" w:rsidR="009370AB" w:rsidRDefault="009370AB" w:rsidP="006607EE">
      <w:pPr>
        <w:spacing w:before="240"/>
        <w:ind w:firstLine="478"/>
        <w:jc w:val="both"/>
        <w:rPr>
          <w:sz w:val="24"/>
          <w:szCs w:val="24"/>
          <w:lang w:val="mk-MK"/>
        </w:rPr>
      </w:pPr>
      <w:r w:rsidRPr="009370AB">
        <w:rPr>
          <w:sz w:val="24"/>
          <w:szCs w:val="24"/>
          <w:lang w:val="mk-MK"/>
        </w:rPr>
        <w:t xml:space="preserve">Конечно, САД се значајни за Македонија и на идеолошко ниво. Тие демонстрираат дека е можно да се зборува за инклузија на вработените, за споделување на добивката и за социјална одговорност, без да се отвори прашањето за демократизација на корпоративното управување. Во тој смисол, американскиот модел делува како мост </w:t>
      </w:r>
      <w:r>
        <w:rPr>
          <w:sz w:val="24"/>
          <w:szCs w:val="24"/>
          <w:lang w:val="mk-MK"/>
        </w:rPr>
        <w:t>по</w:t>
      </w:r>
      <w:r w:rsidRPr="009370AB">
        <w:rPr>
          <w:sz w:val="24"/>
          <w:szCs w:val="24"/>
          <w:lang w:val="mk-MK"/>
        </w:rPr>
        <w:t>меѓу декларативните европски вредности и минималистичката институционална реалност во Македонија</w:t>
      </w:r>
      <w:r w:rsidR="002C625D">
        <w:rPr>
          <w:sz w:val="24"/>
          <w:szCs w:val="24"/>
          <w:lang w:val="mk-MK"/>
        </w:rPr>
        <w:t>,</w:t>
      </w:r>
      <w:r w:rsidRPr="009370AB">
        <w:rPr>
          <w:sz w:val="24"/>
          <w:szCs w:val="24"/>
          <w:lang w:val="mk-MK"/>
        </w:rPr>
        <w:t xml:space="preserve"> учество преку сопственост, но не и преку моќ.</w:t>
      </w:r>
      <w:r w:rsidR="009479EB">
        <w:rPr>
          <w:rStyle w:val="FootnoteReference"/>
          <w:sz w:val="24"/>
          <w:szCs w:val="24"/>
          <w:lang w:val="mk-MK"/>
        </w:rPr>
        <w:footnoteReference w:id="699"/>
      </w:r>
      <w:r w:rsidR="002C625D">
        <w:rPr>
          <w:sz w:val="24"/>
          <w:szCs w:val="24"/>
          <w:lang w:val="mk-MK"/>
        </w:rPr>
        <w:t xml:space="preserve"> </w:t>
      </w:r>
    </w:p>
    <w:p w14:paraId="20B97615" w14:textId="1344CB65" w:rsidR="002C625D" w:rsidRDefault="002C625D" w:rsidP="006607EE">
      <w:pPr>
        <w:spacing w:before="240"/>
        <w:ind w:firstLine="478"/>
        <w:jc w:val="both"/>
        <w:rPr>
          <w:sz w:val="24"/>
          <w:szCs w:val="24"/>
          <w:lang w:val="mk-MK"/>
        </w:rPr>
      </w:pPr>
      <w:r w:rsidRPr="002C625D">
        <w:rPr>
          <w:sz w:val="24"/>
          <w:szCs w:val="24"/>
          <w:lang w:val="mk-MK"/>
        </w:rPr>
        <w:t>Сепак, за Македонија би било погрешно овој модел да се третира како крајна точка или како нормативен плафон. Американското искуство јасно покажува дека вклучувањето на вработените преку сопственост може да функционира без да произведе реална демократизација на корпоративното управување. Иако ESOP шемите имаат значајна економска тежина и симболичка вредност, тие не создаваат колективна управувачка моќ, ниту пак ги адресираат структурните нееднаквости во одлучувањето. Во тој поглед, САД не претставуваат добар пример кога станува збор за институционално учество, распределба на контрола и долгорочно вградување на перспективата на вработените во стратешкото управување</w:t>
      </w:r>
      <w:r w:rsidR="00AF0987">
        <w:rPr>
          <w:sz w:val="24"/>
          <w:szCs w:val="24"/>
          <w:lang w:val="mk-MK"/>
        </w:rPr>
        <w:t>, од што бенефит би имале првенствено самите корпорации.</w:t>
      </w:r>
    </w:p>
    <w:p w14:paraId="79A7B852" w14:textId="7198A387" w:rsidR="00AF0987" w:rsidRDefault="00207A1A" w:rsidP="006607EE">
      <w:pPr>
        <w:spacing w:before="240"/>
        <w:ind w:firstLine="478"/>
        <w:jc w:val="both"/>
        <w:rPr>
          <w:sz w:val="24"/>
          <w:szCs w:val="24"/>
          <w:lang w:val="mk-MK"/>
        </w:rPr>
      </w:pPr>
      <w:r w:rsidRPr="00207A1A">
        <w:rPr>
          <w:sz w:val="24"/>
          <w:szCs w:val="24"/>
          <w:lang w:val="mk-MK"/>
        </w:rPr>
        <w:t xml:space="preserve">Оттука, Македонија не треба да си ги затвора вратите и однапред да се самоограничи на модели што се политички лесни, но институционално плитки. Компаративното искуство од Германија, Холандија и делумно Италија покажува дека е можно постепено да се градат посилни форми на учество кои комбинираат економска инклузија со управувачки права, без дестабилизација на пазарот или на корпоративната ефикасност. За земја со транзициско наследство и слаба доверба во институциите, токму отворањето кон повеќе модели, а не нивното стеснување, е предуслов за </w:t>
      </w:r>
      <w:r w:rsidR="00245C77">
        <w:rPr>
          <w:sz w:val="24"/>
          <w:szCs w:val="24"/>
          <w:lang w:val="mk-MK"/>
        </w:rPr>
        <w:t xml:space="preserve">добро </w:t>
      </w:r>
      <w:r w:rsidRPr="00207A1A">
        <w:rPr>
          <w:sz w:val="24"/>
          <w:szCs w:val="24"/>
          <w:lang w:val="mk-MK"/>
        </w:rPr>
        <w:t>смислена реформа.</w:t>
      </w:r>
    </w:p>
    <w:p w14:paraId="47EA5F22" w14:textId="16461777" w:rsidR="00EE0F2E" w:rsidRDefault="00EE0F2E" w:rsidP="006607EE">
      <w:pPr>
        <w:spacing w:before="240"/>
        <w:ind w:firstLine="478"/>
        <w:jc w:val="both"/>
        <w:rPr>
          <w:sz w:val="24"/>
          <w:szCs w:val="24"/>
          <w:lang w:val="mk-MK"/>
        </w:rPr>
      </w:pPr>
      <w:r>
        <w:rPr>
          <w:sz w:val="24"/>
          <w:szCs w:val="24"/>
          <w:lang w:val="mk-MK"/>
        </w:rPr>
        <w:t>Дури и а</w:t>
      </w:r>
      <w:r w:rsidRPr="00EE0F2E">
        <w:rPr>
          <w:sz w:val="24"/>
          <w:szCs w:val="24"/>
          <w:lang w:val="mk-MK"/>
        </w:rPr>
        <w:t>ко споредбата со САД се фокусира строго на вклучувањето на вработените преку доделување акции, Холандија, Германија и Италија повторно се покажуваат како поконкретни и институционално појасни модели, иако ниту една од овие земји не го третира акционерството како замена за управувачко учество, за разлика од американската логика.</w:t>
      </w:r>
      <w:r w:rsidR="00A7007E">
        <w:rPr>
          <w:rStyle w:val="FootnoteReference"/>
          <w:sz w:val="24"/>
          <w:szCs w:val="24"/>
          <w:lang w:val="mk-MK"/>
        </w:rPr>
        <w:footnoteReference w:id="700"/>
      </w:r>
    </w:p>
    <w:p w14:paraId="1A7F483A" w14:textId="0D1F61CD" w:rsidR="00A7007E" w:rsidRDefault="00A7007E" w:rsidP="006607EE">
      <w:pPr>
        <w:spacing w:before="240"/>
        <w:ind w:firstLine="478"/>
        <w:jc w:val="both"/>
        <w:rPr>
          <w:sz w:val="24"/>
          <w:szCs w:val="24"/>
          <w:lang w:val="mk-MK"/>
        </w:rPr>
      </w:pPr>
      <w:r w:rsidRPr="00A7007E">
        <w:rPr>
          <w:sz w:val="24"/>
          <w:szCs w:val="24"/>
          <w:lang w:val="mk-MK"/>
        </w:rPr>
        <w:t xml:space="preserve">Во Германија, учеството на вработените преку акции постои, но е јасно секундарно во однос на коодлучувањето. Најважната правна рамка е </w:t>
      </w:r>
      <w:r w:rsidRPr="00492593">
        <w:rPr>
          <w:i/>
          <w:iCs/>
          <w:sz w:val="24"/>
          <w:szCs w:val="24"/>
          <w:lang w:val="mk-MK"/>
        </w:rPr>
        <w:t>Vermögensbildungsgesetz</w:t>
      </w:r>
      <w:r w:rsidRPr="00A7007E">
        <w:rPr>
          <w:sz w:val="24"/>
          <w:szCs w:val="24"/>
          <w:lang w:val="mk-MK"/>
        </w:rPr>
        <w:t xml:space="preserve">, кој овозможува т.н. </w:t>
      </w:r>
      <w:r w:rsidRPr="00492593">
        <w:rPr>
          <w:i/>
          <w:iCs/>
          <w:sz w:val="24"/>
          <w:szCs w:val="24"/>
          <w:lang w:val="mk-MK"/>
        </w:rPr>
        <w:t>vermögenswirksame Leistungen</w:t>
      </w:r>
      <w:r w:rsidRPr="00A7007E">
        <w:rPr>
          <w:sz w:val="24"/>
          <w:szCs w:val="24"/>
          <w:lang w:val="mk-MK"/>
        </w:rPr>
        <w:t xml:space="preserve">, односно државно поддржано штедење и инвестирање на вработените, вклучително и во акции на сопствената компанија. Дополнително, § 3 бр. 39 од Einkommensteuergesetz предвидува даночни олеснувања за доделување акции на вработените до одреден годишен износ. Според податоци од германското Министерство за финансии, околу 2 до 3 милиони вработени поседуваат акции или удели преку вакви шеми, но во огромното мнозинство случаи тие удели се мали и не носат посебни гласачки права. Клучно е што германскиот систем никогаш не </w:t>
      </w:r>
      <w:r w:rsidRPr="00A7007E">
        <w:rPr>
          <w:sz w:val="24"/>
          <w:szCs w:val="24"/>
          <w:lang w:val="mk-MK"/>
        </w:rPr>
        <w:lastRenderedPageBreak/>
        <w:t xml:space="preserve">ја користи акционерската сопственост како аргумент против учеството во одборите. Напротив, </w:t>
      </w:r>
      <w:r w:rsidRPr="00943C19">
        <w:rPr>
          <w:i/>
          <w:iCs/>
          <w:sz w:val="24"/>
          <w:szCs w:val="24"/>
          <w:lang w:val="mk-MK"/>
        </w:rPr>
        <w:t>Mitbestimmungsgesetz</w:t>
      </w:r>
      <w:r w:rsidRPr="00A7007E">
        <w:rPr>
          <w:sz w:val="24"/>
          <w:szCs w:val="24"/>
          <w:lang w:val="mk-MK"/>
        </w:rPr>
        <w:t xml:space="preserve"> функционира независно од тоа дали вработените се акционери или не, што е суштинска разлика во однос на САД, каде ESOP често се претставува како замена за структурно учество.</w:t>
      </w:r>
    </w:p>
    <w:p w14:paraId="7E9E992C" w14:textId="4919B331" w:rsidR="00D5080B" w:rsidRDefault="00D5080B" w:rsidP="006607EE">
      <w:pPr>
        <w:spacing w:before="240"/>
        <w:ind w:firstLine="478"/>
        <w:jc w:val="both"/>
        <w:rPr>
          <w:sz w:val="24"/>
          <w:szCs w:val="24"/>
          <w:lang w:val="mk-MK"/>
        </w:rPr>
      </w:pPr>
      <w:r w:rsidRPr="00D5080B">
        <w:rPr>
          <w:sz w:val="24"/>
          <w:szCs w:val="24"/>
          <w:lang w:val="mk-MK"/>
        </w:rPr>
        <w:t xml:space="preserve">Холандија има поразвиена пракса на доделување акции и опции на вработените, особено во котираните и технолошките компании. Правната рамка произлегува од Книга 2 од Граѓанскиот законик и од даночните правила за </w:t>
      </w:r>
      <w:r w:rsidRPr="00631922">
        <w:rPr>
          <w:i/>
          <w:iCs/>
          <w:sz w:val="24"/>
          <w:szCs w:val="24"/>
          <w:lang w:val="mk-MK"/>
        </w:rPr>
        <w:t>aandelenoptieregelingen</w:t>
      </w:r>
      <w:r w:rsidRPr="00D5080B">
        <w:rPr>
          <w:sz w:val="24"/>
          <w:szCs w:val="24"/>
          <w:lang w:val="mk-MK"/>
        </w:rPr>
        <w:t xml:space="preserve">, кои дозволуваат поволно оданочување на акции или опции доделени на вработените, особено кога се врзани со долгорочно задржување. Според холандските статистики, околу 15 до 20 проценти од вработените во поголемите приватни компании учествуваат во некаква форма на акционерска шема. Сепак, </w:t>
      </w:r>
      <w:r w:rsidRPr="005015CA">
        <w:rPr>
          <w:i/>
          <w:iCs/>
          <w:sz w:val="24"/>
          <w:szCs w:val="24"/>
          <w:lang w:val="mk-MK"/>
        </w:rPr>
        <w:t>Wet op de ondernemingsraden</w:t>
      </w:r>
      <w:r w:rsidRPr="00D5080B">
        <w:rPr>
          <w:sz w:val="24"/>
          <w:szCs w:val="24"/>
          <w:lang w:val="mk-MK"/>
        </w:rPr>
        <w:t xml:space="preserve"> јасно прави разлика </w:t>
      </w:r>
      <w:r w:rsidR="005015CA">
        <w:rPr>
          <w:sz w:val="24"/>
          <w:szCs w:val="24"/>
          <w:lang w:val="mk-MK"/>
        </w:rPr>
        <w:t>по</w:t>
      </w:r>
      <w:r w:rsidRPr="00D5080B">
        <w:rPr>
          <w:sz w:val="24"/>
          <w:szCs w:val="24"/>
          <w:lang w:val="mk-MK"/>
        </w:rPr>
        <w:t>меѓу економско учество и управувачко влијание</w:t>
      </w:r>
      <w:r w:rsidR="009D7914">
        <w:rPr>
          <w:sz w:val="24"/>
          <w:szCs w:val="24"/>
          <w:lang w:val="mk-MK"/>
        </w:rPr>
        <w:t xml:space="preserve"> затоа што</w:t>
      </w:r>
      <w:r w:rsidRPr="00D5080B">
        <w:rPr>
          <w:sz w:val="24"/>
          <w:szCs w:val="24"/>
          <w:lang w:val="mk-MK"/>
        </w:rPr>
        <w:t xml:space="preserve"> работничките совети имаат права на советување и согласност без оглед на тоа дали вработените поседуваат акции. Како и во Германија, акционерството не создава автоматско право на управување, но исто така не се користи за да се исклучи институционалното учество.</w:t>
      </w:r>
    </w:p>
    <w:p w14:paraId="5D85ACB2" w14:textId="66570B3C" w:rsidR="009D7914" w:rsidRDefault="009D7914" w:rsidP="006607EE">
      <w:pPr>
        <w:spacing w:before="240"/>
        <w:ind w:firstLine="478"/>
        <w:jc w:val="both"/>
        <w:rPr>
          <w:sz w:val="24"/>
          <w:szCs w:val="24"/>
          <w:lang w:val="en-US"/>
        </w:rPr>
      </w:pPr>
      <w:r w:rsidRPr="009D7914">
        <w:rPr>
          <w:sz w:val="24"/>
          <w:szCs w:val="24"/>
          <w:lang w:val="mk-MK"/>
        </w:rPr>
        <w:t xml:space="preserve">Италија традиционално има послабо развиени шеми за акционерско учество, но во последната деценија се забележува раст. Член 51 став 2 од </w:t>
      </w:r>
      <w:r w:rsidRPr="001744B3">
        <w:rPr>
          <w:i/>
          <w:iCs/>
          <w:sz w:val="24"/>
          <w:szCs w:val="24"/>
          <w:lang w:val="mk-MK"/>
        </w:rPr>
        <w:t>Testo Unico delle Imposte sui Redditi</w:t>
      </w:r>
      <w:r w:rsidRPr="009D7914">
        <w:rPr>
          <w:sz w:val="24"/>
          <w:szCs w:val="24"/>
          <w:lang w:val="mk-MK"/>
        </w:rPr>
        <w:t xml:space="preserve"> предвидува даночни олеснувања за акции и финансиски инструменти доделени на вработените како дел од колективни или корпоративни планови за наградување. Според проценки на CONSOB, околу 8 до 10 проценти од вработените во котирани компании учествуваат во такви шеми, најчесто преку ограничени акции или stock options. Сепак, овие програми се третираат како дел од системот на наградување и продуктивност, а не како механизам за корпоративна демократија. Италијанското право, за разлика од американското, јасно ја одделува економската партиципација од уставно признатото право на соработка во управувањето од член 46 од Уставот, дури и ако тоа право останува недоволно реализирано.</w:t>
      </w:r>
    </w:p>
    <w:p w14:paraId="1AAF24CE" w14:textId="1D69AAF2" w:rsidR="007615C6" w:rsidRPr="007615C6" w:rsidRDefault="007615C6" w:rsidP="006607EE">
      <w:pPr>
        <w:spacing w:before="240"/>
        <w:ind w:firstLine="478"/>
        <w:jc w:val="both"/>
        <w:rPr>
          <w:sz w:val="24"/>
          <w:szCs w:val="24"/>
          <w:lang w:val="mk-MK"/>
        </w:rPr>
      </w:pPr>
      <w:r w:rsidRPr="007615C6">
        <w:rPr>
          <w:sz w:val="24"/>
          <w:szCs w:val="24"/>
          <w:lang w:val="mk-MK"/>
        </w:rPr>
        <w:t xml:space="preserve">Во споредба со овие три земји, американскиот ESOP модел е квантитативно поголем, но квалитативно послаб. Во САД, над 14 милиони вработени се опфатени со ESOP, но без посебни колективни гласачки механизми, без гарантирано претставување во одборите и без законска врска </w:t>
      </w:r>
      <w:r w:rsidR="00F72750">
        <w:rPr>
          <w:sz w:val="24"/>
          <w:szCs w:val="24"/>
          <w:lang w:val="mk-MK"/>
        </w:rPr>
        <w:t>по</w:t>
      </w:r>
      <w:r w:rsidRPr="007615C6">
        <w:rPr>
          <w:sz w:val="24"/>
          <w:szCs w:val="24"/>
          <w:lang w:val="mk-MK"/>
        </w:rPr>
        <w:t>меѓу сопственоста и управувањето. Наспроти тоа, Германија, Холандија и Италија експлицитно ја задржуваат дистинкцијата: акциите мож</w:t>
      </w:r>
      <w:r w:rsidR="00164EFC">
        <w:rPr>
          <w:sz w:val="24"/>
          <w:szCs w:val="24"/>
          <w:lang w:val="mk-MK"/>
        </w:rPr>
        <w:t>ат</w:t>
      </w:r>
      <w:r w:rsidRPr="007615C6">
        <w:rPr>
          <w:sz w:val="24"/>
          <w:szCs w:val="24"/>
          <w:lang w:val="mk-MK"/>
        </w:rPr>
        <w:t xml:space="preserve"> да создадат економски интерес и лојалност, но управувачката моќ се уредува преку посебни правни режими. Токму оваа разлика е суштинска за Македонија</w:t>
      </w:r>
      <w:r w:rsidR="00164EFC">
        <w:rPr>
          <w:sz w:val="24"/>
          <w:szCs w:val="24"/>
          <w:lang w:val="mk-MK"/>
        </w:rPr>
        <w:t xml:space="preserve"> затоа што</w:t>
      </w:r>
      <w:r w:rsidRPr="007615C6">
        <w:rPr>
          <w:sz w:val="24"/>
          <w:szCs w:val="24"/>
          <w:lang w:val="mk-MK"/>
        </w:rPr>
        <w:t xml:space="preserve"> европските искуства покажуваат дека доделувањето акции може да биде корисен дополнителен инструмент, но дека без паралелни институционални права, тоа останува финансиска, а не демократска партиципација.</w:t>
      </w:r>
      <w:r w:rsidR="007635FA">
        <w:rPr>
          <w:rStyle w:val="FootnoteReference"/>
          <w:sz w:val="24"/>
          <w:szCs w:val="24"/>
          <w:lang w:val="mk-MK"/>
        </w:rPr>
        <w:footnoteReference w:id="701"/>
      </w:r>
    </w:p>
    <w:p w14:paraId="4DDC24B9" w14:textId="77777777" w:rsidR="001135A0" w:rsidRDefault="008B3E90" w:rsidP="001135A0">
      <w:pPr>
        <w:spacing w:before="240"/>
        <w:ind w:firstLine="478"/>
        <w:jc w:val="both"/>
        <w:rPr>
          <w:sz w:val="24"/>
          <w:szCs w:val="24"/>
          <w:lang w:val="mk-MK"/>
        </w:rPr>
      </w:pPr>
      <w:r w:rsidRPr="008B3E90">
        <w:rPr>
          <w:sz w:val="24"/>
          <w:szCs w:val="24"/>
          <w:lang w:val="mk-MK"/>
        </w:rPr>
        <w:t>Во таа смисла, американскиот модел треба да се чита како предупредување исто толку колку и како референца. Тој покажува колку далеку може да оди реториката за вклучување на вработените без суштинска промена во распределбата на моќта. За Македонија, ова е аргумент да не се задоволи со формално учество преку акции, туку да го задржи отворено прашањето за идни, посилни институционални механизми, вклучително и управувачки.</w:t>
      </w:r>
      <w:r w:rsidR="001135A0">
        <w:rPr>
          <w:sz w:val="24"/>
          <w:szCs w:val="24"/>
          <w:lang w:val="mk-MK"/>
        </w:rPr>
        <w:t xml:space="preserve"> </w:t>
      </w:r>
    </w:p>
    <w:p w14:paraId="3D428CE5" w14:textId="343E1C9B" w:rsidR="00836D92" w:rsidRPr="00C618CA" w:rsidRDefault="00836D92" w:rsidP="001135A0">
      <w:pPr>
        <w:spacing w:before="240" w:after="240"/>
        <w:ind w:firstLine="478"/>
        <w:jc w:val="both"/>
        <w:rPr>
          <w:sz w:val="24"/>
          <w:szCs w:val="24"/>
          <w:lang w:val="en-US"/>
        </w:rPr>
      </w:pPr>
      <w:r w:rsidRPr="00836D92">
        <w:rPr>
          <w:sz w:val="24"/>
          <w:szCs w:val="24"/>
          <w:lang w:val="mk-MK"/>
        </w:rPr>
        <w:t xml:space="preserve">Ова отвора простор за премин кон јапонското искуство, кое нуди поинаква </w:t>
      </w:r>
      <w:r w:rsidRPr="00836D92">
        <w:rPr>
          <w:sz w:val="24"/>
          <w:szCs w:val="24"/>
          <w:lang w:val="mk-MK"/>
        </w:rPr>
        <w:lastRenderedPageBreak/>
        <w:t xml:space="preserve">конфигурација на односот </w:t>
      </w:r>
      <w:r>
        <w:rPr>
          <w:sz w:val="24"/>
          <w:szCs w:val="24"/>
          <w:lang w:val="mk-MK"/>
        </w:rPr>
        <w:t>по</w:t>
      </w:r>
      <w:r w:rsidRPr="00836D92">
        <w:rPr>
          <w:sz w:val="24"/>
          <w:szCs w:val="24"/>
          <w:lang w:val="mk-MK"/>
        </w:rPr>
        <w:t>меѓу капиталот, менаџментот и вработените</w:t>
      </w:r>
      <w:r w:rsidR="00346BD5">
        <w:rPr>
          <w:sz w:val="24"/>
          <w:szCs w:val="24"/>
          <w:lang w:val="mk-MK"/>
        </w:rPr>
        <w:t xml:space="preserve"> и дава јасен приказ што се случува кога</w:t>
      </w:r>
      <w:r w:rsidR="00BC2188">
        <w:rPr>
          <w:sz w:val="24"/>
          <w:szCs w:val="24"/>
          <w:lang w:val="mk-MK"/>
        </w:rPr>
        <w:t xml:space="preserve"> модел од друга држава цлеосно ќе се преслика на друг континент и во целосно различен контекст</w:t>
      </w:r>
      <w:r w:rsidRPr="00836D92">
        <w:rPr>
          <w:sz w:val="24"/>
          <w:szCs w:val="24"/>
          <w:lang w:val="mk-MK"/>
        </w:rPr>
        <w:t xml:space="preserve">. За разлика од САД, каде доминира надворешниот акционер и пазарната дисциплина, Јапонија </w:t>
      </w:r>
      <w:r w:rsidR="00BC2188">
        <w:rPr>
          <w:sz w:val="24"/>
          <w:szCs w:val="24"/>
          <w:lang w:val="mk-MK"/>
        </w:rPr>
        <w:t xml:space="preserve">сепак успеала да </w:t>
      </w:r>
      <w:r w:rsidRPr="00836D92">
        <w:rPr>
          <w:sz w:val="24"/>
          <w:szCs w:val="24"/>
          <w:lang w:val="mk-MK"/>
        </w:rPr>
        <w:t>разви</w:t>
      </w:r>
      <w:r w:rsidR="00BC2188">
        <w:rPr>
          <w:sz w:val="24"/>
          <w:szCs w:val="24"/>
          <w:lang w:val="mk-MK"/>
        </w:rPr>
        <w:t>е</w:t>
      </w:r>
      <w:r w:rsidRPr="00836D92">
        <w:rPr>
          <w:sz w:val="24"/>
          <w:szCs w:val="24"/>
          <w:lang w:val="mk-MK"/>
        </w:rPr>
        <w:t xml:space="preserve"> модел заснован на внатрешни интересни групи, долгорочна лојалност и неформализирано, но реално влијание на вработените врз корпоративното управување. Токму оваа алтернатива овозможува подлабока компаративна анализа за патеките што стојат отворени и за Македонија.</w:t>
      </w:r>
    </w:p>
    <w:p w14:paraId="57DE724E" w14:textId="609B9903" w:rsidR="007615C6" w:rsidRPr="00A6193C" w:rsidRDefault="00C618CA" w:rsidP="009330C0">
      <w:pPr>
        <w:pStyle w:val="Heading1"/>
        <w:numPr>
          <w:ilvl w:val="0"/>
          <w:numId w:val="7"/>
        </w:numPr>
        <w:jc w:val="both"/>
      </w:pPr>
      <w:bookmarkStart w:id="78" w:name="_Toc230523931"/>
      <w:r>
        <w:rPr>
          <w:lang w:val="mk-MK"/>
        </w:rPr>
        <w:t>Т</w:t>
      </w:r>
      <w:r w:rsidR="00F81EA4">
        <w:rPr>
          <w:lang w:val="mk-MK"/>
        </w:rPr>
        <w:t xml:space="preserve">ранспонирање и тестирање на </w:t>
      </w:r>
      <w:r w:rsidR="00374794">
        <w:rPr>
          <w:lang w:val="mk-MK"/>
        </w:rPr>
        <w:t xml:space="preserve">механизмите од </w:t>
      </w:r>
      <w:r w:rsidR="00F32FD2">
        <w:rPr>
          <w:lang w:val="mk-MK"/>
        </w:rPr>
        <w:t>различни</w:t>
      </w:r>
      <w:r w:rsidR="00F81EA4">
        <w:rPr>
          <w:lang w:val="mk-MK"/>
        </w:rPr>
        <w:t xml:space="preserve"> модел</w:t>
      </w:r>
      <w:r w:rsidR="00374794">
        <w:rPr>
          <w:lang w:val="mk-MK"/>
        </w:rPr>
        <w:t>и</w:t>
      </w:r>
      <w:r w:rsidR="00F81EA4">
        <w:rPr>
          <w:lang w:val="mk-MK"/>
        </w:rPr>
        <w:t xml:space="preserve"> во Јапонија</w:t>
      </w:r>
      <w:bookmarkEnd w:id="78"/>
    </w:p>
    <w:p w14:paraId="22BE3D65" w14:textId="1BE6044A" w:rsidR="007615C6" w:rsidRDefault="00F81EA4" w:rsidP="00F81EA4">
      <w:pPr>
        <w:spacing w:before="240"/>
        <w:ind w:left="118" w:firstLine="360"/>
        <w:jc w:val="both"/>
        <w:rPr>
          <w:sz w:val="24"/>
          <w:szCs w:val="24"/>
          <w:lang w:val="mk-MK"/>
        </w:rPr>
      </w:pPr>
      <w:r w:rsidRPr="00F81EA4">
        <w:rPr>
          <w:sz w:val="24"/>
          <w:szCs w:val="24"/>
          <w:lang w:val="mk-MK"/>
        </w:rPr>
        <w:t>Јапонија претставува посебен, хибриден модел на корпоративно управување кој не може едноставно да се смести ниту во англоамериканската парадигма на строг</w:t>
      </w:r>
      <w:r w:rsidR="003B31A0">
        <w:rPr>
          <w:sz w:val="24"/>
          <w:szCs w:val="24"/>
          <w:lang w:val="mk-MK"/>
        </w:rPr>
        <w:t xml:space="preserve"> примат </w:t>
      </w:r>
      <w:r w:rsidRPr="00F81EA4">
        <w:rPr>
          <w:sz w:val="24"/>
          <w:szCs w:val="24"/>
          <w:lang w:val="mk-MK"/>
        </w:rPr>
        <w:t>на акционерите, ниту во континенталноевропските модели на формализирано учество на вработените. За разлика од Германија, Холандија или Словенија, јапонското право не предвидува никаква форма на законска кодетерминација или задолжително учество на вработените во управните или надзорните органи. Сепак, за разлика од САД, јапонскиот модел историски обезбедувал реално, иако неформализирано, влијание на вработените врз корпоративното одлучување преку институционални практики, а не преку субјективни права.</w:t>
      </w:r>
      <w:r w:rsidR="00AA495A">
        <w:rPr>
          <w:rStyle w:val="FootnoteReference"/>
          <w:sz w:val="24"/>
          <w:szCs w:val="24"/>
          <w:lang w:val="mk-MK"/>
        </w:rPr>
        <w:footnoteReference w:id="702"/>
      </w:r>
    </w:p>
    <w:p w14:paraId="3CB7A27B" w14:textId="1DAA245C" w:rsidR="00DA59EE" w:rsidRDefault="00DA59EE" w:rsidP="00F81EA4">
      <w:pPr>
        <w:spacing w:before="240"/>
        <w:ind w:left="118" w:firstLine="360"/>
        <w:jc w:val="both"/>
        <w:rPr>
          <w:sz w:val="24"/>
          <w:szCs w:val="24"/>
          <w:lang w:val="en-US"/>
        </w:rPr>
      </w:pPr>
      <w:r w:rsidRPr="00DA59EE">
        <w:rPr>
          <w:sz w:val="24"/>
          <w:szCs w:val="24"/>
          <w:lang w:val="mk-MK"/>
        </w:rPr>
        <w:t xml:space="preserve">Корпоративното управување во Јапонија е уредено со Companies Act of Japan, кој ја предвидува доминантно </w:t>
      </w:r>
      <w:r w:rsidR="003A0D6C">
        <w:rPr>
          <w:sz w:val="24"/>
          <w:szCs w:val="24"/>
          <w:lang w:val="mk-MK"/>
        </w:rPr>
        <w:t>едностепената</w:t>
      </w:r>
      <w:r w:rsidRPr="00DA59EE">
        <w:rPr>
          <w:sz w:val="24"/>
          <w:szCs w:val="24"/>
          <w:lang w:val="mk-MK"/>
        </w:rPr>
        <w:t xml:space="preserve"> управна структура. Основниот модел се темели на одбор на директори</w:t>
      </w:r>
      <w:r w:rsidR="003A0D6C">
        <w:rPr>
          <w:sz w:val="24"/>
          <w:szCs w:val="24"/>
          <w:lang w:val="mk-MK"/>
        </w:rPr>
        <w:t xml:space="preserve">, </w:t>
      </w:r>
      <w:r w:rsidRPr="00DA59EE">
        <w:rPr>
          <w:sz w:val="24"/>
          <w:szCs w:val="24"/>
          <w:lang w:val="mk-MK"/>
        </w:rPr>
        <w:t>board of directors, кој ги комбинира управувачките и надзорните функции.</w:t>
      </w:r>
      <w:r w:rsidR="003A0D6C">
        <w:rPr>
          <w:rStyle w:val="FootnoteReference"/>
          <w:sz w:val="24"/>
          <w:szCs w:val="24"/>
          <w:lang w:val="mk-MK"/>
        </w:rPr>
        <w:footnoteReference w:id="703"/>
      </w:r>
      <w:r w:rsidRPr="00DA59EE">
        <w:rPr>
          <w:sz w:val="24"/>
          <w:szCs w:val="24"/>
          <w:lang w:val="mk-MK"/>
        </w:rPr>
        <w:t xml:space="preserve"> Законот нуди и алтернативни модели на корпоративна структура, вклучително и друштва со статутарни ревизори</w:t>
      </w:r>
      <w:r w:rsidR="00E60F0B">
        <w:rPr>
          <w:sz w:val="24"/>
          <w:szCs w:val="24"/>
          <w:lang w:val="mk-MK"/>
        </w:rPr>
        <w:t xml:space="preserve">, таканаречени </w:t>
      </w:r>
      <w:r w:rsidRPr="00DA59EE">
        <w:rPr>
          <w:sz w:val="24"/>
          <w:szCs w:val="24"/>
          <w:lang w:val="mk-MK"/>
        </w:rPr>
        <w:t>kansayaku</w:t>
      </w:r>
      <w:r w:rsidR="00E60F0B">
        <w:rPr>
          <w:sz w:val="24"/>
          <w:szCs w:val="24"/>
          <w:lang w:val="mk-MK"/>
        </w:rPr>
        <w:t>,</w:t>
      </w:r>
      <w:r w:rsidRPr="00DA59EE">
        <w:rPr>
          <w:sz w:val="24"/>
          <w:szCs w:val="24"/>
          <w:lang w:val="mk-MK"/>
        </w:rPr>
        <w:t xml:space="preserve"> кои имаат надзорна функција врз директорите,</w:t>
      </w:r>
      <w:r w:rsidR="00E60F0B">
        <w:rPr>
          <w:rStyle w:val="FootnoteReference"/>
          <w:sz w:val="24"/>
          <w:szCs w:val="24"/>
          <w:lang w:val="mk-MK"/>
        </w:rPr>
        <w:footnoteReference w:id="704"/>
      </w:r>
      <w:r w:rsidRPr="00DA59EE">
        <w:rPr>
          <w:sz w:val="24"/>
          <w:szCs w:val="24"/>
          <w:lang w:val="mk-MK"/>
        </w:rPr>
        <w:t xml:space="preserve"> како и </w:t>
      </w:r>
      <w:r w:rsidR="00484FDE">
        <w:rPr>
          <w:sz w:val="24"/>
          <w:szCs w:val="24"/>
          <w:lang w:val="mk-MK"/>
        </w:rPr>
        <w:t xml:space="preserve">еден вид </w:t>
      </w:r>
      <w:r w:rsidRPr="00DA59EE">
        <w:rPr>
          <w:sz w:val="24"/>
          <w:szCs w:val="24"/>
          <w:lang w:val="mk-MK"/>
        </w:rPr>
        <w:t>комитетски модел со одбори за номинации, надоместоци и ревизија, воведен со реформите по 2000.</w:t>
      </w:r>
      <w:r w:rsidR="00484FDE">
        <w:rPr>
          <w:rStyle w:val="FootnoteReference"/>
          <w:sz w:val="24"/>
          <w:szCs w:val="24"/>
          <w:lang w:val="mk-MK"/>
        </w:rPr>
        <w:footnoteReference w:id="705"/>
      </w:r>
      <w:r w:rsidRPr="00DA59EE">
        <w:rPr>
          <w:sz w:val="24"/>
          <w:szCs w:val="24"/>
          <w:lang w:val="mk-MK"/>
        </w:rPr>
        <w:t xml:space="preserve"> Ниту во еден од овие модели не постои правна основа за избор или именување на претставници на вработените во одборите.</w:t>
      </w:r>
    </w:p>
    <w:p w14:paraId="18DF9805" w14:textId="472B9B40" w:rsidR="008D68F0" w:rsidRDefault="008D27D5" w:rsidP="00F81EA4">
      <w:pPr>
        <w:spacing w:before="240"/>
        <w:ind w:left="118" w:firstLine="360"/>
        <w:jc w:val="both"/>
        <w:rPr>
          <w:sz w:val="24"/>
          <w:szCs w:val="24"/>
          <w:lang w:val="mk-MK"/>
        </w:rPr>
      </w:pPr>
      <w:r w:rsidRPr="008D27D5">
        <w:rPr>
          <w:sz w:val="24"/>
          <w:szCs w:val="24"/>
          <w:lang w:val="mk-MK"/>
        </w:rPr>
        <w:t xml:space="preserve">Отсуството на формални права за учество на вработените, меѓутоа, историски било „компензирано“ преку специфичната структура на јапонскиот капитализам. Децении наназад, корпоративната контрола не се остварувала преку дисперзирани и активистички акционери, туку преку стабилни акционерски односи, главни банки и вкрстени сопственички структури </w:t>
      </w:r>
      <w:r w:rsidR="00740432">
        <w:rPr>
          <w:sz w:val="24"/>
          <w:szCs w:val="24"/>
          <w:lang w:val="mk-MK"/>
        </w:rPr>
        <w:t xml:space="preserve">наречени </w:t>
      </w:r>
      <w:r w:rsidRPr="00740432">
        <w:rPr>
          <w:i/>
          <w:iCs/>
          <w:sz w:val="24"/>
          <w:szCs w:val="24"/>
          <w:lang w:val="mk-MK"/>
        </w:rPr>
        <w:t>keiretsu</w:t>
      </w:r>
      <w:r w:rsidRPr="008D27D5">
        <w:rPr>
          <w:sz w:val="24"/>
          <w:szCs w:val="24"/>
          <w:lang w:val="mk-MK"/>
        </w:rPr>
        <w:t>.</w:t>
      </w:r>
      <w:r w:rsidR="009C55D8">
        <w:rPr>
          <w:rStyle w:val="FootnoteReference"/>
          <w:sz w:val="24"/>
          <w:szCs w:val="24"/>
          <w:lang w:val="mk-MK"/>
        </w:rPr>
        <w:footnoteReference w:id="706"/>
      </w:r>
      <w:r w:rsidRPr="008D27D5">
        <w:rPr>
          <w:sz w:val="24"/>
          <w:szCs w:val="24"/>
          <w:lang w:val="mk-MK"/>
        </w:rPr>
        <w:t xml:space="preserve"> Овие механизми ја ограничувале краткорочната пазарна дисциплина и индиректно ја заштитувале вработеноста, овозможувајќи долгорочни стратегии и високо ниво на интерна стабилност. Во таа смисла, интересите на вработените биле вградени во системот, но не како права, туку како норма.</w:t>
      </w:r>
    </w:p>
    <w:p w14:paraId="7E6CA6BD" w14:textId="3F218687" w:rsidR="006A2D41" w:rsidRDefault="0027409E" w:rsidP="00F81EA4">
      <w:pPr>
        <w:spacing w:before="240"/>
        <w:ind w:left="118" w:firstLine="360"/>
        <w:jc w:val="both"/>
        <w:rPr>
          <w:sz w:val="24"/>
          <w:szCs w:val="24"/>
          <w:lang w:val="mk-MK"/>
        </w:rPr>
      </w:pPr>
      <w:r w:rsidRPr="0027409E">
        <w:rPr>
          <w:sz w:val="24"/>
          <w:szCs w:val="24"/>
          <w:lang w:val="mk-MK"/>
        </w:rPr>
        <w:lastRenderedPageBreak/>
        <w:t xml:space="preserve">Клучен канал за </w:t>
      </w:r>
      <w:r>
        <w:rPr>
          <w:sz w:val="24"/>
          <w:szCs w:val="24"/>
          <w:lang w:val="mk-MK"/>
        </w:rPr>
        <w:t>работничкото</w:t>
      </w:r>
      <w:r w:rsidRPr="0027409E">
        <w:rPr>
          <w:sz w:val="24"/>
          <w:szCs w:val="24"/>
          <w:lang w:val="mk-MK"/>
        </w:rPr>
        <w:t xml:space="preserve"> влијание</w:t>
      </w:r>
      <w:r w:rsidR="001969D6">
        <w:rPr>
          <w:sz w:val="24"/>
          <w:szCs w:val="24"/>
          <w:lang w:val="mk-MK"/>
        </w:rPr>
        <w:t xml:space="preserve"> во овој поглед</w:t>
      </w:r>
      <w:r w:rsidRPr="0027409E">
        <w:rPr>
          <w:sz w:val="24"/>
          <w:szCs w:val="24"/>
          <w:lang w:val="mk-MK"/>
        </w:rPr>
        <w:t xml:space="preserve"> претставуваат претпријатиски</w:t>
      </w:r>
      <w:r w:rsidR="009367D6">
        <w:rPr>
          <w:sz w:val="24"/>
          <w:szCs w:val="24"/>
          <w:lang w:val="mk-MK"/>
        </w:rPr>
        <w:t>те</w:t>
      </w:r>
      <w:r w:rsidRPr="0027409E">
        <w:rPr>
          <w:sz w:val="24"/>
          <w:szCs w:val="24"/>
          <w:lang w:val="mk-MK"/>
        </w:rPr>
        <w:t xml:space="preserve"> синдикати, кои се организирани на ниво на поединечна компанија</w:t>
      </w:r>
      <w:r w:rsidR="000274EA">
        <w:rPr>
          <w:sz w:val="24"/>
          <w:szCs w:val="24"/>
          <w:lang w:val="mk-MK"/>
        </w:rPr>
        <w:t xml:space="preserve"> и многу поретко</w:t>
      </w:r>
      <w:r w:rsidRPr="0027409E">
        <w:rPr>
          <w:sz w:val="24"/>
          <w:szCs w:val="24"/>
          <w:lang w:val="mk-MK"/>
        </w:rPr>
        <w:t xml:space="preserve"> </w:t>
      </w:r>
      <w:r w:rsidR="009367D6">
        <w:rPr>
          <w:sz w:val="24"/>
          <w:szCs w:val="24"/>
          <w:lang w:val="mk-MK"/>
        </w:rPr>
        <w:t xml:space="preserve">на ниво на </w:t>
      </w:r>
      <w:r w:rsidRPr="0027409E">
        <w:rPr>
          <w:sz w:val="24"/>
          <w:szCs w:val="24"/>
          <w:lang w:val="mk-MK"/>
        </w:rPr>
        <w:t>сектор или национално. Овие синдикати традиционално функционираат во кооперативен однос со менаџментот и учествуваат во преговори за плати, услови на работа и реорганизации. Иако оваа форма на застапување не обезбедува автономна, конфронтациска позиција според европските стандарди, таа долго време овозможувала реално влијание врз корпоративните одлуки што директно ги засегаат вработените. Повторно, станува збор за практично, а не правно загарантирано учество.</w:t>
      </w:r>
    </w:p>
    <w:p w14:paraId="3EFE5CEA" w14:textId="489936A2" w:rsidR="005D4CCB" w:rsidRDefault="005505F0" w:rsidP="00F81EA4">
      <w:pPr>
        <w:spacing w:before="240"/>
        <w:ind w:left="118" w:firstLine="360"/>
        <w:jc w:val="both"/>
        <w:rPr>
          <w:sz w:val="24"/>
          <w:szCs w:val="24"/>
          <w:lang w:val="mk-MK"/>
        </w:rPr>
      </w:pPr>
      <w:r w:rsidRPr="005505F0">
        <w:rPr>
          <w:sz w:val="24"/>
          <w:szCs w:val="24"/>
          <w:lang w:val="mk-MK"/>
        </w:rPr>
        <w:t xml:space="preserve">Во однос на вклучувањето на вработените преку </w:t>
      </w:r>
      <w:r w:rsidR="00AE7BCD">
        <w:rPr>
          <w:sz w:val="24"/>
          <w:szCs w:val="24"/>
          <w:lang w:val="mk-MK"/>
        </w:rPr>
        <w:t>поседување акции</w:t>
      </w:r>
      <w:r w:rsidRPr="005505F0">
        <w:rPr>
          <w:sz w:val="24"/>
          <w:szCs w:val="24"/>
          <w:lang w:val="mk-MK"/>
        </w:rPr>
        <w:t xml:space="preserve">, Јапонија широко користи здруженија за сопственост на акции од страна на вработените </w:t>
      </w:r>
      <w:r w:rsidR="003D717C">
        <w:rPr>
          <w:sz w:val="24"/>
          <w:szCs w:val="24"/>
          <w:lang w:val="mk-MK"/>
        </w:rPr>
        <w:t xml:space="preserve">наречени </w:t>
      </w:r>
      <w:r w:rsidRPr="003D717C">
        <w:rPr>
          <w:i/>
          <w:iCs/>
          <w:sz w:val="24"/>
          <w:szCs w:val="24"/>
          <w:lang w:val="mk-MK"/>
        </w:rPr>
        <w:t>jūgyōin mochikabu kai</w:t>
      </w:r>
      <w:r w:rsidRPr="005505F0">
        <w:rPr>
          <w:sz w:val="24"/>
          <w:szCs w:val="24"/>
          <w:lang w:val="mk-MK"/>
        </w:rPr>
        <w:t>, кои функционално се слични на американските ESOP-шеми.</w:t>
      </w:r>
      <w:r w:rsidR="00EC7578">
        <w:rPr>
          <w:rStyle w:val="FootnoteReference"/>
          <w:sz w:val="24"/>
          <w:szCs w:val="24"/>
          <w:lang w:val="mk-MK"/>
        </w:rPr>
        <w:footnoteReference w:id="707"/>
      </w:r>
      <w:r w:rsidRPr="005505F0">
        <w:rPr>
          <w:sz w:val="24"/>
          <w:szCs w:val="24"/>
          <w:lang w:val="mk-MK"/>
        </w:rPr>
        <w:t xml:space="preserve"> Преку овие механизми, вработените стекнуваат акции, често со финансиска поддршка од работодавачот и под поволни услови. Со овие шеми се опфатени милиони вработени, особено во големите котирани друштва. Сепак, како и во САД, оваа форма на учество преку сопственост ретко резултира со реално управувачко влијание. Гласачките права се расцепкани, здруженијата не дејствуваат како организиран акционерски блок, а контролата врз одборите останува цврсто во рацете на менаџментот и стабилните капитални актери. Јапонскиот модел </w:t>
      </w:r>
      <w:r w:rsidR="00091C35">
        <w:rPr>
          <w:sz w:val="24"/>
          <w:szCs w:val="24"/>
          <w:lang w:val="mk-MK"/>
        </w:rPr>
        <w:t xml:space="preserve">уште еднаш </w:t>
      </w:r>
      <w:r w:rsidRPr="005505F0">
        <w:rPr>
          <w:sz w:val="24"/>
          <w:szCs w:val="24"/>
          <w:lang w:val="mk-MK"/>
        </w:rPr>
        <w:t>јасно покажува дека акционерството на вработените не претставува замена за учество во управувањето.</w:t>
      </w:r>
      <w:r w:rsidR="00091C35">
        <w:rPr>
          <w:sz w:val="24"/>
          <w:szCs w:val="24"/>
          <w:lang w:val="mk-MK"/>
        </w:rPr>
        <w:t xml:space="preserve"> Дотолку повеќе, </w:t>
      </w:r>
      <w:r w:rsidR="007C0950">
        <w:rPr>
          <w:sz w:val="24"/>
          <w:szCs w:val="24"/>
          <w:lang w:val="mk-MK"/>
        </w:rPr>
        <w:t>претставува своевиден доказ дека пресликувањето на американскиот модел во</w:t>
      </w:r>
      <w:r w:rsidR="005D4CCB">
        <w:rPr>
          <w:sz w:val="24"/>
          <w:szCs w:val="24"/>
          <w:lang w:val="mk-MK"/>
        </w:rPr>
        <w:t xml:space="preserve"> друг национален контекст не носи директно решение за вклучувањето на вработените во управувањето.</w:t>
      </w:r>
    </w:p>
    <w:p w14:paraId="035FA0A4" w14:textId="542AD451" w:rsidR="00A30BC1" w:rsidRDefault="0042402C" w:rsidP="00F81EA4">
      <w:pPr>
        <w:spacing w:before="240"/>
        <w:ind w:left="118" w:firstLine="360"/>
        <w:jc w:val="both"/>
        <w:rPr>
          <w:sz w:val="24"/>
          <w:szCs w:val="24"/>
          <w:lang w:val="mk-MK"/>
        </w:rPr>
      </w:pPr>
      <w:r w:rsidRPr="0042402C">
        <w:rPr>
          <w:sz w:val="24"/>
          <w:szCs w:val="24"/>
          <w:lang w:val="mk-MK"/>
        </w:rPr>
        <w:t xml:space="preserve">Од 2010-тите наваму, јапонскиот систем е подложен на длабоки реформи насочени кон зголемување на транспарентноста и одговорноста </w:t>
      </w:r>
      <w:r w:rsidR="000B06BE">
        <w:rPr>
          <w:sz w:val="24"/>
          <w:szCs w:val="24"/>
          <w:lang w:val="mk-MK"/>
        </w:rPr>
        <w:t>кон</w:t>
      </w:r>
      <w:r w:rsidR="001E600A">
        <w:rPr>
          <w:sz w:val="24"/>
          <w:szCs w:val="24"/>
          <w:lang w:val="mk-MK"/>
        </w:rPr>
        <w:t xml:space="preserve"> </w:t>
      </w:r>
      <w:r w:rsidRPr="0042402C">
        <w:rPr>
          <w:sz w:val="24"/>
          <w:szCs w:val="24"/>
          <w:lang w:val="mk-MK"/>
        </w:rPr>
        <w:t>акционерите</w:t>
      </w:r>
      <w:r w:rsidR="000B06BE">
        <w:rPr>
          <w:sz w:val="24"/>
          <w:szCs w:val="24"/>
          <w:lang w:val="mk-MK"/>
        </w:rPr>
        <w:t>, практично давајќи</w:t>
      </w:r>
      <w:r w:rsidR="000C1F97">
        <w:rPr>
          <w:sz w:val="24"/>
          <w:szCs w:val="24"/>
          <w:lang w:val="mk-MK"/>
        </w:rPr>
        <w:t xml:space="preserve"> апсолутен примат на капиталот</w:t>
      </w:r>
      <w:r w:rsidRPr="0042402C">
        <w:rPr>
          <w:sz w:val="24"/>
          <w:szCs w:val="24"/>
          <w:lang w:val="mk-MK"/>
        </w:rPr>
        <w:t>. Воведувањето на Corporate Governance Code и Stewardship Code</w:t>
      </w:r>
      <w:r w:rsidR="00D9728F">
        <w:rPr>
          <w:sz w:val="24"/>
          <w:szCs w:val="24"/>
          <w:lang w:val="mk-MK"/>
        </w:rPr>
        <w:t xml:space="preserve"> во Јапонија</w:t>
      </w:r>
      <w:r w:rsidRPr="0042402C">
        <w:rPr>
          <w:sz w:val="24"/>
          <w:szCs w:val="24"/>
          <w:lang w:val="mk-MK"/>
        </w:rPr>
        <w:t>,</w:t>
      </w:r>
      <w:r w:rsidR="00803B29">
        <w:rPr>
          <w:rStyle w:val="FootnoteReference"/>
          <w:sz w:val="24"/>
          <w:szCs w:val="24"/>
          <w:lang w:val="mk-MK"/>
        </w:rPr>
        <w:footnoteReference w:id="708"/>
      </w:r>
      <w:r w:rsidRPr="0042402C">
        <w:rPr>
          <w:sz w:val="24"/>
          <w:szCs w:val="24"/>
          <w:lang w:val="mk-MK"/>
        </w:rPr>
        <w:t xml:space="preserve"> врз принципот „примени или објасни“, ја зајакн</w:t>
      </w:r>
      <w:r w:rsidR="00D9728F">
        <w:rPr>
          <w:sz w:val="24"/>
          <w:szCs w:val="24"/>
          <w:lang w:val="mk-MK"/>
        </w:rPr>
        <w:t>ува</w:t>
      </w:r>
      <w:r w:rsidRPr="0042402C">
        <w:rPr>
          <w:sz w:val="24"/>
          <w:szCs w:val="24"/>
          <w:lang w:val="mk-MK"/>
        </w:rPr>
        <w:t xml:space="preserve"> улогата на независните директори и институционалните инвеститори. Овие реформи постепено ја разградуваат традиционалната рамнотежа помеѓу капиталот и трудот, ја ослабуваат логиката на доживотна вработеност и го намалуваат неформалното влијание на вработените, без притоа да воведат нови формални механизми за нивно учество.</w:t>
      </w:r>
    </w:p>
    <w:p w14:paraId="38DB1961" w14:textId="76699E99" w:rsidR="000C1F97" w:rsidRDefault="00326EF6" w:rsidP="00F81EA4">
      <w:pPr>
        <w:spacing w:before="240"/>
        <w:ind w:left="118" w:firstLine="360"/>
        <w:jc w:val="both"/>
        <w:rPr>
          <w:sz w:val="24"/>
          <w:szCs w:val="24"/>
          <w:lang w:val="mk-MK"/>
        </w:rPr>
      </w:pPr>
      <w:r w:rsidRPr="00326EF6">
        <w:rPr>
          <w:sz w:val="24"/>
          <w:szCs w:val="24"/>
          <w:lang w:val="mk-MK"/>
        </w:rPr>
        <w:t xml:space="preserve">Во компаративна перспектива, Јапонија зазема поучна средишна позиција. Како и САД, таа нема кодетерминација и не признава управувачки права на вработените. </w:t>
      </w:r>
      <w:r w:rsidR="000424E5">
        <w:rPr>
          <w:sz w:val="24"/>
          <w:szCs w:val="24"/>
          <w:lang w:val="mk-MK"/>
        </w:rPr>
        <w:t>Сепак</w:t>
      </w:r>
      <w:r w:rsidRPr="00326EF6">
        <w:rPr>
          <w:sz w:val="24"/>
          <w:szCs w:val="24"/>
          <w:lang w:val="mk-MK"/>
        </w:rPr>
        <w:t xml:space="preserve">, за разлика од САД, историски не се темели на агресивна приматност на акционерите. Во споредба со Германија или Холандија, јапонскиот пример покажува дека силно </w:t>
      </w:r>
      <w:r>
        <w:rPr>
          <w:sz w:val="24"/>
          <w:szCs w:val="24"/>
          <w:lang w:val="mk-MK"/>
        </w:rPr>
        <w:t>работничко</w:t>
      </w:r>
      <w:r w:rsidRPr="00326EF6">
        <w:rPr>
          <w:sz w:val="24"/>
          <w:szCs w:val="24"/>
          <w:lang w:val="mk-MK"/>
        </w:rPr>
        <w:t xml:space="preserve"> влијание може да постои и без законска институционализација, но исто така и дека таквото влијание е исклучително кревко кога се потпира на норми, а не на права.</w:t>
      </w:r>
      <w:r w:rsidR="00270066">
        <w:rPr>
          <w:sz w:val="24"/>
          <w:szCs w:val="24"/>
          <w:lang w:val="mk-MK"/>
        </w:rPr>
        <w:t xml:space="preserve"> </w:t>
      </w:r>
      <w:r w:rsidR="00270066" w:rsidRPr="00270066">
        <w:rPr>
          <w:sz w:val="24"/>
          <w:szCs w:val="24"/>
          <w:lang w:val="mk-MK"/>
        </w:rPr>
        <w:t>За Македонија, јапонското искуство носи јасна поука</w:t>
      </w:r>
      <w:r w:rsidR="00270066">
        <w:rPr>
          <w:sz w:val="24"/>
          <w:szCs w:val="24"/>
          <w:lang w:val="mk-MK"/>
        </w:rPr>
        <w:t xml:space="preserve"> дека</w:t>
      </w:r>
      <w:r w:rsidR="00270066" w:rsidRPr="00270066">
        <w:rPr>
          <w:sz w:val="24"/>
          <w:szCs w:val="24"/>
          <w:lang w:val="mk-MK"/>
        </w:rPr>
        <w:t xml:space="preserve"> неформалните механизми и културните практики не се доволни за долгорочна демократизација на корпоративното управување. Во услови на пазарни реформи, европеизација и зголемен притисок од капиталот, само правно втемелени и институционализирани форми на учество на вработените можат да обезбедат одржливо влијание. Јапонија, исто како и </w:t>
      </w:r>
      <w:r w:rsidR="00270066" w:rsidRPr="00270066">
        <w:rPr>
          <w:sz w:val="24"/>
          <w:szCs w:val="24"/>
          <w:lang w:val="mk-MK"/>
        </w:rPr>
        <w:lastRenderedPageBreak/>
        <w:t>САД, потврдува дека вклучувањето преку сопственост без управувачки права создава лојалност и финансиска експозиција, но не и корпоративна демократиј</w:t>
      </w:r>
      <w:r w:rsidR="00270066">
        <w:rPr>
          <w:sz w:val="24"/>
          <w:szCs w:val="24"/>
          <w:lang w:val="mk-MK"/>
        </w:rPr>
        <w:t>а.</w:t>
      </w:r>
    </w:p>
    <w:p w14:paraId="2A9FDA4B" w14:textId="77777777" w:rsidR="00626D0C" w:rsidRDefault="0034733A" w:rsidP="00F81EA4">
      <w:pPr>
        <w:spacing w:before="240"/>
        <w:ind w:left="118" w:firstLine="360"/>
        <w:jc w:val="both"/>
        <w:rPr>
          <w:sz w:val="24"/>
          <w:szCs w:val="24"/>
          <w:lang w:val="mk-MK"/>
        </w:rPr>
      </w:pPr>
      <w:r>
        <w:rPr>
          <w:sz w:val="24"/>
          <w:szCs w:val="24"/>
          <w:lang w:val="mk-MK"/>
        </w:rPr>
        <w:t xml:space="preserve">Занемарувајќи го битниот фактот дека и Јапонија и САД се многукратно поголеми држави од Македонија со речиси незамисливи дискрепанци во однос на големината на </w:t>
      </w:r>
      <w:r w:rsidR="0024072A">
        <w:rPr>
          <w:sz w:val="24"/>
          <w:szCs w:val="24"/>
          <w:lang w:val="mk-MK"/>
        </w:rPr>
        <w:t>економиите</w:t>
      </w:r>
      <w:r>
        <w:rPr>
          <w:sz w:val="24"/>
          <w:szCs w:val="24"/>
          <w:lang w:val="mk-MK"/>
        </w:rPr>
        <w:t xml:space="preserve">, </w:t>
      </w:r>
      <w:r w:rsidR="0024072A">
        <w:rPr>
          <w:sz w:val="24"/>
          <w:szCs w:val="24"/>
          <w:lang w:val="mk-MK"/>
        </w:rPr>
        <w:t>двете држави се корисен компаратор за ова истражување</w:t>
      </w:r>
      <w:r w:rsidR="00EC6428">
        <w:rPr>
          <w:sz w:val="24"/>
          <w:szCs w:val="24"/>
          <w:lang w:val="mk-MK"/>
        </w:rPr>
        <w:t>. Ова е водено од причината што</w:t>
      </w:r>
      <w:r w:rsidR="00EC6428" w:rsidRPr="00EC6428">
        <w:rPr>
          <w:sz w:val="24"/>
          <w:szCs w:val="24"/>
          <w:lang w:val="mk-MK"/>
        </w:rPr>
        <w:t xml:space="preserve"> на прв поглед делат клучна сличност</w:t>
      </w:r>
      <w:r w:rsidR="00EC6428">
        <w:rPr>
          <w:sz w:val="24"/>
          <w:szCs w:val="24"/>
          <w:lang w:val="mk-MK"/>
        </w:rPr>
        <w:t xml:space="preserve"> затоа што</w:t>
      </w:r>
      <w:r w:rsidR="00EC6428" w:rsidRPr="00EC6428">
        <w:rPr>
          <w:sz w:val="24"/>
          <w:szCs w:val="24"/>
          <w:lang w:val="mk-MK"/>
        </w:rPr>
        <w:t xml:space="preserve"> во ниту една од двете јурисдикции не постои законска кодетерминација, ниту пак формализирано учество на вработените во управните одбори. Во двата системи, вклучувањето на вработените најчесто се артикулира преку индиректни канали, пред сè преку сопственост на акции и колективно договарање. </w:t>
      </w:r>
    </w:p>
    <w:p w14:paraId="327AF42F" w14:textId="312384C8" w:rsidR="00270066" w:rsidRPr="00192796" w:rsidRDefault="00EC6428" w:rsidP="00F81EA4">
      <w:pPr>
        <w:spacing w:before="240"/>
        <w:ind w:left="118" w:firstLine="360"/>
        <w:jc w:val="both"/>
        <w:rPr>
          <w:sz w:val="24"/>
          <w:szCs w:val="24"/>
          <w:lang w:val="en-US"/>
        </w:rPr>
      </w:pPr>
      <w:r w:rsidRPr="00EC6428">
        <w:rPr>
          <w:sz w:val="24"/>
          <w:szCs w:val="24"/>
          <w:lang w:val="mk-MK"/>
        </w:rPr>
        <w:t>Сепак, зад оваа формална сличност стојат суштински различни институционални логики. Американскиот модел е конципиран врз јас</w:t>
      </w:r>
      <w:r w:rsidR="003C2434">
        <w:rPr>
          <w:sz w:val="24"/>
          <w:szCs w:val="24"/>
          <w:lang w:val="mk-MK"/>
        </w:rPr>
        <w:t>ен примат</w:t>
      </w:r>
      <w:r w:rsidRPr="00EC6428">
        <w:rPr>
          <w:sz w:val="24"/>
          <w:szCs w:val="24"/>
          <w:lang w:val="mk-MK"/>
        </w:rPr>
        <w:t xml:space="preserve"> на акционерите и силна пазарна дисциплина, каде ESOP-шемите функционираат како инструмент за усогласување на интересите</w:t>
      </w:r>
      <w:r w:rsidR="001532F9">
        <w:rPr>
          <w:sz w:val="24"/>
          <w:szCs w:val="24"/>
          <w:lang w:val="mk-MK"/>
        </w:rPr>
        <w:t xml:space="preserve"> и не е</w:t>
      </w:r>
      <w:r w:rsidRPr="00EC6428">
        <w:rPr>
          <w:sz w:val="24"/>
          <w:szCs w:val="24"/>
          <w:lang w:val="mk-MK"/>
        </w:rPr>
        <w:t xml:space="preserve"> механизам за споделување на управувачката моќ. Јапонскиот модел, напротив, историски се потпира на стабилни акционерски структури, интерна кариера и претпријатиски синдикати, што им овозможува на вработените фактичко, но не и правно загарантирано влијание врз корпоративните одлуки.</w:t>
      </w:r>
    </w:p>
    <w:p w14:paraId="1E5BE5DF" w14:textId="3B0DC1CF" w:rsidR="001532F9" w:rsidRDefault="008F16CD" w:rsidP="00F81EA4">
      <w:pPr>
        <w:spacing w:before="240"/>
        <w:ind w:left="118" w:firstLine="360"/>
        <w:jc w:val="both"/>
        <w:rPr>
          <w:sz w:val="24"/>
          <w:szCs w:val="24"/>
          <w:lang w:val="mk-MK"/>
        </w:rPr>
      </w:pPr>
      <w:r w:rsidRPr="008F16CD">
        <w:rPr>
          <w:sz w:val="24"/>
          <w:szCs w:val="24"/>
          <w:lang w:val="mk-MK"/>
        </w:rPr>
        <w:t xml:space="preserve">Токму поради оваа разлика, преземањето на американскиот модел на вклучување преку акции не дава ист ефект во други контексти. Во САД, дури и кога ESOP-шемите опфаќаат милиони вработени, нивното влијание врз управувањето останува маргинално бидејќи гласачката моќ е фрагментирана, а одборите се структурно одговорни кон капиталот. Во Јапонија, ваквите шеми </w:t>
      </w:r>
      <w:r w:rsidR="006C2F59">
        <w:rPr>
          <w:sz w:val="24"/>
          <w:szCs w:val="24"/>
          <w:lang w:val="mk-MK"/>
        </w:rPr>
        <w:t>се своевидна</w:t>
      </w:r>
      <w:r w:rsidRPr="008F16CD">
        <w:rPr>
          <w:sz w:val="24"/>
          <w:szCs w:val="24"/>
          <w:lang w:val="mk-MK"/>
        </w:rPr>
        <w:t xml:space="preserve"> надградба на веќе постоечки социјален договор и интерна стабилност</w:t>
      </w:r>
      <w:r w:rsidR="00E73A74">
        <w:rPr>
          <w:sz w:val="24"/>
          <w:szCs w:val="24"/>
          <w:lang w:val="mk-MK"/>
        </w:rPr>
        <w:t>.</w:t>
      </w:r>
      <w:r w:rsidRPr="008F16CD">
        <w:rPr>
          <w:sz w:val="24"/>
          <w:szCs w:val="24"/>
          <w:lang w:val="mk-MK"/>
        </w:rPr>
        <w:t xml:space="preserve"> </w:t>
      </w:r>
      <w:r w:rsidR="00E73A74">
        <w:rPr>
          <w:sz w:val="24"/>
          <w:szCs w:val="24"/>
          <w:lang w:val="mk-MK"/>
        </w:rPr>
        <w:t>К</w:t>
      </w:r>
      <w:r w:rsidRPr="008F16CD">
        <w:rPr>
          <w:sz w:val="24"/>
          <w:szCs w:val="24"/>
          <w:lang w:val="mk-MK"/>
        </w:rPr>
        <w:t xml:space="preserve">ога </w:t>
      </w:r>
      <w:r w:rsidR="00E73A74">
        <w:rPr>
          <w:sz w:val="24"/>
          <w:szCs w:val="24"/>
          <w:lang w:val="mk-MK"/>
        </w:rPr>
        <w:t>овие</w:t>
      </w:r>
      <w:r w:rsidRPr="008F16CD">
        <w:rPr>
          <w:sz w:val="24"/>
          <w:szCs w:val="24"/>
          <w:lang w:val="mk-MK"/>
        </w:rPr>
        <w:t xml:space="preserve"> основи почна</w:t>
      </w:r>
      <w:r w:rsidR="00E73A74">
        <w:rPr>
          <w:sz w:val="24"/>
          <w:szCs w:val="24"/>
          <w:lang w:val="mk-MK"/>
        </w:rPr>
        <w:t>ле</w:t>
      </w:r>
      <w:r w:rsidRPr="008F16CD">
        <w:rPr>
          <w:sz w:val="24"/>
          <w:szCs w:val="24"/>
          <w:lang w:val="mk-MK"/>
        </w:rPr>
        <w:t xml:space="preserve"> да се еродираат под влијание на пазарните реформи, акционерството на вработените не успеа</w:t>
      </w:r>
      <w:r w:rsidR="00E73A74">
        <w:rPr>
          <w:sz w:val="24"/>
          <w:szCs w:val="24"/>
          <w:lang w:val="mk-MK"/>
        </w:rPr>
        <w:t>ло</w:t>
      </w:r>
      <w:r w:rsidRPr="008F16CD">
        <w:rPr>
          <w:sz w:val="24"/>
          <w:szCs w:val="24"/>
          <w:lang w:val="mk-MK"/>
        </w:rPr>
        <w:t xml:space="preserve"> да ја замени изгубената позиција во одлучувањето.</w:t>
      </w:r>
      <w:r w:rsidR="00E73A74">
        <w:rPr>
          <w:rStyle w:val="FootnoteReference"/>
          <w:sz w:val="24"/>
          <w:szCs w:val="24"/>
          <w:lang w:val="mk-MK"/>
        </w:rPr>
        <w:footnoteReference w:id="709"/>
      </w:r>
      <w:r w:rsidRPr="008F16CD">
        <w:rPr>
          <w:sz w:val="24"/>
          <w:szCs w:val="24"/>
          <w:lang w:val="mk-MK"/>
        </w:rPr>
        <w:t xml:space="preserve"> Ова потврдува поширока компаративна поука што веќе се појави и во анализата на САД и Европа</w:t>
      </w:r>
      <w:r w:rsidR="00E73A74">
        <w:rPr>
          <w:sz w:val="24"/>
          <w:szCs w:val="24"/>
          <w:lang w:val="mk-MK"/>
        </w:rPr>
        <w:t xml:space="preserve"> што укажува на тоа дека</w:t>
      </w:r>
      <w:r w:rsidRPr="008F16CD">
        <w:rPr>
          <w:sz w:val="24"/>
          <w:szCs w:val="24"/>
          <w:lang w:val="mk-MK"/>
        </w:rPr>
        <w:t xml:space="preserve"> сопственоста без управувачки права создава економска изложеност и лојалност</w:t>
      </w:r>
      <w:r w:rsidR="006341F7">
        <w:rPr>
          <w:sz w:val="24"/>
          <w:szCs w:val="24"/>
          <w:lang w:val="mk-MK"/>
        </w:rPr>
        <w:t xml:space="preserve"> без</w:t>
      </w:r>
      <w:r w:rsidRPr="008F16CD">
        <w:rPr>
          <w:sz w:val="24"/>
          <w:szCs w:val="24"/>
          <w:lang w:val="mk-MK"/>
        </w:rPr>
        <w:t xml:space="preserve"> реално учество.</w:t>
      </w:r>
    </w:p>
    <w:p w14:paraId="343FCDE8" w14:textId="2C8E99F1" w:rsidR="00B80875" w:rsidRDefault="00801859" w:rsidP="00F81EA4">
      <w:pPr>
        <w:spacing w:before="240"/>
        <w:ind w:left="118" w:firstLine="360"/>
        <w:jc w:val="both"/>
        <w:rPr>
          <w:sz w:val="24"/>
          <w:szCs w:val="24"/>
          <w:lang w:val="mk-MK"/>
        </w:rPr>
      </w:pPr>
      <w:r w:rsidRPr="00801859">
        <w:rPr>
          <w:sz w:val="24"/>
          <w:szCs w:val="24"/>
          <w:lang w:val="mk-MK"/>
        </w:rPr>
        <w:t>Во македонски контекст, оваа споредба е особено релевантна. Како што беше покажано во анализата на германскиот, холандскиот и италијанскиот модел, ефективното учество на вработените произлегува од јасни институционални правила. Пренесувањето на американски ESOP-логики во Македонија, без истовремено зајакнување на колективното договарање, работничките совети или управните права, би значело увоз на најслабиот дел од моделот. Јапонското искуство дополнително покажува дека дури и во економски пософистициран систем, работ</w:t>
      </w:r>
      <w:r w:rsidR="00C71EDD">
        <w:rPr>
          <w:sz w:val="24"/>
          <w:szCs w:val="24"/>
          <w:lang w:val="mk-MK"/>
        </w:rPr>
        <w:t>ни</w:t>
      </w:r>
      <w:r w:rsidRPr="00801859">
        <w:rPr>
          <w:sz w:val="24"/>
          <w:szCs w:val="24"/>
          <w:lang w:val="mk-MK"/>
        </w:rPr>
        <w:t>чкото акционерство не може да компензира за отсуство на формализирани канали на влијание кога институционалната рамнотежа се менува.</w:t>
      </w:r>
    </w:p>
    <w:p w14:paraId="28E4CBA7" w14:textId="59760DA1" w:rsidR="00F56AED" w:rsidRPr="008625B9" w:rsidRDefault="00F56AED" w:rsidP="00A96146">
      <w:pPr>
        <w:spacing w:before="240" w:after="240"/>
        <w:ind w:left="118" w:firstLine="360"/>
        <w:jc w:val="both"/>
        <w:rPr>
          <w:sz w:val="24"/>
          <w:szCs w:val="24"/>
          <w:lang w:val="en-US"/>
        </w:rPr>
      </w:pPr>
      <w:r w:rsidRPr="00F56AED">
        <w:rPr>
          <w:sz w:val="24"/>
          <w:szCs w:val="24"/>
          <w:lang w:val="mk-MK"/>
        </w:rPr>
        <w:t>Гледано во целина, Јапонија функционира како предупредувачка средна точка помеѓу САД и континентална Европа</w:t>
      </w:r>
      <w:r w:rsidR="008D1933">
        <w:rPr>
          <w:sz w:val="24"/>
          <w:szCs w:val="24"/>
          <w:lang w:val="en-US"/>
        </w:rPr>
        <w:t>. Taa</w:t>
      </w:r>
      <w:r w:rsidRPr="00F56AED">
        <w:rPr>
          <w:sz w:val="24"/>
          <w:szCs w:val="24"/>
          <w:lang w:val="mk-MK"/>
        </w:rPr>
        <w:t xml:space="preserve"> демонстрира дека неформалното и пазарно медијирано учество може привремено да функционира, но е структурно нестабилно и зависно од пошироки економски и културни услови. За Македонија, ова значи дека изборот не е помеѓу американски или германски модел на апстрактно ниво, туку помеѓу </w:t>
      </w:r>
      <w:r w:rsidRPr="00F56AED">
        <w:rPr>
          <w:sz w:val="24"/>
          <w:szCs w:val="24"/>
          <w:lang w:val="mk-MK"/>
        </w:rPr>
        <w:lastRenderedPageBreak/>
        <w:t>пазарни симулации на учество и правно втемелени механизми со реална управувачка тежина.</w:t>
      </w:r>
      <w:r w:rsidR="002A093A">
        <w:rPr>
          <w:sz w:val="24"/>
          <w:szCs w:val="24"/>
          <w:lang w:val="mk-MK"/>
        </w:rPr>
        <w:t xml:space="preserve"> </w:t>
      </w:r>
      <w:r w:rsidRPr="00F56AED">
        <w:rPr>
          <w:sz w:val="24"/>
          <w:szCs w:val="24"/>
          <w:lang w:val="mk-MK"/>
        </w:rPr>
        <w:t>Овој заклучок логично го отвора следниот компаративен чекор</w:t>
      </w:r>
      <w:r w:rsidR="002A093A">
        <w:rPr>
          <w:sz w:val="24"/>
          <w:szCs w:val="24"/>
          <w:lang w:val="en-US"/>
        </w:rPr>
        <w:t>,</w:t>
      </w:r>
      <w:r w:rsidR="002A093A">
        <w:rPr>
          <w:sz w:val="24"/>
          <w:szCs w:val="24"/>
          <w:lang w:val="mk-MK"/>
        </w:rPr>
        <w:t xml:space="preserve"> што се однесува на</w:t>
      </w:r>
      <w:r w:rsidRPr="00F56AED">
        <w:rPr>
          <w:sz w:val="24"/>
          <w:szCs w:val="24"/>
          <w:lang w:val="mk-MK"/>
        </w:rPr>
        <w:t xml:space="preserve"> Кина, како систем што комбинира пазарни корпорации со силна улога на државата и партијата, нуди радикално поинаков одговор на прашањето за односот </w:t>
      </w:r>
      <w:r w:rsidR="00A96146">
        <w:rPr>
          <w:sz w:val="24"/>
          <w:szCs w:val="24"/>
          <w:lang w:val="mk-MK"/>
        </w:rPr>
        <w:t>по</w:t>
      </w:r>
      <w:r w:rsidRPr="00F56AED">
        <w:rPr>
          <w:sz w:val="24"/>
          <w:szCs w:val="24"/>
          <w:lang w:val="mk-MK"/>
        </w:rPr>
        <w:t xml:space="preserve">меѓу капиталот, трудот и управувањето и претставува </w:t>
      </w:r>
      <w:r w:rsidR="00A96146">
        <w:rPr>
          <w:sz w:val="24"/>
          <w:szCs w:val="24"/>
          <w:lang w:val="mk-MK"/>
        </w:rPr>
        <w:t xml:space="preserve">последен </w:t>
      </w:r>
      <w:r w:rsidRPr="00F56AED">
        <w:rPr>
          <w:sz w:val="24"/>
          <w:szCs w:val="24"/>
          <w:lang w:val="mk-MK"/>
        </w:rPr>
        <w:t>контрапункт на сите досега анализирани модели</w:t>
      </w:r>
      <w:r w:rsidR="00A96146">
        <w:rPr>
          <w:sz w:val="24"/>
          <w:szCs w:val="24"/>
          <w:lang w:val="mk-MK"/>
        </w:rPr>
        <w:t>.</w:t>
      </w:r>
    </w:p>
    <w:p w14:paraId="6C658E32" w14:textId="7B4BA028" w:rsidR="00F56AED" w:rsidRPr="00A6193C" w:rsidRDefault="008625B9" w:rsidP="009330C0">
      <w:pPr>
        <w:pStyle w:val="Heading1"/>
        <w:numPr>
          <w:ilvl w:val="0"/>
          <w:numId w:val="7"/>
        </w:numPr>
        <w:jc w:val="both"/>
      </w:pPr>
      <w:bookmarkStart w:id="79" w:name="_Toc230523932"/>
      <w:r>
        <w:rPr>
          <w:lang w:val="mk-MK"/>
        </w:rPr>
        <w:t>Х</w:t>
      </w:r>
      <w:r w:rsidRPr="008625B9">
        <w:rPr>
          <w:lang w:val="mk-MK"/>
        </w:rPr>
        <w:t>ибрид</w:t>
      </w:r>
      <w:r w:rsidR="00D73475">
        <w:rPr>
          <w:lang w:val="mk-MK"/>
        </w:rPr>
        <w:t>ен</w:t>
      </w:r>
      <w:r w:rsidRPr="008625B9">
        <w:rPr>
          <w:lang w:val="mk-MK"/>
        </w:rPr>
        <w:t xml:space="preserve"> модел на корпоративно управување и учество на вработените во Кина</w:t>
      </w:r>
      <w:bookmarkEnd w:id="79"/>
    </w:p>
    <w:p w14:paraId="11F0A74E" w14:textId="0A04A3E3" w:rsidR="007900FD" w:rsidRDefault="0052015E" w:rsidP="0052015E">
      <w:pPr>
        <w:spacing w:before="240"/>
        <w:ind w:left="118" w:firstLine="360"/>
        <w:jc w:val="both"/>
        <w:rPr>
          <w:sz w:val="24"/>
          <w:szCs w:val="24"/>
          <w:lang w:val="en-US"/>
        </w:rPr>
      </w:pPr>
      <w:r w:rsidRPr="0052015E">
        <w:rPr>
          <w:sz w:val="24"/>
          <w:szCs w:val="24"/>
          <w:lang w:val="mk-MK"/>
        </w:rPr>
        <w:t>Кинескиот систем на корпоративно управување претставува изразен хибрид, во кој се испреплетуваат пазарно ориентирани реформи и трајното влијание на државата и Комунистичката партија на Кина. Од почетокот на 1990-тите години, а особено по пристапувањето кон Светската трговска организација во 2001 година, Кина спроведе темелни реформи на корпоративното право со цел приближување кон меѓународните стандарди. Со Законот за трговски друштва на Народна Република Кина се воведоа модерни корпоративни форми, заштита на правата на акционерите и основни правила за транспарентност и отчетност.</w:t>
      </w:r>
      <w:r w:rsidR="00E12651">
        <w:rPr>
          <w:rStyle w:val="FootnoteReference"/>
          <w:sz w:val="24"/>
          <w:szCs w:val="24"/>
          <w:lang w:val="mk-MK"/>
        </w:rPr>
        <w:footnoteReference w:id="710"/>
      </w:r>
      <w:r w:rsidRPr="0052015E">
        <w:rPr>
          <w:sz w:val="24"/>
          <w:szCs w:val="24"/>
          <w:lang w:val="mk-MK"/>
        </w:rPr>
        <w:t xml:space="preserve"> Сепак, учеството на вработените во управувањето останува силно условено од социјалистичкото институционално наследство и од континуираната улога на партијата во рамките на претпријатијата.</w:t>
      </w:r>
    </w:p>
    <w:p w14:paraId="131CC6D0" w14:textId="0BD32272" w:rsidR="00016E17" w:rsidRDefault="00373245" w:rsidP="0052015E">
      <w:pPr>
        <w:spacing w:before="240"/>
        <w:ind w:left="118" w:firstLine="360"/>
        <w:jc w:val="both"/>
        <w:rPr>
          <w:sz w:val="24"/>
          <w:szCs w:val="24"/>
          <w:lang w:val="mk-MK"/>
        </w:rPr>
      </w:pPr>
      <w:r w:rsidRPr="00373245">
        <w:rPr>
          <w:sz w:val="24"/>
          <w:szCs w:val="24"/>
          <w:lang w:val="mk-MK"/>
        </w:rPr>
        <w:t xml:space="preserve">Кинеското корпоративно право предвидува </w:t>
      </w:r>
      <w:r w:rsidR="00AD7D3C">
        <w:rPr>
          <w:sz w:val="24"/>
          <w:szCs w:val="24"/>
          <w:lang w:val="mk-MK"/>
        </w:rPr>
        <w:t xml:space="preserve">главно </w:t>
      </w:r>
      <w:r w:rsidRPr="00373245">
        <w:rPr>
          <w:sz w:val="24"/>
          <w:szCs w:val="24"/>
          <w:lang w:val="mk-MK"/>
        </w:rPr>
        <w:t>двос</w:t>
      </w:r>
      <w:r w:rsidR="00AD7D3C">
        <w:rPr>
          <w:sz w:val="24"/>
          <w:szCs w:val="24"/>
          <w:lang w:val="mk-MK"/>
        </w:rPr>
        <w:t>тепен</w:t>
      </w:r>
      <w:r w:rsidRPr="00373245">
        <w:rPr>
          <w:sz w:val="24"/>
          <w:szCs w:val="24"/>
          <w:lang w:val="mk-MK"/>
        </w:rPr>
        <w:t xml:space="preserve"> модел на управување, составен од одбор на директори и надзорен одбор.</w:t>
      </w:r>
      <w:r w:rsidR="00BD5EFD">
        <w:rPr>
          <w:rStyle w:val="FootnoteReference"/>
          <w:sz w:val="24"/>
          <w:szCs w:val="24"/>
          <w:lang w:val="mk-MK"/>
        </w:rPr>
        <w:footnoteReference w:id="711"/>
      </w:r>
      <w:r w:rsidRPr="00373245">
        <w:rPr>
          <w:sz w:val="24"/>
          <w:szCs w:val="24"/>
          <w:lang w:val="mk-MK"/>
        </w:rPr>
        <w:t xml:space="preserve"> За разлика од германскиот модел, надзорниот одбор во Кина има релативно ограничени надлежности и во практика често е маргинализиран. Сепак, законот формално гарантира учество на вработените во оваа структура. Според член 51 од Законот за трговски друштва</w:t>
      </w:r>
      <w:r w:rsidR="00BD5EFD">
        <w:rPr>
          <w:sz w:val="24"/>
          <w:szCs w:val="24"/>
          <w:lang w:val="mk-MK"/>
        </w:rPr>
        <w:t xml:space="preserve">, </w:t>
      </w:r>
      <w:r w:rsidRPr="00373245">
        <w:rPr>
          <w:sz w:val="24"/>
          <w:szCs w:val="24"/>
          <w:lang w:val="mk-MK"/>
        </w:rPr>
        <w:t>во верзиите по измените од 2018 и 2023 година, друштвата со значителен број вработени мора да вклучат претставник на вработените во надзорниот одбор, кој се избира од самите вработени, најчесто преку синдикалните организации или преку конгресот на вработените. Ова решение создава формално право на застапување, но без симетрична управувачка моќ во однос на претставниците на капиталот или државата.</w:t>
      </w:r>
    </w:p>
    <w:p w14:paraId="2BCBCBE1" w14:textId="4DF05CB3" w:rsidR="00A650F6" w:rsidRDefault="00A650F6" w:rsidP="0052015E">
      <w:pPr>
        <w:spacing w:before="240"/>
        <w:ind w:left="118" w:firstLine="360"/>
        <w:jc w:val="both"/>
        <w:rPr>
          <w:sz w:val="24"/>
          <w:szCs w:val="24"/>
          <w:lang w:val="mk-MK"/>
        </w:rPr>
      </w:pPr>
      <w:r w:rsidRPr="00A650F6">
        <w:rPr>
          <w:sz w:val="24"/>
          <w:szCs w:val="24"/>
          <w:lang w:val="mk-MK"/>
        </w:rPr>
        <w:t>Покрај надзорниот одбор, кинескиот систем ја задржува институцијата на конгресот на вработените</w:t>
      </w:r>
      <w:r w:rsidR="001E2BF8">
        <w:rPr>
          <w:sz w:val="24"/>
          <w:szCs w:val="24"/>
          <w:lang w:val="mk-MK"/>
        </w:rPr>
        <w:t xml:space="preserve">, </w:t>
      </w:r>
      <w:r w:rsidRPr="00A650F6">
        <w:rPr>
          <w:rFonts w:ascii="SimSun" w:eastAsia="SimSun" w:hAnsi="SimSun" w:cs="SimSun" w:hint="eastAsia"/>
          <w:sz w:val="24"/>
          <w:szCs w:val="24"/>
          <w:lang w:val="mk-MK"/>
        </w:rPr>
        <w:t>职工代表大会</w:t>
      </w:r>
      <w:r w:rsidRPr="00A650F6">
        <w:rPr>
          <w:sz w:val="24"/>
          <w:szCs w:val="24"/>
          <w:lang w:val="mk-MK"/>
        </w:rPr>
        <w:t>, која потекнува од социјалистичкиот систем на работни единици</w:t>
      </w:r>
      <w:r w:rsidR="002971C9">
        <w:rPr>
          <w:sz w:val="24"/>
          <w:szCs w:val="24"/>
          <w:lang w:val="mk-MK"/>
        </w:rPr>
        <w:t xml:space="preserve"> со име</w:t>
      </w:r>
      <w:r w:rsidRPr="00A650F6">
        <w:rPr>
          <w:sz w:val="24"/>
          <w:szCs w:val="24"/>
          <w:lang w:val="mk-MK"/>
        </w:rPr>
        <w:t xml:space="preserve"> danwei. Овој орган е препознаен во повеќе закони и подзаконски акти, вклучително и За</w:t>
      </w:r>
      <w:r w:rsidRPr="00A650F6">
        <w:rPr>
          <w:rFonts w:hint="eastAsia"/>
          <w:sz w:val="24"/>
          <w:szCs w:val="24"/>
          <w:lang w:val="mk-MK"/>
        </w:rPr>
        <w:t>конот</w:t>
      </w:r>
      <w:r w:rsidRPr="00A650F6">
        <w:rPr>
          <w:sz w:val="24"/>
          <w:szCs w:val="24"/>
          <w:lang w:val="mk-MK"/>
        </w:rPr>
        <w:t xml:space="preserve"> за синдикати, како форум за информирање, консултација и изразување мислења на вработените во однос на работните услови и внатрешните правила. Во прак</w:t>
      </w:r>
      <w:r w:rsidR="00337ECE">
        <w:rPr>
          <w:sz w:val="24"/>
          <w:szCs w:val="24"/>
          <w:lang w:val="mk-MK"/>
        </w:rPr>
        <w:t>сата</w:t>
      </w:r>
      <w:r w:rsidRPr="00A650F6">
        <w:rPr>
          <w:sz w:val="24"/>
          <w:szCs w:val="24"/>
          <w:lang w:val="mk-MK"/>
        </w:rPr>
        <w:t>, неговата улога е претежно советодавна, а влијанието врз стратешките корпоративни одлук</w:t>
      </w:r>
      <w:r w:rsidRPr="00A650F6">
        <w:rPr>
          <w:rFonts w:hint="eastAsia"/>
          <w:sz w:val="24"/>
          <w:szCs w:val="24"/>
          <w:lang w:val="mk-MK"/>
        </w:rPr>
        <w:t>и</w:t>
      </w:r>
      <w:r w:rsidRPr="00A650F6">
        <w:rPr>
          <w:sz w:val="24"/>
          <w:szCs w:val="24"/>
          <w:lang w:val="mk-MK"/>
        </w:rPr>
        <w:t xml:space="preserve"> е ограничено, особено во поголемите и стратешки значајни компании.</w:t>
      </w:r>
    </w:p>
    <w:p w14:paraId="74DE403C" w14:textId="0FE64956" w:rsidR="00B90852" w:rsidRDefault="00B90852" w:rsidP="0052015E">
      <w:pPr>
        <w:spacing w:before="240"/>
        <w:ind w:left="118" w:firstLine="360"/>
        <w:jc w:val="both"/>
        <w:rPr>
          <w:sz w:val="24"/>
          <w:szCs w:val="24"/>
          <w:lang w:val="mk-MK"/>
        </w:rPr>
      </w:pPr>
      <w:r w:rsidRPr="00B90852">
        <w:rPr>
          <w:sz w:val="24"/>
          <w:szCs w:val="24"/>
          <w:lang w:val="mk-MK"/>
        </w:rPr>
        <w:t>Централна улога во претставувањето на работниците има Сесојузната федерација на синдикати на Кина,</w:t>
      </w:r>
      <w:r w:rsidR="00EA54A8">
        <w:rPr>
          <w:rStyle w:val="FootnoteReference"/>
          <w:sz w:val="24"/>
          <w:szCs w:val="24"/>
          <w:lang w:val="mk-MK"/>
        </w:rPr>
        <w:footnoteReference w:id="712"/>
      </w:r>
      <w:r w:rsidRPr="00B90852">
        <w:rPr>
          <w:sz w:val="24"/>
          <w:szCs w:val="24"/>
          <w:lang w:val="mk-MK"/>
        </w:rPr>
        <w:t xml:space="preserve"> која е единствено дозволената синдикална конфедерација и функционира под водство на Комунистичката партија. За разлика од плуралистичките синдикални системи во Европа, кинеските синдикати не се независни актери, туку посредници </w:t>
      </w:r>
      <w:r w:rsidR="00F40A6E">
        <w:rPr>
          <w:sz w:val="24"/>
          <w:szCs w:val="24"/>
          <w:lang w:val="mk-MK"/>
        </w:rPr>
        <w:t>по</w:t>
      </w:r>
      <w:r w:rsidRPr="00B90852">
        <w:rPr>
          <w:sz w:val="24"/>
          <w:szCs w:val="24"/>
          <w:lang w:val="mk-MK"/>
        </w:rPr>
        <w:t xml:space="preserve">меѓу управата, државата и вработените. Ова институционално </w:t>
      </w:r>
      <w:r w:rsidRPr="00B90852">
        <w:rPr>
          <w:sz w:val="24"/>
          <w:szCs w:val="24"/>
          <w:lang w:val="mk-MK"/>
        </w:rPr>
        <w:lastRenderedPageBreak/>
        <w:t>уредување значително ја намалува можноста синдикатите да дејствуваат како автономен канал за притисок или контрола врз корпоративните одлуки, особено во државните претпријатија.</w:t>
      </w:r>
    </w:p>
    <w:p w14:paraId="4EC0B2DA" w14:textId="4D14FB5A" w:rsidR="000C1F03" w:rsidRDefault="000C1F03" w:rsidP="0052015E">
      <w:pPr>
        <w:spacing w:before="240"/>
        <w:ind w:left="118" w:firstLine="360"/>
        <w:jc w:val="both"/>
        <w:rPr>
          <w:sz w:val="24"/>
          <w:szCs w:val="24"/>
          <w:lang w:val="mk-MK"/>
        </w:rPr>
      </w:pPr>
      <w:r w:rsidRPr="000C1F03">
        <w:rPr>
          <w:sz w:val="24"/>
          <w:szCs w:val="24"/>
          <w:lang w:val="mk-MK"/>
        </w:rPr>
        <w:t>Најкарактеристичната особеност на кинеското корпоративно управување е правно утврдената улога на партиските комитети во рамките на претпријатијата. Член 19 од Законот за трговски</w:t>
      </w:r>
      <w:r w:rsidR="001A574A">
        <w:rPr>
          <w:sz w:val="24"/>
          <w:szCs w:val="24"/>
          <w:lang w:val="mk-MK"/>
        </w:rPr>
        <w:t>те</w:t>
      </w:r>
      <w:r w:rsidRPr="000C1F03">
        <w:rPr>
          <w:sz w:val="24"/>
          <w:szCs w:val="24"/>
          <w:lang w:val="mk-MK"/>
        </w:rPr>
        <w:t xml:space="preserve"> друштва</w:t>
      </w:r>
      <w:r w:rsidR="001A574A">
        <w:rPr>
          <w:sz w:val="24"/>
          <w:szCs w:val="24"/>
          <w:lang w:val="mk-MK"/>
        </w:rPr>
        <w:t xml:space="preserve"> на НР Кина</w:t>
      </w:r>
      <w:r w:rsidRPr="000C1F03">
        <w:rPr>
          <w:sz w:val="24"/>
          <w:szCs w:val="24"/>
          <w:lang w:val="mk-MK"/>
        </w:rPr>
        <w:t xml:space="preserve"> изрично предвидува основање на партиска организација во секоја компанија во која има најмалку три членови на Комунистичката партија, како и обврска компанијата да обезбеди услови за нејзино</w:t>
      </w:r>
      <w:r w:rsidR="00073592">
        <w:rPr>
          <w:sz w:val="24"/>
          <w:szCs w:val="24"/>
          <w:lang w:val="mk-MK"/>
        </w:rPr>
        <w:t>то</w:t>
      </w:r>
      <w:r w:rsidRPr="000C1F03">
        <w:rPr>
          <w:sz w:val="24"/>
          <w:szCs w:val="24"/>
          <w:lang w:val="mk-MK"/>
        </w:rPr>
        <w:t xml:space="preserve"> функционирање. Во последната деценија, овие одредби се дополнително зајакнати преку партиски и регулаторни акти, со што улогата на партиските комитети стана поформализирана и поинтегрирана во корпоративното одлучување. Во многу државни, а сè почесто и во приватни компании, партиските секретари истовремено заземаат високи управувачки или одборски позиции, а партискиот комитет има реално влијание врз стратешките и кадровските одлуки.</w:t>
      </w:r>
    </w:p>
    <w:p w14:paraId="23BBFC24" w14:textId="7995B228" w:rsidR="00FE3D4F" w:rsidRDefault="00FE3D4F" w:rsidP="0052015E">
      <w:pPr>
        <w:spacing w:before="240"/>
        <w:ind w:left="118" w:firstLine="360"/>
        <w:jc w:val="both"/>
        <w:rPr>
          <w:sz w:val="24"/>
          <w:szCs w:val="24"/>
          <w:lang w:val="mk-MK"/>
        </w:rPr>
      </w:pPr>
      <w:r w:rsidRPr="00FE3D4F">
        <w:rPr>
          <w:sz w:val="24"/>
          <w:szCs w:val="24"/>
          <w:lang w:val="mk-MK"/>
        </w:rPr>
        <w:t xml:space="preserve">Во практика, учеството на вработените во кинеското корпоративно управување се одвива преку комбинација на формални права и политички надзор. Иако постојат институционализирани канали </w:t>
      </w:r>
      <w:r w:rsidR="002A2A13">
        <w:rPr>
          <w:sz w:val="24"/>
          <w:szCs w:val="24"/>
          <w:lang w:val="mk-MK"/>
        </w:rPr>
        <w:t>каде вработените се</w:t>
      </w:r>
      <w:r w:rsidRPr="00FE3D4F">
        <w:rPr>
          <w:sz w:val="24"/>
          <w:szCs w:val="24"/>
          <w:lang w:val="mk-MK"/>
        </w:rPr>
        <w:t xml:space="preserve"> претставници во надзорните одбори и конгреси на вработените, тие не создаваат кодетерминација според европскиот модел, ниту пак личат на акционерските механизми од англо-американски тип. Вработените ретко имаат одлучувачко влијание врз корпоративната стратегија, бидејќи нивното учество е вградено во поширока рамка на партиска контрола и државни цели.</w:t>
      </w:r>
    </w:p>
    <w:p w14:paraId="17E27B5B" w14:textId="180699ED" w:rsidR="000751C2" w:rsidRDefault="0003379C" w:rsidP="0052015E">
      <w:pPr>
        <w:spacing w:before="240"/>
        <w:ind w:left="118" w:firstLine="360"/>
        <w:jc w:val="both"/>
        <w:rPr>
          <w:sz w:val="24"/>
          <w:szCs w:val="24"/>
          <w:lang w:val="mk-MK"/>
        </w:rPr>
      </w:pPr>
      <w:r w:rsidRPr="0003379C">
        <w:rPr>
          <w:sz w:val="24"/>
          <w:szCs w:val="24"/>
          <w:lang w:val="mk-MK"/>
        </w:rPr>
        <w:t>Понoвите реформи и политички дебати во Кина се насочени пред сè кон зголемување на ефикасноста, подобрување на транспарентноста и зајакнување на партиското раководство, а не кон проширување на независниот глас на вработените. Сепак, самото постоење на формални структури за учество, иако ограничени по ефект, јасно ја илустрира хибридната природа на кинескиот модел</w:t>
      </w:r>
      <w:r w:rsidR="00986C90">
        <w:rPr>
          <w:sz w:val="24"/>
          <w:szCs w:val="24"/>
          <w:lang w:val="mk-MK"/>
        </w:rPr>
        <w:t>. Значи, станува збор за</w:t>
      </w:r>
      <w:r w:rsidRPr="0003379C">
        <w:rPr>
          <w:sz w:val="24"/>
          <w:szCs w:val="24"/>
          <w:lang w:val="mk-MK"/>
        </w:rPr>
        <w:t xml:space="preserve"> систем што се движи </w:t>
      </w:r>
      <w:r w:rsidR="00986C90">
        <w:rPr>
          <w:sz w:val="24"/>
          <w:szCs w:val="24"/>
          <w:lang w:val="mk-MK"/>
        </w:rPr>
        <w:t>по</w:t>
      </w:r>
      <w:r w:rsidRPr="0003379C">
        <w:rPr>
          <w:sz w:val="24"/>
          <w:szCs w:val="24"/>
          <w:lang w:val="mk-MK"/>
        </w:rPr>
        <w:t>меѓу пазарната корпорација и социјалистичката институционална традиција, при што учеството на вработените е реално постоечко, но политички и управувачки строго канализирано.</w:t>
      </w:r>
    </w:p>
    <w:p w14:paraId="2D758B86" w14:textId="0A93CEDC" w:rsidR="0005247C" w:rsidRDefault="0005247C" w:rsidP="0052015E">
      <w:pPr>
        <w:spacing w:before="240"/>
        <w:ind w:left="118" w:firstLine="360"/>
        <w:jc w:val="both"/>
        <w:rPr>
          <w:sz w:val="24"/>
          <w:szCs w:val="24"/>
          <w:lang w:val="mk-MK"/>
        </w:rPr>
      </w:pPr>
      <w:r>
        <w:rPr>
          <w:sz w:val="24"/>
          <w:szCs w:val="24"/>
          <w:lang w:val="mk-MK"/>
        </w:rPr>
        <w:t xml:space="preserve">Оттука, </w:t>
      </w:r>
      <w:r w:rsidRPr="0005247C">
        <w:rPr>
          <w:sz w:val="24"/>
          <w:szCs w:val="24"/>
          <w:lang w:val="mk-MK"/>
        </w:rPr>
        <w:t xml:space="preserve">Кинескиот модел на вклучување на вработените во корпоративното управување претставува концептуално различна категорија во однос на европските и англоамериканските искуства разгледани во </w:t>
      </w:r>
      <w:r w:rsidR="006D7CC1">
        <w:rPr>
          <w:sz w:val="24"/>
          <w:szCs w:val="24"/>
          <w:lang w:val="mk-MK"/>
        </w:rPr>
        <w:t>ова истражување</w:t>
      </w:r>
      <w:r w:rsidRPr="0005247C">
        <w:rPr>
          <w:sz w:val="24"/>
          <w:szCs w:val="24"/>
          <w:lang w:val="mk-MK"/>
        </w:rPr>
        <w:t>. За разлика од Германија, каде што</w:t>
      </w:r>
      <w:r w:rsidR="000B5D20">
        <w:rPr>
          <w:sz w:val="24"/>
          <w:szCs w:val="24"/>
          <w:lang w:val="mk-MK"/>
        </w:rPr>
        <w:t>,</w:t>
      </w:r>
      <w:r w:rsidRPr="0005247C">
        <w:rPr>
          <w:sz w:val="24"/>
          <w:szCs w:val="24"/>
          <w:lang w:val="mk-MK"/>
        </w:rPr>
        <w:t xml:space="preserve"> </w:t>
      </w:r>
      <w:r w:rsidR="000B5D20">
        <w:rPr>
          <w:sz w:val="24"/>
          <w:szCs w:val="24"/>
          <w:lang w:val="mk-MK"/>
        </w:rPr>
        <w:t xml:space="preserve">како што видовме неколку пати, </w:t>
      </w:r>
      <w:r w:rsidRPr="0005247C">
        <w:rPr>
          <w:sz w:val="24"/>
          <w:szCs w:val="24"/>
          <w:lang w:val="mk-MK"/>
        </w:rPr>
        <w:t>учеството на вработените во надзорните одбори е правно втемелено како автономно право што произлегува од работниот статус, или од САД, каде што учеството се канализира преку индивидуализирана сопственост на акции без управувачка моќ, кинескиот систем ја вградува вработеноста во рамките на политичко-институционална контрола.</w:t>
      </w:r>
      <w:r w:rsidR="000B5D20">
        <w:rPr>
          <w:rStyle w:val="FootnoteReference"/>
          <w:sz w:val="24"/>
          <w:szCs w:val="24"/>
          <w:lang w:val="mk-MK"/>
        </w:rPr>
        <w:footnoteReference w:id="713"/>
      </w:r>
    </w:p>
    <w:p w14:paraId="7D694FB0" w14:textId="108908A0" w:rsidR="001D07A2" w:rsidRDefault="006005CA" w:rsidP="0052015E">
      <w:pPr>
        <w:spacing w:before="240"/>
        <w:ind w:left="118" w:firstLine="360"/>
        <w:jc w:val="both"/>
        <w:rPr>
          <w:sz w:val="24"/>
          <w:szCs w:val="24"/>
          <w:lang w:val="mk-MK"/>
        </w:rPr>
      </w:pPr>
      <w:r w:rsidRPr="006005CA">
        <w:rPr>
          <w:sz w:val="24"/>
          <w:szCs w:val="24"/>
          <w:lang w:val="mk-MK"/>
        </w:rPr>
        <w:t>Формите на работничко учество во Кина</w:t>
      </w:r>
      <w:r w:rsidR="00114B33">
        <w:rPr>
          <w:sz w:val="24"/>
          <w:szCs w:val="24"/>
          <w:lang w:val="mk-MK"/>
        </w:rPr>
        <w:t>,</w:t>
      </w:r>
      <w:r w:rsidRPr="006005CA">
        <w:rPr>
          <w:sz w:val="24"/>
          <w:szCs w:val="24"/>
          <w:lang w:val="mk-MK"/>
        </w:rPr>
        <w:t xml:space="preserve"> како работничките конгреси и синдикалните структури</w:t>
      </w:r>
      <w:r w:rsidR="00293470">
        <w:rPr>
          <w:sz w:val="24"/>
          <w:szCs w:val="24"/>
          <w:lang w:val="en-US"/>
        </w:rPr>
        <w:t xml:space="preserve">, </w:t>
      </w:r>
      <w:r w:rsidRPr="006005CA">
        <w:rPr>
          <w:sz w:val="24"/>
          <w:szCs w:val="24"/>
          <w:lang w:val="mk-MK"/>
        </w:rPr>
        <w:t xml:space="preserve">постојат како формално признати механизми, но нивната функција е посредувана и ограничена од централната улога на државата и Комунистичката партија во корпоративното управување. За разлика од европските модели, каде што работничкото претставување служи како коректив на капиталната </w:t>
      </w:r>
      <w:r w:rsidRPr="006005CA">
        <w:rPr>
          <w:sz w:val="24"/>
          <w:szCs w:val="24"/>
          <w:lang w:val="mk-MK"/>
        </w:rPr>
        <w:lastRenderedPageBreak/>
        <w:t>моќ, во кинескиот контекст овие механизми имаат пред сè консултативна и дисциплинирачка улога, усогласена со државните развојни цели. Оттука, иако на нормативно ниво се зборува за учество, тоа не резултира со вистинска распределба на управувачка моќ или со независна работничка контрола</w:t>
      </w:r>
      <w:r w:rsidR="00B10784">
        <w:rPr>
          <w:sz w:val="24"/>
          <w:szCs w:val="24"/>
          <w:lang w:val="en-US"/>
        </w:rPr>
        <w:t xml:space="preserve"> </w:t>
      </w:r>
      <w:r w:rsidR="00B10784">
        <w:rPr>
          <w:sz w:val="24"/>
          <w:szCs w:val="24"/>
          <w:lang w:val="mk-MK"/>
        </w:rPr>
        <w:t>во смислата на оваа теза</w:t>
      </w:r>
      <w:r w:rsidRPr="006005CA">
        <w:rPr>
          <w:sz w:val="24"/>
          <w:szCs w:val="24"/>
          <w:lang w:val="mk-MK"/>
        </w:rPr>
        <w:t>.</w:t>
      </w:r>
    </w:p>
    <w:p w14:paraId="0A8105A5" w14:textId="7272B198" w:rsidR="00B10784" w:rsidRDefault="00B10784" w:rsidP="0052015E">
      <w:pPr>
        <w:spacing w:before="240"/>
        <w:ind w:left="118" w:firstLine="360"/>
        <w:jc w:val="both"/>
        <w:rPr>
          <w:sz w:val="24"/>
          <w:szCs w:val="24"/>
          <w:lang w:val="mk-MK"/>
        </w:rPr>
      </w:pPr>
      <w:r w:rsidRPr="00B10784">
        <w:rPr>
          <w:sz w:val="24"/>
          <w:szCs w:val="24"/>
          <w:lang w:val="mk-MK"/>
        </w:rPr>
        <w:t xml:space="preserve">Во споредба со САД, кинескиот модел ја избегнува фикцијата на економска демократија преку акции, но ја заменува со политичка хиерархија. Во споредба со Германија и Холандија, </w:t>
      </w:r>
      <w:r w:rsidR="00325BCF">
        <w:rPr>
          <w:sz w:val="24"/>
          <w:szCs w:val="24"/>
          <w:lang w:val="mk-MK"/>
        </w:rPr>
        <w:t>во кинескиот систем</w:t>
      </w:r>
      <w:r w:rsidRPr="00B10784">
        <w:rPr>
          <w:sz w:val="24"/>
          <w:szCs w:val="24"/>
          <w:lang w:val="mk-MK"/>
        </w:rPr>
        <w:t xml:space="preserve"> недостига клучниот елемент на плурализам и конфликтно балансирање на интереси. </w:t>
      </w:r>
      <w:r w:rsidR="00325BCF">
        <w:rPr>
          <w:sz w:val="24"/>
          <w:szCs w:val="24"/>
          <w:lang w:val="mk-MK"/>
        </w:rPr>
        <w:t>Додека</w:t>
      </w:r>
      <w:r w:rsidRPr="00B10784">
        <w:rPr>
          <w:sz w:val="24"/>
          <w:szCs w:val="24"/>
          <w:lang w:val="mk-MK"/>
        </w:rPr>
        <w:t xml:space="preserve"> во однос на постсоцијалистичките земји од регионот, Кина нуди парадоксална слика</w:t>
      </w:r>
      <w:r w:rsidR="00A0076B">
        <w:rPr>
          <w:sz w:val="24"/>
          <w:szCs w:val="24"/>
          <w:lang w:val="mk-MK"/>
        </w:rPr>
        <w:t xml:space="preserve"> со</w:t>
      </w:r>
      <w:r w:rsidRPr="00B10784">
        <w:rPr>
          <w:sz w:val="24"/>
          <w:szCs w:val="24"/>
          <w:lang w:val="mk-MK"/>
        </w:rPr>
        <w:t xml:space="preserve"> силно институционализирано учество без автономија, наспроти слабо институционализирано, но формално плуралистичко управување.</w:t>
      </w:r>
      <w:r w:rsidR="00CA01A4">
        <w:rPr>
          <w:rStyle w:val="FootnoteReference"/>
          <w:sz w:val="24"/>
          <w:szCs w:val="24"/>
          <w:lang w:val="mk-MK"/>
        </w:rPr>
        <w:footnoteReference w:id="714"/>
      </w:r>
    </w:p>
    <w:p w14:paraId="291AA1A1" w14:textId="47306CAF" w:rsidR="00C45006" w:rsidRPr="00127CA6" w:rsidRDefault="00325BCF" w:rsidP="0068632F">
      <w:pPr>
        <w:spacing w:before="240" w:after="240"/>
        <w:ind w:left="118" w:firstLine="360"/>
        <w:jc w:val="both"/>
        <w:rPr>
          <w:sz w:val="24"/>
          <w:szCs w:val="24"/>
          <w:lang w:val="mk-MK"/>
        </w:rPr>
      </w:pPr>
      <w:r w:rsidRPr="00325BCF">
        <w:rPr>
          <w:sz w:val="24"/>
          <w:szCs w:val="24"/>
          <w:lang w:val="mk-MK"/>
        </w:rPr>
        <w:t>За Македонија, кинеското искуство има пред сè негативна хеуристичка вредност. Иако постои искушение во транзициските контексти да се воспостават формални тела на учество без вистинска моќ, компаративната анализа јасно покажува дека таквите решенија водат кон симболичко</w:t>
      </w:r>
      <w:r w:rsidR="00B177DB">
        <w:rPr>
          <w:sz w:val="24"/>
          <w:szCs w:val="24"/>
          <w:lang w:val="mk-MK"/>
        </w:rPr>
        <w:t xml:space="preserve"> и далеку од</w:t>
      </w:r>
      <w:r w:rsidRPr="00325BCF">
        <w:rPr>
          <w:sz w:val="24"/>
          <w:szCs w:val="24"/>
          <w:lang w:val="mk-MK"/>
        </w:rPr>
        <w:t xml:space="preserve"> суштинско вклучување на вработените. Македонскиот контекст, кој се стреми кон европска интеграција и плуралистички институционален развој, не може да прифати модели во кои работничкото учество е подредено на политичка или административна контрола, без независност и правна заштита. Кина, во таа смисла, го потврдува централниот аргумент на </w:t>
      </w:r>
      <w:r w:rsidR="00445B63">
        <w:rPr>
          <w:sz w:val="24"/>
          <w:szCs w:val="24"/>
          <w:lang w:val="mk-MK"/>
        </w:rPr>
        <w:t>оваа докторска дисертација</w:t>
      </w:r>
      <w:r w:rsidRPr="00325BCF">
        <w:rPr>
          <w:sz w:val="24"/>
          <w:szCs w:val="24"/>
          <w:lang w:val="mk-MK"/>
        </w:rPr>
        <w:t xml:space="preserve"> </w:t>
      </w:r>
      <w:r w:rsidR="00445B63">
        <w:rPr>
          <w:sz w:val="24"/>
          <w:szCs w:val="24"/>
          <w:lang w:val="mk-MK"/>
        </w:rPr>
        <w:t>илустрирајќи како</w:t>
      </w:r>
      <w:r w:rsidRPr="00325BCF">
        <w:rPr>
          <w:sz w:val="24"/>
          <w:szCs w:val="24"/>
          <w:lang w:val="mk-MK"/>
        </w:rPr>
        <w:t xml:space="preserve"> формалното постоење на механизми за учество не е доволно. Одлучувачко е прашањето кому му припаѓа крајната управувачка моќ, како таа е правно заштитена и дали вработените настапуваат како автономен колективен субјект</w:t>
      </w:r>
      <w:r w:rsidR="00006D6F">
        <w:rPr>
          <w:sz w:val="24"/>
          <w:szCs w:val="24"/>
          <w:lang w:val="mk-MK"/>
        </w:rPr>
        <w:t xml:space="preserve"> или</w:t>
      </w:r>
      <w:r w:rsidRPr="00325BCF">
        <w:rPr>
          <w:sz w:val="24"/>
          <w:szCs w:val="24"/>
          <w:lang w:val="mk-MK"/>
        </w:rPr>
        <w:t xml:space="preserve"> како продолжена рака на капиталот и</w:t>
      </w:r>
      <w:r w:rsidR="00006D6F">
        <w:rPr>
          <w:sz w:val="24"/>
          <w:szCs w:val="24"/>
          <w:lang w:val="mk-MK"/>
        </w:rPr>
        <w:t>/и</w:t>
      </w:r>
      <w:r w:rsidRPr="00325BCF">
        <w:rPr>
          <w:sz w:val="24"/>
          <w:szCs w:val="24"/>
          <w:lang w:val="mk-MK"/>
        </w:rPr>
        <w:t>ли државата.</w:t>
      </w:r>
    </w:p>
    <w:p w14:paraId="229CA0E5" w14:textId="332ADE3C" w:rsidR="0052015E" w:rsidRPr="00A6193C" w:rsidRDefault="0052015E" w:rsidP="009330C0">
      <w:pPr>
        <w:pStyle w:val="Heading1"/>
        <w:numPr>
          <w:ilvl w:val="0"/>
          <w:numId w:val="7"/>
        </w:numPr>
        <w:jc w:val="both"/>
      </w:pPr>
      <w:bookmarkStart w:id="80" w:name="_Toc230523933"/>
      <w:r>
        <w:rPr>
          <w:lang w:val="mk-MK"/>
        </w:rPr>
        <w:t>Заклуч</w:t>
      </w:r>
      <w:r w:rsidR="0087719A">
        <w:rPr>
          <w:lang w:val="mk-MK"/>
        </w:rPr>
        <w:t>ни согледувања</w:t>
      </w:r>
      <w:bookmarkEnd w:id="80"/>
    </w:p>
    <w:p w14:paraId="06481CFF" w14:textId="0578BB98" w:rsidR="00C15E22" w:rsidRDefault="00AC0B35" w:rsidP="009E622A">
      <w:pPr>
        <w:spacing w:before="240"/>
        <w:ind w:firstLine="478"/>
        <w:jc w:val="both"/>
        <w:rPr>
          <w:sz w:val="24"/>
          <w:szCs w:val="24"/>
          <w:lang w:val="mk-MK"/>
        </w:rPr>
      </w:pPr>
      <w:r w:rsidRPr="00AC0B35">
        <w:rPr>
          <w:sz w:val="24"/>
          <w:szCs w:val="24"/>
          <w:lang w:val="mk-MK"/>
        </w:rPr>
        <w:t xml:space="preserve">Ова поглавје разгледа дванаесет национални модели на корпоративно управување и учество на вработените, опфаќајќи координирани </w:t>
      </w:r>
      <w:r w:rsidR="00655B35">
        <w:rPr>
          <w:sz w:val="24"/>
          <w:szCs w:val="24"/>
          <w:lang w:val="mk-MK"/>
        </w:rPr>
        <w:t>и</w:t>
      </w:r>
      <w:r w:rsidRPr="00AC0B35">
        <w:rPr>
          <w:sz w:val="24"/>
          <w:szCs w:val="24"/>
          <w:lang w:val="mk-MK"/>
        </w:rPr>
        <w:t xml:space="preserve"> либерални пазарни економии, постсоцијалистички транзициски системи и хибриди на државен капитализам. Земени заедно, компаративните докази покажуваат дека учеството на вработените не е технички додаток на корпоративното управување, ниту симболично наследство од минати системи, туку структурно значаен избор што ја обликува способноста за социјална заштита, економска</w:t>
      </w:r>
      <w:r w:rsidR="00B40F1C">
        <w:rPr>
          <w:sz w:val="24"/>
          <w:szCs w:val="24"/>
          <w:lang w:val="mk-MK"/>
        </w:rPr>
        <w:t>та</w:t>
      </w:r>
      <w:r w:rsidRPr="00AC0B35">
        <w:rPr>
          <w:sz w:val="24"/>
          <w:szCs w:val="24"/>
          <w:lang w:val="mk-MK"/>
        </w:rPr>
        <w:t xml:space="preserve"> отпорност и демократск</w:t>
      </w:r>
      <w:r w:rsidR="00B40F1C">
        <w:rPr>
          <w:sz w:val="24"/>
          <w:szCs w:val="24"/>
          <w:lang w:val="mk-MK"/>
        </w:rPr>
        <w:t>иот легитимет</w:t>
      </w:r>
      <w:r w:rsidRPr="00AC0B35">
        <w:rPr>
          <w:sz w:val="24"/>
          <w:szCs w:val="24"/>
          <w:lang w:val="mk-MK"/>
        </w:rPr>
        <w:t xml:space="preserve"> во економијата. </w:t>
      </w:r>
    </w:p>
    <w:p w14:paraId="7D56E5B0" w14:textId="34558283" w:rsidR="00AC0B35" w:rsidRPr="00AC0B35" w:rsidRDefault="00AC0B35" w:rsidP="009E622A">
      <w:pPr>
        <w:spacing w:before="240"/>
        <w:ind w:firstLine="478"/>
        <w:jc w:val="both"/>
        <w:rPr>
          <w:sz w:val="24"/>
          <w:szCs w:val="24"/>
          <w:lang w:val="mk-MK"/>
        </w:rPr>
      </w:pPr>
      <w:r w:rsidRPr="00AC0B35">
        <w:rPr>
          <w:sz w:val="24"/>
          <w:szCs w:val="24"/>
          <w:lang w:val="mk-MK"/>
        </w:rPr>
        <w:t xml:space="preserve">Искуствата на Германија, Словенија, Холандија, Италија, Полска, Обединетото Кралство, Соединетите Американски Држави, Кина и постјугословенските земји покажуваат дека таму каде што гласот на вработените е слаб или изместен надвор од корпоративното управување, притисоците врз системите за социјална заштита се интензивираат. Наспроти тоа, таму каде што учеството на вработените е институционално вградeно, социјалните ризици се порамномерно распределени </w:t>
      </w:r>
      <w:r w:rsidR="009764E5">
        <w:rPr>
          <w:sz w:val="24"/>
          <w:szCs w:val="24"/>
          <w:lang w:val="mk-MK"/>
        </w:rPr>
        <w:t>по</w:t>
      </w:r>
      <w:r w:rsidRPr="00AC0B35">
        <w:rPr>
          <w:sz w:val="24"/>
          <w:szCs w:val="24"/>
          <w:lang w:val="mk-MK"/>
        </w:rPr>
        <w:t>меѓу фирмите, пазарите и државата.</w:t>
      </w:r>
    </w:p>
    <w:p w14:paraId="5728F024" w14:textId="4259BA8D" w:rsidR="000B5913" w:rsidRDefault="009E622A" w:rsidP="001F3329">
      <w:pPr>
        <w:spacing w:before="240"/>
        <w:ind w:firstLine="478"/>
        <w:jc w:val="both"/>
        <w:rPr>
          <w:sz w:val="24"/>
          <w:szCs w:val="24"/>
          <w:lang w:val="mk-MK"/>
        </w:rPr>
      </w:pPr>
      <w:r w:rsidRPr="009E622A">
        <w:rPr>
          <w:sz w:val="24"/>
          <w:szCs w:val="24"/>
          <w:lang w:val="mk-MK"/>
        </w:rPr>
        <w:t>Собирајќи ги искуствата од Кина</w:t>
      </w:r>
      <w:r>
        <w:rPr>
          <w:sz w:val="24"/>
          <w:szCs w:val="24"/>
          <w:lang w:val="mk-MK"/>
        </w:rPr>
        <w:t xml:space="preserve"> и Јапонија</w:t>
      </w:r>
      <w:r w:rsidRPr="009E622A">
        <w:rPr>
          <w:sz w:val="24"/>
          <w:szCs w:val="24"/>
          <w:lang w:val="mk-MK"/>
        </w:rPr>
        <w:t xml:space="preserve"> со оние од англоамериканските, континенталноевропските и постсоцијалистичките системи, станува јасно дека вклучувањето на вработените во корпоративното управување не е прашање на изолирани правни техники, туку на поширок институционален избор. </w:t>
      </w:r>
      <w:r w:rsidR="009764E5" w:rsidRPr="009764E5">
        <w:rPr>
          <w:sz w:val="24"/>
          <w:szCs w:val="24"/>
          <w:lang w:val="mk-MK"/>
        </w:rPr>
        <w:t xml:space="preserve">Низ дванаесетте </w:t>
      </w:r>
      <w:r w:rsidR="009764E5" w:rsidRPr="009764E5">
        <w:rPr>
          <w:sz w:val="24"/>
          <w:szCs w:val="24"/>
          <w:lang w:val="mk-MK"/>
        </w:rPr>
        <w:lastRenderedPageBreak/>
        <w:t>земји се издвојуваат три пошироки траектории на управување</w:t>
      </w:r>
      <w:r w:rsidR="000B5913">
        <w:rPr>
          <w:sz w:val="24"/>
          <w:szCs w:val="24"/>
          <w:lang w:val="mk-MK"/>
        </w:rPr>
        <w:t xml:space="preserve">, кои ги </w:t>
      </w:r>
      <w:r w:rsidR="000B5913" w:rsidRPr="009E622A">
        <w:rPr>
          <w:sz w:val="24"/>
          <w:szCs w:val="24"/>
          <w:lang w:val="mk-MK"/>
        </w:rPr>
        <w:t>идентификува</w:t>
      </w:r>
      <w:r w:rsidR="000B5913">
        <w:rPr>
          <w:sz w:val="24"/>
          <w:szCs w:val="24"/>
          <w:lang w:val="mk-MK"/>
        </w:rPr>
        <w:t>ат</w:t>
      </w:r>
      <w:r w:rsidR="000B5913" w:rsidRPr="009E622A">
        <w:rPr>
          <w:sz w:val="24"/>
          <w:szCs w:val="24"/>
          <w:lang w:val="mk-MK"/>
        </w:rPr>
        <w:t xml:space="preserve"> клучните структурни предуслови за значајно работничко учество и нивната применливост во контекстот на Македонија.</w:t>
      </w:r>
    </w:p>
    <w:p w14:paraId="276B39D8" w14:textId="35F749A5" w:rsidR="0012546A" w:rsidRDefault="009764E5" w:rsidP="009E622A">
      <w:pPr>
        <w:spacing w:before="240"/>
        <w:ind w:firstLine="478"/>
        <w:jc w:val="both"/>
        <w:rPr>
          <w:sz w:val="24"/>
          <w:szCs w:val="24"/>
          <w:lang w:val="mk-MK"/>
        </w:rPr>
      </w:pPr>
      <w:r w:rsidRPr="009764E5">
        <w:rPr>
          <w:sz w:val="24"/>
          <w:szCs w:val="24"/>
          <w:lang w:val="mk-MK"/>
        </w:rPr>
        <w:t xml:space="preserve">Првата е робусно управување засновано на засегнати страни, најјасно илустрирано од Германија и, во поограничена и диференцирана форма, од Словенија и Холандија. Во овие системи, учеството на вработените е структурно интегрирано во процесите на корпоративно одлучување преку надзорни одбори, работнички совети или законски наметнати режими за информирање и консултација. Оваа интеграција не ги елиминира конфликтите </w:t>
      </w:r>
      <w:r w:rsidR="00214D34">
        <w:rPr>
          <w:sz w:val="24"/>
          <w:szCs w:val="24"/>
          <w:lang w:val="mk-MK"/>
        </w:rPr>
        <w:t>по</w:t>
      </w:r>
      <w:r w:rsidRPr="009764E5">
        <w:rPr>
          <w:sz w:val="24"/>
          <w:szCs w:val="24"/>
          <w:lang w:val="mk-MK"/>
        </w:rPr>
        <w:t>меѓу трудот и капиталот, но ги канализира</w:t>
      </w:r>
      <w:r w:rsidR="00A12A62">
        <w:rPr>
          <w:sz w:val="24"/>
          <w:szCs w:val="24"/>
          <w:lang w:val="mk-MK"/>
        </w:rPr>
        <w:t xml:space="preserve"> во</w:t>
      </w:r>
      <w:r w:rsidRPr="009764E5">
        <w:rPr>
          <w:sz w:val="24"/>
          <w:szCs w:val="24"/>
          <w:lang w:val="mk-MK"/>
        </w:rPr>
        <w:t xml:space="preserve"> институционалн</w:t>
      </w:r>
      <w:r w:rsidR="00A12A62">
        <w:rPr>
          <w:sz w:val="24"/>
          <w:szCs w:val="24"/>
          <w:lang w:val="mk-MK"/>
        </w:rPr>
        <w:t>а</w:t>
      </w:r>
      <w:r w:rsidRPr="009764E5">
        <w:rPr>
          <w:sz w:val="24"/>
          <w:szCs w:val="24"/>
          <w:lang w:val="mk-MK"/>
        </w:rPr>
        <w:t xml:space="preserve"> и предвидлив</w:t>
      </w:r>
      <w:r w:rsidR="00A12A62">
        <w:rPr>
          <w:sz w:val="24"/>
          <w:szCs w:val="24"/>
          <w:lang w:val="mk-MK"/>
        </w:rPr>
        <w:t>а форма</w:t>
      </w:r>
      <w:r w:rsidRPr="009764E5">
        <w:rPr>
          <w:sz w:val="24"/>
          <w:szCs w:val="24"/>
          <w:lang w:val="mk-MK"/>
        </w:rPr>
        <w:t xml:space="preserve">. Важно е што овие системи се поврзани со повисок опфат на социјална заштита, посилни структури на колективно договарање и поголем капацитет за апсорбирање шокови поврзани со инфлацијата, демографското стареење и климатската транзиција. Германскиот случај останува единствен пример </w:t>
      </w:r>
      <w:r w:rsidR="00A12A62">
        <w:rPr>
          <w:sz w:val="24"/>
          <w:szCs w:val="24"/>
          <w:lang w:val="mk-MK"/>
        </w:rPr>
        <w:t xml:space="preserve">каде </w:t>
      </w:r>
      <w:r w:rsidRPr="009764E5">
        <w:rPr>
          <w:sz w:val="24"/>
          <w:szCs w:val="24"/>
          <w:lang w:val="mk-MK"/>
        </w:rPr>
        <w:t>учеството на ниво на одбори може да коегзистира со висока продуктивност, извозна конкурентност и инвестициска атрактивност во текот на децении.</w:t>
      </w:r>
      <w:r w:rsidR="007D1C61">
        <w:rPr>
          <w:rStyle w:val="FootnoteReference"/>
          <w:sz w:val="24"/>
          <w:szCs w:val="24"/>
          <w:lang w:val="mk-MK"/>
        </w:rPr>
        <w:footnoteReference w:id="715"/>
      </w:r>
    </w:p>
    <w:p w14:paraId="638644A5" w14:textId="297B2BDB" w:rsidR="007D1C61" w:rsidRDefault="00CE154F" w:rsidP="009E622A">
      <w:pPr>
        <w:spacing w:before="240"/>
        <w:ind w:firstLine="478"/>
        <w:jc w:val="both"/>
        <w:rPr>
          <w:sz w:val="24"/>
          <w:szCs w:val="24"/>
          <w:lang w:val="mk-MK"/>
        </w:rPr>
      </w:pPr>
      <w:r w:rsidRPr="00CE154F">
        <w:rPr>
          <w:sz w:val="24"/>
          <w:szCs w:val="24"/>
          <w:lang w:val="mk-MK"/>
        </w:rPr>
        <w:t>Втората траекторија е процедурално или симболично учество, карактеристично за Италија, Полска, Хрватска, Србија, Босна и Херцеговина и, на поинаков начин, Обединетото Кралство. Во овие системи, гласот на вработените формално постои преку права на информирање и консултација, синдикати или опционални механизми на управување, но ретко се претвора во стратешко влијание. Учеството на ниво на одбори е отсутно, фрагментирано или историски резидуално, како кај посткомерцијализираните фирми во Полска или уставно признаената, но слабо операционализирана рамка на член 46 во Италија. Обединетото Кралство претставува кохерентна верзија на овој модел, без претензија за коодлучување, потпирајќи се на обелоденување, процедури за ангажман и работничко акционерство. Проблемот не е неконзистентноста, туку ограниченоста. Процедуралното учество малку придонесува за ребалансирање на асиметриите на моќта, а неговите ефекти во голема мера зависат од синдикалната густина и организацискиот капацитет, кои во голем дел од Европа се во опаѓање.</w:t>
      </w:r>
    </w:p>
    <w:p w14:paraId="088A51BE" w14:textId="12034EEE" w:rsidR="00754DF3" w:rsidRDefault="00F16C65" w:rsidP="009E622A">
      <w:pPr>
        <w:spacing w:before="240"/>
        <w:ind w:firstLine="478"/>
        <w:jc w:val="both"/>
        <w:rPr>
          <w:sz w:val="24"/>
          <w:szCs w:val="24"/>
          <w:lang w:val="mk-MK"/>
        </w:rPr>
      </w:pPr>
      <w:r w:rsidRPr="00F16C65">
        <w:rPr>
          <w:sz w:val="24"/>
          <w:szCs w:val="24"/>
          <w:lang w:val="mk-MK"/>
        </w:rPr>
        <w:t xml:space="preserve">Третата траекторија е недемократска интеграција, најјасно илустрирана од Кина и, на поинаков начин, од Соединетите Американски Држави. Во Кина, учеството на вработените е формално гарантирано преку надзорни одбори, работнички конгреси и синдикати, но овие механизми се подредени на партиска контрола и државни цели. Учеството постои без автономија. Во Соединетите Американски Држави, учеството во голема мера се сведува на договорни односи на пазарот на труд и финансиска инклузија преку ESOP, без управувачки права. И покрај тоа што опфаќа милиони работници, работничкото акционерство </w:t>
      </w:r>
      <w:r w:rsidR="00564ECB">
        <w:rPr>
          <w:sz w:val="24"/>
          <w:szCs w:val="24"/>
          <w:lang w:val="mk-MK"/>
        </w:rPr>
        <w:t xml:space="preserve">никогаш </w:t>
      </w:r>
      <w:r w:rsidRPr="00F16C65">
        <w:rPr>
          <w:sz w:val="24"/>
          <w:szCs w:val="24"/>
          <w:lang w:val="mk-MK"/>
        </w:rPr>
        <w:t>не созда</w:t>
      </w:r>
      <w:r w:rsidR="00564ECB">
        <w:rPr>
          <w:sz w:val="24"/>
          <w:szCs w:val="24"/>
          <w:lang w:val="mk-MK"/>
        </w:rPr>
        <w:t>ло</w:t>
      </w:r>
      <w:r w:rsidRPr="00F16C65">
        <w:rPr>
          <w:sz w:val="24"/>
          <w:szCs w:val="24"/>
          <w:lang w:val="mk-MK"/>
        </w:rPr>
        <w:t xml:space="preserve"> значајно влијание врз одборите или корпоративната стратегија. Двата системи, од спротивни идеолошки позиции, покажуваат дека учеството без моќ, било политичка било економска, не ја демократизира фирмата</w:t>
      </w:r>
      <w:r w:rsidR="004003EB">
        <w:rPr>
          <w:sz w:val="24"/>
          <w:szCs w:val="24"/>
          <w:lang w:val="mk-MK"/>
        </w:rPr>
        <w:t xml:space="preserve"> и носи пропуштена корист и за друштвата и за вработените</w:t>
      </w:r>
      <w:r w:rsidRPr="00F16C65">
        <w:rPr>
          <w:sz w:val="24"/>
          <w:szCs w:val="24"/>
          <w:lang w:val="mk-MK"/>
        </w:rPr>
        <w:t>.</w:t>
      </w:r>
    </w:p>
    <w:p w14:paraId="6F09E384" w14:textId="01152E8F" w:rsidR="004003EB" w:rsidRDefault="004003EB" w:rsidP="009E622A">
      <w:pPr>
        <w:spacing w:before="240"/>
        <w:ind w:firstLine="478"/>
        <w:jc w:val="both"/>
        <w:rPr>
          <w:sz w:val="24"/>
          <w:szCs w:val="24"/>
          <w:lang w:val="mk-MK"/>
        </w:rPr>
      </w:pPr>
      <w:r w:rsidRPr="004003EB">
        <w:rPr>
          <w:sz w:val="24"/>
          <w:szCs w:val="24"/>
          <w:lang w:val="mk-MK"/>
        </w:rPr>
        <w:t xml:space="preserve">За Македонија, овие наоди се особено значајни кога се читаат заедно со Светскиот извештај за социјална заштита 2024–26. Со само 50,5 проценти од населението опфатено со најмалку една социјална придобивка, социјална потрошувачка од 13,8 проценти од БДП и ерозија на адекватноста на придобивките поради инфлацијата, македонскиот </w:t>
      </w:r>
      <w:r w:rsidRPr="004003EB">
        <w:rPr>
          <w:sz w:val="24"/>
          <w:szCs w:val="24"/>
          <w:lang w:val="mk-MK"/>
        </w:rPr>
        <w:lastRenderedPageBreak/>
        <w:t>систем е структурно преоптоварен.</w:t>
      </w:r>
      <w:r w:rsidR="008B27E7">
        <w:rPr>
          <w:rStyle w:val="FootnoteReference"/>
          <w:sz w:val="24"/>
          <w:szCs w:val="24"/>
          <w:lang w:val="mk-MK"/>
        </w:rPr>
        <w:footnoteReference w:id="716"/>
      </w:r>
      <w:r w:rsidRPr="004003EB">
        <w:rPr>
          <w:sz w:val="24"/>
          <w:szCs w:val="24"/>
          <w:lang w:val="mk-MK"/>
        </w:rPr>
        <w:t xml:space="preserve"> Од државата се очекува да ги компензира ризиците генерирани на пазарот на труд и во фирмата, но таа нема фискален и институционален капацитет за тоа да го прави </w:t>
      </w:r>
      <w:r w:rsidR="00892210">
        <w:rPr>
          <w:sz w:val="24"/>
          <w:szCs w:val="24"/>
          <w:lang w:val="mk-MK"/>
        </w:rPr>
        <w:t xml:space="preserve">на </w:t>
      </w:r>
      <w:r w:rsidRPr="004003EB">
        <w:rPr>
          <w:sz w:val="24"/>
          <w:szCs w:val="24"/>
          <w:lang w:val="mk-MK"/>
        </w:rPr>
        <w:t>одржлив</w:t>
      </w:r>
      <w:r w:rsidR="00892210">
        <w:rPr>
          <w:sz w:val="24"/>
          <w:szCs w:val="24"/>
          <w:lang w:val="mk-MK"/>
        </w:rPr>
        <w:t xml:space="preserve"> начин</w:t>
      </w:r>
      <w:r w:rsidRPr="004003EB">
        <w:rPr>
          <w:sz w:val="24"/>
          <w:szCs w:val="24"/>
          <w:lang w:val="mk-MK"/>
        </w:rPr>
        <w:t>. Оваа нерамнотежа не е случајна. Таа одразува рамка на корпоративно управување што го третира трудот речиси исклучиво како договорен фактор, надвор од управувањето и распределбата на ризикот.</w:t>
      </w:r>
    </w:p>
    <w:p w14:paraId="627AD6E6" w14:textId="4BB653E4" w:rsidR="00406037" w:rsidRDefault="00F93A30" w:rsidP="009E622A">
      <w:pPr>
        <w:spacing w:before="240"/>
        <w:ind w:firstLine="478"/>
        <w:jc w:val="both"/>
        <w:rPr>
          <w:sz w:val="24"/>
          <w:szCs w:val="24"/>
          <w:lang w:val="mk-MK"/>
        </w:rPr>
      </w:pPr>
      <w:r w:rsidRPr="00F93A30">
        <w:rPr>
          <w:sz w:val="24"/>
          <w:szCs w:val="24"/>
          <w:lang w:val="mk-MK"/>
        </w:rPr>
        <w:t>Компаративната анализа укажува дека Македонија не може да ги реши дефицитите во социјалната заштита исклучиво преку проширување на придобивките или фискални прилагодувања. Без паралелни реформи во корпоративното управување и учеството на вработените, социјалната заштита ќе остане реактивна, фрагментирана и политички ранлива. Земјите со посилен глас на вработените интернализираат дел од социјалниот ризик во рамките на фирмата преку координација на платите, стабилност на вработувањето и претходно планирано преструктурирање. Таму каде што учеството е слабо, ризиците се префрлаат врз домаќинствата и државата. Оваа динамика е видлива низ постјугословенските случаи и се засилува со високата неформалност</w:t>
      </w:r>
      <w:r w:rsidR="00C25DA9">
        <w:rPr>
          <w:sz w:val="24"/>
          <w:szCs w:val="24"/>
          <w:lang w:val="en-US"/>
        </w:rPr>
        <w:t xml:space="preserve"> </w:t>
      </w:r>
      <w:r w:rsidR="00C25DA9">
        <w:rPr>
          <w:sz w:val="24"/>
          <w:szCs w:val="24"/>
          <w:lang w:val="mk-MK"/>
        </w:rPr>
        <w:t>на пазарот на трудот</w:t>
      </w:r>
      <w:r w:rsidRPr="00F93A30">
        <w:rPr>
          <w:sz w:val="24"/>
          <w:szCs w:val="24"/>
          <w:lang w:val="mk-MK"/>
        </w:rPr>
        <w:t>, ограничениот опфат на колективно договарање и слабата извршна способност.</w:t>
      </w:r>
    </w:p>
    <w:p w14:paraId="7254D8DD" w14:textId="696D6FFD" w:rsidR="00C25DA9" w:rsidRDefault="00C25DA9" w:rsidP="009E622A">
      <w:pPr>
        <w:spacing w:before="240"/>
        <w:ind w:firstLine="478"/>
        <w:jc w:val="both"/>
        <w:rPr>
          <w:sz w:val="24"/>
          <w:szCs w:val="24"/>
          <w:lang w:val="mk-MK"/>
        </w:rPr>
      </w:pPr>
      <w:r w:rsidRPr="00C25DA9">
        <w:rPr>
          <w:sz w:val="24"/>
          <w:szCs w:val="24"/>
          <w:lang w:val="mk-MK"/>
        </w:rPr>
        <w:t xml:space="preserve">Клучно, поглавјето покажува дека не постои единствен модел што може директно да се пресади, но постојат јасни принципи на дизајн. Прво, значајното учество бара правна вкоренетост, а не опционални или чисто консултативни механизми. Второ, учеството мора да биде поврзано со реални </w:t>
      </w:r>
      <w:r w:rsidR="005836E8">
        <w:rPr>
          <w:sz w:val="24"/>
          <w:szCs w:val="24"/>
          <w:lang w:val="mk-MK"/>
        </w:rPr>
        <w:t>сфери</w:t>
      </w:r>
      <w:r w:rsidRPr="00C25DA9">
        <w:rPr>
          <w:sz w:val="24"/>
          <w:szCs w:val="24"/>
          <w:lang w:val="mk-MK"/>
        </w:rPr>
        <w:t xml:space="preserve"> на одлучување, особено одборите и телата за стратешки надзор. Трето, учеството на вработените мора да биде вградено во поширока концепција на корпорацијата како социјална институција</w:t>
      </w:r>
      <w:r w:rsidR="00A659B2">
        <w:rPr>
          <w:sz w:val="24"/>
          <w:szCs w:val="24"/>
          <w:lang w:val="mk-MK"/>
        </w:rPr>
        <w:t xml:space="preserve"> наместо</w:t>
      </w:r>
      <w:r w:rsidRPr="00C25DA9">
        <w:rPr>
          <w:sz w:val="24"/>
          <w:szCs w:val="24"/>
          <w:lang w:val="mk-MK"/>
        </w:rPr>
        <w:t xml:space="preserve"> како чисто финансиски однос. Германија и Словенија покажуваат дека ваквите системи не се анти-пазарни, туку ги стабилизираат пазарите на долг рок. Неуспесите во Србија и Хрватска покажуваат дека, откако гласот на вработените ќе биде маргинализиран, неговото повторно градење станува политички и институционално тешко.</w:t>
      </w:r>
    </w:p>
    <w:p w14:paraId="6BEF4CF1" w14:textId="2D1B4FF3" w:rsidR="00A659B2" w:rsidRDefault="001C1E78" w:rsidP="009E622A">
      <w:pPr>
        <w:spacing w:before="240"/>
        <w:ind w:firstLine="478"/>
        <w:jc w:val="both"/>
        <w:rPr>
          <w:sz w:val="24"/>
          <w:szCs w:val="24"/>
          <w:lang w:val="mk-MK"/>
        </w:rPr>
      </w:pPr>
      <w:r w:rsidRPr="001C1E78">
        <w:rPr>
          <w:sz w:val="24"/>
          <w:szCs w:val="24"/>
          <w:lang w:val="mk-MK"/>
        </w:rPr>
        <w:t xml:space="preserve">Интеграцијата на социјалната заштита и климатската политика, истакната во Светскиот извештај за социјална заштита, дополнително го зајакнува овој аргумент. Изложеноста на Македонија на климатски ризици, во комбинација со ограничен институционален капацитет и буџетски простор, го прави учеството на ниво на </w:t>
      </w:r>
      <w:r w:rsidR="00504C76">
        <w:rPr>
          <w:sz w:val="24"/>
          <w:szCs w:val="24"/>
          <w:lang w:val="mk-MK"/>
        </w:rPr>
        <w:t>друштво</w:t>
      </w:r>
      <w:r w:rsidRPr="001C1E78">
        <w:rPr>
          <w:sz w:val="24"/>
          <w:szCs w:val="24"/>
          <w:lang w:val="mk-MK"/>
        </w:rPr>
        <w:t xml:space="preserve"> и социјалниот дијалог неопходни. Вклучувањето на синдикатите во климатските дискусии е охрабрувачки развој, но без соодветни управувачки права во рамките на фирмите, тоа останува периферно. Климатската транзиција, дигитализацијата и демографското стареење ќе ги интензивираат дистрибутивните конфликти. Системите што се потпираат исклучиво на постфактум социјална заштита ќе се соочат со сериозни тешкотии.</w:t>
      </w:r>
    </w:p>
    <w:p w14:paraId="4BFACCFB" w14:textId="01F1B5F3" w:rsidR="00482906" w:rsidRDefault="00482906" w:rsidP="009E622A">
      <w:pPr>
        <w:spacing w:before="240"/>
        <w:ind w:firstLine="478"/>
        <w:jc w:val="both"/>
        <w:rPr>
          <w:sz w:val="24"/>
          <w:szCs w:val="24"/>
          <w:lang w:val="mk-MK"/>
        </w:rPr>
      </w:pPr>
      <w:r w:rsidRPr="00482906">
        <w:rPr>
          <w:sz w:val="24"/>
          <w:szCs w:val="24"/>
          <w:lang w:val="mk-MK"/>
        </w:rPr>
        <w:t>Сумирано, компаративните докази водат до јасен заклучок. Учеството на вработените не е симболичен демократски вишок, туку функционална компонента на одржливо економско управување. Тековниот модел во Македонија комбинира слабо учество со ограничен капацитет за социјална заштита, комбинација што станува сѐ понеодржлива под притисок на инфлацијата, трансформациите на пазарот на труд и климатските ризици. Затоа, реформите треба да се одвиваат по две паралелни траектории</w:t>
      </w:r>
      <w:r w:rsidR="00950CA9">
        <w:rPr>
          <w:sz w:val="24"/>
          <w:szCs w:val="24"/>
          <w:lang w:val="mk-MK"/>
        </w:rPr>
        <w:t xml:space="preserve"> во линија на</w:t>
      </w:r>
      <w:r w:rsidRPr="00482906">
        <w:rPr>
          <w:sz w:val="24"/>
          <w:szCs w:val="24"/>
          <w:lang w:val="mk-MK"/>
        </w:rPr>
        <w:t xml:space="preserve"> зајакнување на опфатот и адекватноста на социјалната заштита и истовремено вградување на гласот на вработените во корпоративното управување. Без </w:t>
      </w:r>
      <w:r w:rsidRPr="00482906">
        <w:rPr>
          <w:sz w:val="24"/>
          <w:szCs w:val="24"/>
          <w:lang w:val="mk-MK"/>
        </w:rPr>
        <w:lastRenderedPageBreak/>
        <w:t>ова двојно движење, реформите ризикуваат да ги репродуцираат истите структурни ранливости забележани во голем дел од Југоисточна Европа.</w:t>
      </w:r>
      <w:r w:rsidR="00EA6FAD">
        <w:rPr>
          <w:rStyle w:val="FootnoteReference"/>
          <w:sz w:val="24"/>
          <w:szCs w:val="24"/>
          <w:lang w:val="mk-MK"/>
        </w:rPr>
        <w:footnoteReference w:id="717"/>
      </w:r>
    </w:p>
    <w:p w14:paraId="7833D0B5" w14:textId="40C1C39C" w:rsidR="00482906" w:rsidRDefault="00745FCE" w:rsidP="009E622A">
      <w:pPr>
        <w:spacing w:before="240"/>
        <w:ind w:firstLine="478"/>
        <w:jc w:val="both"/>
        <w:rPr>
          <w:sz w:val="24"/>
          <w:szCs w:val="24"/>
          <w:lang w:val="mk-MK"/>
        </w:rPr>
      </w:pPr>
      <w:r w:rsidRPr="00745FCE">
        <w:rPr>
          <w:sz w:val="24"/>
          <w:szCs w:val="24"/>
          <w:lang w:val="mk-MK"/>
        </w:rPr>
        <w:t xml:space="preserve">Следното поглавје се насочува кон нормативните и институционалните импликации на овие наоди за дизајнот на реформска патека прилагодена на Македонија, разгледувајќи како постепени, но правно вкоренети промени можат да ја рекалибрираат рамнотежата </w:t>
      </w:r>
      <w:r w:rsidR="008E24BD">
        <w:rPr>
          <w:sz w:val="24"/>
          <w:szCs w:val="24"/>
          <w:lang w:val="mk-MK"/>
        </w:rPr>
        <w:t>по</w:t>
      </w:r>
      <w:r w:rsidRPr="00745FCE">
        <w:rPr>
          <w:sz w:val="24"/>
          <w:szCs w:val="24"/>
          <w:lang w:val="mk-MK"/>
        </w:rPr>
        <w:t>меѓу капиталот, трудот и државата без да ја нарушат конкурентноста или целите за интеграција во ЕУ.</w:t>
      </w:r>
    </w:p>
    <w:p w14:paraId="05892431" w14:textId="77777777" w:rsidR="00AF0987" w:rsidRDefault="00AF0987" w:rsidP="006607EE">
      <w:pPr>
        <w:spacing w:before="240"/>
        <w:ind w:firstLine="478"/>
        <w:jc w:val="both"/>
        <w:rPr>
          <w:sz w:val="24"/>
          <w:szCs w:val="24"/>
          <w:lang w:val="mk-MK"/>
        </w:rPr>
      </w:pPr>
    </w:p>
    <w:p w14:paraId="38B9CEE0" w14:textId="77777777" w:rsidR="008E24BD" w:rsidRDefault="008E24BD" w:rsidP="006607EE">
      <w:pPr>
        <w:spacing w:before="240"/>
        <w:ind w:firstLine="478"/>
        <w:jc w:val="both"/>
        <w:rPr>
          <w:sz w:val="24"/>
          <w:szCs w:val="24"/>
          <w:lang w:val="mk-MK"/>
        </w:rPr>
      </w:pPr>
    </w:p>
    <w:p w14:paraId="0213D948" w14:textId="77777777" w:rsidR="004F55DD" w:rsidRDefault="004F55DD" w:rsidP="006607EE">
      <w:pPr>
        <w:spacing w:before="240"/>
        <w:ind w:firstLine="478"/>
        <w:jc w:val="both"/>
        <w:rPr>
          <w:sz w:val="24"/>
          <w:szCs w:val="24"/>
          <w:lang w:val="mk-MK"/>
        </w:rPr>
      </w:pPr>
    </w:p>
    <w:p w14:paraId="518FBD9E" w14:textId="77777777" w:rsidR="004F55DD" w:rsidRDefault="004F55DD" w:rsidP="006607EE">
      <w:pPr>
        <w:spacing w:before="240"/>
        <w:ind w:firstLine="478"/>
        <w:jc w:val="both"/>
        <w:rPr>
          <w:sz w:val="24"/>
          <w:szCs w:val="24"/>
          <w:lang w:val="mk-MK"/>
        </w:rPr>
      </w:pPr>
    </w:p>
    <w:p w14:paraId="0F591F5E" w14:textId="77777777" w:rsidR="004F55DD" w:rsidRDefault="004F55DD" w:rsidP="006607EE">
      <w:pPr>
        <w:spacing w:before="240"/>
        <w:ind w:firstLine="478"/>
        <w:jc w:val="both"/>
        <w:rPr>
          <w:sz w:val="24"/>
          <w:szCs w:val="24"/>
          <w:lang w:val="mk-MK"/>
        </w:rPr>
      </w:pPr>
    </w:p>
    <w:p w14:paraId="6B1E7EED" w14:textId="77777777" w:rsidR="004F55DD" w:rsidRDefault="004F55DD" w:rsidP="006607EE">
      <w:pPr>
        <w:spacing w:before="240"/>
        <w:ind w:firstLine="478"/>
        <w:jc w:val="both"/>
        <w:rPr>
          <w:sz w:val="24"/>
          <w:szCs w:val="24"/>
          <w:lang w:val="mk-MK"/>
        </w:rPr>
      </w:pPr>
    </w:p>
    <w:p w14:paraId="4F867AE0" w14:textId="77777777" w:rsidR="004F55DD" w:rsidRDefault="004F55DD" w:rsidP="006607EE">
      <w:pPr>
        <w:spacing w:before="240"/>
        <w:ind w:firstLine="478"/>
        <w:jc w:val="both"/>
        <w:rPr>
          <w:sz w:val="24"/>
          <w:szCs w:val="24"/>
          <w:lang w:val="mk-MK"/>
        </w:rPr>
      </w:pPr>
    </w:p>
    <w:p w14:paraId="1C5F2575" w14:textId="77777777" w:rsidR="004F55DD" w:rsidRDefault="004F55DD" w:rsidP="006607EE">
      <w:pPr>
        <w:spacing w:before="240"/>
        <w:ind w:firstLine="478"/>
        <w:jc w:val="both"/>
        <w:rPr>
          <w:sz w:val="24"/>
          <w:szCs w:val="24"/>
          <w:lang w:val="mk-MK"/>
        </w:rPr>
      </w:pPr>
    </w:p>
    <w:p w14:paraId="158CC179" w14:textId="77777777" w:rsidR="004F55DD" w:rsidRDefault="004F55DD" w:rsidP="006607EE">
      <w:pPr>
        <w:spacing w:before="240"/>
        <w:ind w:firstLine="478"/>
        <w:jc w:val="both"/>
        <w:rPr>
          <w:sz w:val="24"/>
          <w:szCs w:val="24"/>
          <w:lang w:val="mk-MK"/>
        </w:rPr>
      </w:pPr>
    </w:p>
    <w:p w14:paraId="6175F563" w14:textId="77777777" w:rsidR="004F55DD" w:rsidRDefault="004F55DD" w:rsidP="006607EE">
      <w:pPr>
        <w:spacing w:before="240"/>
        <w:ind w:firstLine="478"/>
        <w:jc w:val="both"/>
        <w:rPr>
          <w:sz w:val="24"/>
          <w:szCs w:val="24"/>
          <w:lang w:val="mk-MK"/>
        </w:rPr>
      </w:pPr>
    </w:p>
    <w:p w14:paraId="782E0F6F" w14:textId="77777777" w:rsidR="004F55DD" w:rsidRDefault="004F55DD" w:rsidP="006607EE">
      <w:pPr>
        <w:spacing w:before="240"/>
        <w:ind w:firstLine="478"/>
        <w:jc w:val="both"/>
        <w:rPr>
          <w:sz w:val="24"/>
          <w:szCs w:val="24"/>
          <w:lang w:val="mk-MK"/>
        </w:rPr>
      </w:pPr>
    </w:p>
    <w:p w14:paraId="6813FA76" w14:textId="77777777" w:rsidR="004F55DD" w:rsidRDefault="004F55DD" w:rsidP="006607EE">
      <w:pPr>
        <w:spacing w:before="240"/>
        <w:ind w:firstLine="478"/>
        <w:jc w:val="both"/>
        <w:rPr>
          <w:sz w:val="24"/>
          <w:szCs w:val="24"/>
          <w:lang w:val="mk-MK"/>
        </w:rPr>
      </w:pPr>
    </w:p>
    <w:p w14:paraId="3D1341AC" w14:textId="77777777" w:rsidR="004F55DD" w:rsidRDefault="004F55DD" w:rsidP="006607EE">
      <w:pPr>
        <w:spacing w:before="240"/>
        <w:ind w:firstLine="478"/>
        <w:jc w:val="both"/>
        <w:rPr>
          <w:sz w:val="24"/>
          <w:szCs w:val="24"/>
          <w:lang w:val="mk-MK"/>
        </w:rPr>
      </w:pPr>
    </w:p>
    <w:p w14:paraId="4887843F" w14:textId="77777777" w:rsidR="008E24BD" w:rsidRDefault="008E24BD" w:rsidP="006607EE">
      <w:pPr>
        <w:spacing w:before="240"/>
        <w:ind w:firstLine="478"/>
        <w:jc w:val="both"/>
        <w:rPr>
          <w:sz w:val="24"/>
          <w:szCs w:val="24"/>
          <w:lang w:val="mk-MK"/>
        </w:rPr>
      </w:pPr>
    </w:p>
    <w:p w14:paraId="3C20D6DB" w14:textId="77777777" w:rsidR="008E24BD" w:rsidRDefault="008E24BD" w:rsidP="006607EE">
      <w:pPr>
        <w:spacing w:before="240"/>
        <w:ind w:firstLine="478"/>
        <w:jc w:val="both"/>
        <w:rPr>
          <w:sz w:val="24"/>
          <w:szCs w:val="24"/>
          <w:lang w:val="mk-MK"/>
        </w:rPr>
      </w:pPr>
    </w:p>
    <w:p w14:paraId="5DEFB5D7" w14:textId="77777777" w:rsidR="008E24BD" w:rsidRDefault="008E24BD" w:rsidP="006607EE">
      <w:pPr>
        <w:spacing w:before="240"/>
        <w:ind w:firstLine="478"/>
        <w:jc w:val="both"/>
        <w:rPr>
          <w:sz w:val="24"/>
          <w:szCs w:val="24"/>
          <w:lang w:val="mk-MK"/>
        </w:rPr>
      </w:pPr>
    </w:p>
    <w:p w14:paraId="71FA67EB" w14:textId="77777777" w:rsidR="008E24BD" w:rsidRPr="008E24BD" w:rsidRDefault="008E24BD" w:rsidP="006607EE">
      <w:pPr>
        <w:spacing w:before="240"/>
        <w:ind w:firstLine="478"/>
        <w:jc w:val="both"/>
        <w:rPr>
          <w:sz w:val="24"/>
          <w:szCs w:val="24"/>
          <w:lang w:val="mk-MK"/>
        </w:rPr>
      </w:pPr>
    </w:p>
    <w:p w14:paraId="5EDA9CF1" w14:textId="77777777" w:rsidR="002A4456" w:rsidRDefault="002A4456" w:rsidP="00AE64A2">
      <w:pPr>
        <w:spacing w:before="240"/>
        <w:ind w:firstLine="478"/>
        <w:jc w:val="both"/>
        <w:rPr>
          <w:sz w:val="24"/>
          <w:szCs w:val="24"/>
          <w:lang w:val="mk-MK"/>
        </w:rPr>
      </w:pPr>
    </w:p>
    <w:p w14:paraId="7E59BE94" w14:textId="77777777" w:rsidR="00E44D70" w:rsidRPr="008F4DD3" w:rsidRDefault="00E44D70" w:rsidP="00E16058">
      <w:pPr>
        <w:spacing w:before="240"/>
        <w:ind w:firstLine="478"/>
        <w:jc w:val="both"/>
        <w:rPr>
          <w:sz w:val="24"/>
          <w:szCs w:val="24"/>
          <w:lang w:val="en-US"/>
        </w:rPr>
      </w:pPr>
    </w:p>
    <w:p w14:paraId="080B2F43" w14:textId="77777777" w:rsidR="00E16058" w:rsidRPr="005D62DB" w:rsidRDefault="00E16058" w:rsidP="004F55DD">
      <w:pPr>
        <w:spacing w:before="240" w:after="240"/>
        <w:ind w:firstLine="478"/>
        <w:jc w:val="both"/>
        <w:rPr>
          <w:sz w:val="24"/>
          <w:szCs w:val="24"/>
          <w:lang w:val="mk-MK"/>
        </w:rPr>
      </w:pPr>
    </w:p>
    <w:p w14:paraId="112A68C2" w14:textId="0604E6B2" w:rsidR="000A5384" w:rsidRPr="00830E2B" w:rsidRDefault="00AD1385" w:rsidP="001750CB">
      <w:pPr>
        <w:pStyle w:val="Heading1"/>
        <w:spacing w:before="0"/>
        <w:ind w:left="478"/>
        <w:jc w:val="both"/>
        <w:rPr>
          <w:sz w:val="26"/>
          <w:szCs w:val="26"/>
          <w:lang w:val="en-US"/>
        </w:rPr>
      </w:pPr>
      <w:bookmarkStart w:id="81" w:name="_Toc230523934"/>
      <w:r>
        <w:rPr>
          <w:sz w:val="26"/>
          <w:szCs w:val="26"/>
          <w:lang w:val="mk-MK"/>
        </w:rPr>
        <w:lastRenderedPageBreak/>
        <w:t>Г</w:t>
      </w:r>
      <w:r w:rsidR="000A5384">
        <w:rPr>
          <w:sz w:val="26"/>
          <w:szCs w:val="26"/>
          <w:lang w:val="mk-MK"/>
        </w:rPr>
        <w:t xml:space="preserve">. </w:t>
      </w:r>
      <w:r w:rsidR="00B5168C" w:rsidRPr="00B5168C">
        <w:rPr>
          <w:sz w:val="26"/>
          <w:szCs w:val="26"/>
          <w:lang w:val="mk-MK"/>
        </w:rPr>
        <w:t>Институционална промена, европска интеграција</w:t>
      </w:r>
      <w:r w:rsidR="00B5168C">
        <w:rPr>
          <w:sz w:val="26"/>
          <w:szCs w:val="26"/>
          <w:lang w:val="mk-MK"/>
        </w:rPr>
        <w:t xml:space="preserve"> и </w:t>
      </w:r>
      <w:r w:rsidR="00B5168C" w:rsidRPr="00B5168C">
        <w:rPr>
          <w:sz w:val="26"/>
          <w:szCs w:val="26"/>
          <w:lang w:val="mk-MK"/>
        </w:rPr>
        <w:t>структурна трансформација</w:t>
      </w:r>
      <w:bookmarkEnd w:id="81"/>
    </w:p>
    <w:p w14:paraId="23019D9D" w14:textId="33D9A29B" w:rsidR="000A5384" w:rsidRDefault="00133874" w:rsidP="000A5384">
      <w:pPr>
        <w:pStyle w:val="BodyText"/>
        <w:spacing w:before="240"/>
        <w:jc w:val="both"/>
        <w:rPr>
          <w:lang w:val="en-US"/>
        </w:rPr>
      </w:pPr>
      <w:r>
        <w:rPr>
          <w:lang w:val="mk-MK"/>
        </w:rPr>
        <w:tab/>
      </w:r>
      <w:r w:rsidRPr="00133874">
        <w:rPr>
          <w:lang w:val="mk-MK"/>
        </w:rPr>
        <w:t xml:space="preserve">Претходните поглавја ја разработија нормативната рамка на корпоративното управување, компаративните модели на учество на вработените и нивната позиција во рамките на разновидностите на </w:t>
      </w:r>
      <w:r w:rsidR="00F620D8">
        <w:rPr>
          <w:lang w:val="mk-MK"/>
        </w:rPr>
        <w:t>системите со различно ниво на развиеност</w:t>
      </w:r>
      <w:r w:rsidRPr="00133874">
        <w:rPr>
          <w:lang w:val="mk-MK"/>
        </w:rPr>
        <w:t xml:space="preserve">. Се покажа дека корпоративното управување претставува техничка регулаторна материја, </w:t>
      </w:r>
      <w:r w:rsidR="00C87B2A">
        <w:rPr>
          <w:lang w:val="mk-MK"/>
        </w:rPr>
        <w:t>но и</w:t>
      </w:r>
      <w:r w:rsidRPr="00133874">
        <w:rPr>
          <w:lang w:val="mk-MK"/>
        </w:rPr>
        <w:t xml:space="preserve"> институционален механизам за распределба на економската моќ и за артикулација на односите </w:t>
      </w:r>
      <w:r w:rsidR="00C87B2A">
        <w:rPr>
          <w:lang w:val="mk-MK"/>
        </w:rPr>
        <w:t>по</w:t>
      </w:r>
      <w:r w:rsidRPr="00133874">
        <w:rPr>
          <w:lang w:val="mk-MK"/>
        </w:rPr>
        <w:t>меѓу трудот, капиталот и државата.</w:t>
      </w:r>
      <w:r w:rsidR="001966B4">
        <w:rPr>
          <w:rStyle w:val="FootnoteReference"/>
          <w:lang w:val="mk-MK"/>
        </w:rPr>
        <w:footnoteReference w:id="718"/>
      </w:r>
      <w:r>
        <w:rPr>
          <w:lang w:val="mk-MK"/>
        </w:rPr>
        <w:t xml:space="preserve"> </w:t>
      </w:r>
    </w:p>
    <w:p w14:paraId="1312F44E" w14:textId="6C9F807C" w:rsidR="00C9774C" w:rsidRDefault="00C9774C" w:rsidP="000A5384">
      <w:pPr>
        <w:pStyle w:val="BodyText"/>
        <w:spacing w:before="240"/>
        <w:jc w:val="both"/>
        <w:rPr>
          <w:lang w:val="mk-MK"/>
        </w:rPr>
      </w:pPr>
      <w:r>
        <w:rPr>
          <w:lang w:val="en-US"/>
        </w:rPr>
        <w:tab/>
      </w:r>
      <w:r>
        <w:rPr>
          <w:lang w:val="mk-MK"/>
        </w:rPr>
        <w:t>Ова</w:t>
      </w:r>
      <w:r w:rsidRPr="00C9774C">
        <w:rPr>
          <w:lang w:val="mk-MK"/>
        </w:rPr>
        <w:t xml:space="preserve"> поглавје ја поместува аналитичката перспектива од опис и компарација кон прашањето на институционалната трансформација</w:t>
      </w:r>
      <w:r w:rsidR="00626312">
        <w:rPr>
          <w:lang w:val="mk-MK"/>
        </w:rPr>
        <w:t xml:space="preserve">, каква што и е потребна на </w:t>
      </w:r>
      <w:r w:rsidR="00E400E0">
        <w:rPr>
          <w:lang w:val="mk-MK"/>
        </w:rPr>
        <w:t>државата</w:t>
      </w:r>
      <w:r w:rsidRPr="00C9774C">
        <w:rPr>
          <w:lang w:val="mk-MK"/>
        </w:rPr>
        <w:t>. Неговата централна цел е да испита под кои услови и преку кои механизми може да се оствари одржлива реформа на корпоративното управување во Македонија, особено во сферата на државните претпријатија и во однос на учеството на вработените во органите на управување.</w:t>
      </w:r>
    </w:p>
    <w:p w14:paraId="0A4FE429" w14:textId="382773E9" w:rsidR="00DA4BF5" w:rsidRDefault="00DA4BF5" w:rsidP="000A5384">
      <w:pPr>
        <w:pStyle w:val="BodyText"/>
        <w:spacing w:before="240"/>
        <w:jc w:val="both"/>
        <w:rPr>
          <w:lang w:val="en-US"/>
        </w:rPr>
      </w:pPr>
      <w:r>
        <w:rPr>
          <w:lang w:val="mk-MK"/>
        </w:rPr>
        <w:tab/>
      </w:r>
      <w:r w:rsidRPr="00DA4BF5">
        <w:rPr>
          <w:lang w:val="mk-MK"/>
        </w:rPr>
        <w:t xml:space="preserve">Теоретската рамка на ова поглавје се потпира врз историскиот институционализам и политичката економија на институционалната промена. </w:t>
      </w:r>
      <w:r>
        <w:rPr>
          <w:lang w:val="mk-MK"/>
        </w:rPr>
        <w:t xml:space="preserve">Оттука, реформата </w:t>
      </w:r>
      <w:r w:rsidRPr="00DA4BF5">
        <w:rPr>
          <w:lang w:val="mk-MK"/>
        </w:rPr>
        <w:t>не се третира како резултат на еднократен „критичен момент“, туку како процес на наслагување, конверзија и постепена реконфигурација на постојните правила</w:t>
      </w:r>
      <w:r w:rsidR="004A5DAC">
        <w:rPr>
          <w:lang w:val="mk-MK"/>
        </w:rPr>
        <w:t>.</w:t>
      </w:r>
      <w:r w:rsidR="004A5DAC">
        <w:rPr>
          <w:rStyle w:val="FootnoteReference"/>
          <w:lang w:val="mk-MK"/>
        </w:rPr>
        <w:footnoteReference w:id="719"/>
      </w:r>
      <w:r w:rsidR="004A5DAC">
        <w:rPr>
          <w:lang w:val="mk-MK"/>
        </w:rPr>
        <w:t xml:space="preserve"> </w:t>
      </w:r>
      <w:r w:rsidRPr="00DA4BF5">
        <w:rPr>
          <w:lang w:val="mk-MK"/>
        </w:rPr>
        <w:t>Истовремено, анализата ги интегрира концептите на ограничена рационалност</w:t>
      </w:r>
      <w:r w:rsidR="00AD20D5">
        <w:rPr>
          <w:lang w:val="mk-MK"/>
        </w:rPr>
        <w:t xml:space="preserve">, </w:t>
      </w:r>
      <w:r w:rsidRPr="00DA4BF5">
        <w:rPr>
          <w:lang w:val="mk-MK"/>
        </w:rPr>
        <w:t>инкрементализам, вето-актери и актерски ориентиран институционализам</w:t>
      </w:r>
      <w:r w:rsidR="008517A4">
        <w:rPr>
          <w:lang w:val="mk-MK"/>
        </w:rPr>
        <w:t>,</w:t>
      </w:r>
      <w:r w:rsidRPr="00DA4BF5">
        <w:rPr>
          <w:lang w:val="mk-MK"/>
        </w:rPr>
        <w:t xml:space="preserve"> со цел да се утврди како институционалната структура го дефинира просторот на можност за реформа.</w:t>
      </w:r>
      <w:r w:rsidR="008517A4">
        <w:rPr>
          <w:rStyle w:val="FootnoteReference"/>
          <w:lang w:val="mk-MK"/>
        </w:rPr>
        <w:footnoteReference w:id="720"/>
      </w:r>
    </w:p>
    <w:p w14:paraId="39A388AD" w14:textId="25219118" w:rsidR="00FC339D" w:rsidRDefault="00306D4F" w:rsidP="00743ED6">
      <w:pPr>
        <w:pStyle w:val="BodyText"/>
        <w:spacing w:before="240"/>
        <w:jc w:val="both"/>
        <w:rPr>
          <w:lang w:val="mk-MK"/>
        </w:rPr>
      </w:pPr>
      <w:r>
        <w:rPr>
          <w:lang w:val="en-US"/>
        </w:rPr>
        <w:tab/>
      </w:r>
      <w:r w:rsidRPr="00306D4F">
        <w:rPr>
          <w:lang w:val="mk-MK"/>
        </w:rPr>
        <w:t>Во таа смисла, поглавјето ја поставува следната истражувачка дилема: дали европската условеност и кризите</w:t>
      </w:r>
      <w:r w:rsidR="00224702">
        <w:rPr>
          <w:lang w:val="mk-MK"/>
        </w:rPr>
        <w:t xml:space="preserve"> на неодрж</w:t>
      </w:r>
      <w:r w:rsidR="00E22BA8">
        <w:rPr>
          <w:lang w:val="mk-MK"/>
        </w:rPr>
        <w:t>л</w:t>
      </w:r>
      <w:r w:rsidR="00224702">
        <w:rPr>
          <w:lang w:val="mk-MK"/>
        </w:rPr>
        <w:t>ивост во сегашниот национален контекст</w:t>
      </w:r>
      <w:r w:rsidRPr="00306D4F">
        <w:rPr>
          <w:lang w:val="mk-MK"/>
        </w:rPr>
        <w:t xml:space="preserve"> можат да создадат доволен импулс за суштинска трансформација или институционалната </w:t>
      </w:r>
      <w:r w:rsidR="00DA4BB2">
        <w:rPr>
          <w:lang w:val="mk-MK"/>
        </w:rPr>
        <w:t>ограниченост</w:t>
      </w:r>
      <w:r w:rsidRPr="00306D4F">
        <w:rPr>
          <w:lang w:val="mk-MK"/>
        </w:rPr>
        <w:t xml:space="preserve"> ја канализира промената кон </w:t>
      </w:r>
      <w:r w:rsidR="008C7C18">
        <w:rPr>
          <w:lang w:val="mk-MK"/>
        </w:rPr>
        <w:t>неопределени и</w:t>
      </w:r>
      <w:r w:rsidRPr="00306D4F">
        <w:rPr>
          <w:lang w:val="mk-MK"/>
        </w:rPr>
        <w:t xml:space="preserve"> инкрементални адаптации</w:t>
      </w:r>
      <w:r w:rsidR="008C7C18">
        <w:rPr>
          <w:lang w:val="mk-MK"/>
        </w:rPr>
        <w:t>?</w:t>
      </w:r>
      <w:r w:rsidR="00743ED6">
        <w:rPr>
          <w:lang w:val="en-US"/>
        </w:rPr>
        <w:t xml:space="preserve"> </w:t>
      </w:r>
      <w:r w:rsidR="00FC339D" w:rsidRPr="00FC339D">
        <w:rPr>
          <w:lang w:val="mk-MK"/>
        </w:rPr>
        <w:t xml:space="preserve">Анализата се одвива во три меѓусебно поврзани нивоа. Прво, се разгледува институционалната геометрија на македонскиот систем на корпоративно управување, со посебен фокус врз државните претпријатија и распределбата на надлежности </w:t>
      </w:r>
      <w:r w:rsidR="00D07040">
        <w:rPr>
          <w:lang w:val="mk-MK"/>
        </w:rPr>
        <w:t>по</w:t>
      </w:r>
      <w:r w:rsidR="00FC339D" w:rsidRPr="00FC339D">
        <w:rPr>
          <w:lang w:val="mk-MK"/>
        </w:rPr>
        <w:t xml:space="preserve">меѓу законодавната, извршната и </w:t>
      </w:r>
      <w:r w:rsidR="00D07040">
        <w:rPr>
          <w:lang w:val="mk-MK"/>
        </w:rPr>
        <w:t>судската</w:t>
      </w:r>
      <w:r w:rsidR="00FC339D" w:rsidRPr="00FC339D">
        <w:rPr>
          <w:lang w:val="mk-MK"/>
        </w:rPr>
        <w:t xml:space="preserve"> власт.</w:t>
      </w:r>
    </w:p>
    <w:p w14:paraId="27FCD4FE" w14:textId="4449C123" w:rsidR="00D07040" w:rsidRDefault="00B43870" w:rsidP="00743ED6">
      <w:pPr>
        <w:pStyle w:val="BodyText"/>
        <w:spacing w:before="240"/>
        <w:jc w:val="both"/>
        <w:rPr>
          <w:lang w:val="mk-MK"/>
        </w:rPr>
      </w:pPr>
      <w:r>
        <w:rPr>
          <w:lang w:val="mk-MK"/>
        </w:rPr>
        <w:tab/>
      </w:r>
      <w:r w:rsidRPr="00B43870">
        <w:rPr>
          <w:lang w:val="mk-MK"/>
        </w:rPr>
        <w:t>Второ, се разработува концептот на постепена институционална промена, преку кој се предлага стратегија за реформ</w:t>
      </w:r>
      <w:r w:rsidR="00904C88">
        <w:rPr>
          <w:lang w:val="mk-MK"/>
        </w:rPr>
        <w:t>а во фази</w:t>
      </w:r>
      <w:r w:rsidRPr="00B43870">
        <w:rPr>
          <w:lang w:val="mk-MK"/>
        </w:rPr>
        <w:t xml:space="preserve"> заснована врз </w:t>
      </w:r>
      <w:r w:rsidR="00904C88">
        <w:rPr>
          <w:lang w:val="mk-MK"/>
        </w:rPr>
        <w:t>неколку слоеви</w:t>
      </w:r>
      <w:r w:rsidRPr="00B43870">
        <w:rPr>
          <w:lang w:val="mk-MK"/>
        </w:rPr>
        <w:t xml:space="preserve"> и конверзија, наместо на нормативен дисконтинуитет. Овој пристап се потпира врз меѓународните стандарди за управување со државни претпријатија,</w:t>
      </w:r>
      <w:r w:rsidR="00ED230C">
        <w:rPr>
          <w:rStyle w:val="FootnoteReference"/>
          <w:lang w:val="mk-MK"/>
        </w:rPr>
        <w:footnoteReference w:id="721"/>
      </w:r>
      <w:r w:rsidRPr="00B43870">
        <w:rPr>
          <w:lang w:val="mk-MK"/>
        </w:rPr>
        <w:t xml:space="preserve"> но истовремено настојува</w:t>
      </w:r>
      <w:r w:rsidR="00ED230C">
        <w:rPr>
          <w:lang w:val="mk-MK"/>
        </w:rPr>
        <w:t xml:space="preserve"> истите</w:t>
      </w:r>
      <w:r w:rsidRPr="00B43870">
        <w:rPr>
          <w:lang w:val="mk-MK"/>
        </w:rPr>
        <w:t xml:space="preserve"> да ги вгради во домашниот институционален контекст.</w:t>
      </w:r>
      <w:r w:rsidR="00ED230C">
        <w:rPr>
          <w:rStyle w:val="FootnoteReference"/>
          <w:lang w:val="mk-MK"/>
        </w:rPr>
        <w:footnoteReference w:id="722"/>
      </w:r>
      <w:r w:rsidR="007C190B">
        <w:rPr>
          <w:lang w:val="mk-MK"/>
        </w:rPr>
        <w:t xml:space="preserve"> </w:t>
      </w:r>
      <w:r w:rsidR="007C190B" w:rsidRPr="007C190B">
        <w:rPr>
          <w:lang w:val="mk-MK"/>
        </w:rPr>
        <w:t xml:space="preserve">Трето, се анализира улогата на идеите, социјалното учење и европската интеграција како фактори на институционална динамика. Поглавјето </w:t>
      </w:r>
      <w:r w:rsidR="004F3B26">
        <w:rPr>
          <w:lang w:val="mk-MK"/>
        </w:rPr>
        <w:t>истражува</w:t>
      </w:r>
      <w:r w:rsidR="007C190B" w:rsidRPr="007C190B">
        <w:rPr>
          <w:lang w:val="mk-MK"/>
        </w:rPr>
        <w:t xml:space="preserve"> дали реформата на корпоративното управување може да се интерпретира како дел од поширок парадигматски поместувачки процес во </w:t>
      </w:r>
      <w:r w:rsidR="007C190B" w:rsidRPr="007C190B">
        <w:rPr>
          <w:lang w:val="mk-MK"/>
        </w:rPr>
        <w:lastRenderedPageBreak/>
        <w:t xml:space="preserve">македонската политичка економија </w:t>
      </w:r>
      <w:r w:rsidR="0088565B">
        <w:rPr>
          <w:lang w:val="mk-MK"/>
        </w:rPr>
        <w:t xml:space="preserve">и </w:t>
      </w:r>
      <w:r w:rsidR="00652F06">
        <w:rPr>
          <w:lang w:val="mk-MK"/>
        </w:rPr>
        <w:t xml:space="preserve">периодот </w:t>
      </w:r>
      <w:r w:rsidR="0088565B">
        <w:rPr>
          <w:lang w:val="mk-MK"/>
        </w:rPr>
        <w:t>на реформи</w:t>
      </w:r>
      <w:r w:rsidR="00652F06">
        <w:rPr>
          <w:lang w:val="mk-MK"/>
        </w:rPr>
        <w:t xml:space="preserve"> што претстои</w:t>
      </w:r>
      <w:r w:rsidR="0088565B">
        <w:rPr>
          <w:lang w:val="mk-MK"/>
        </w:rPr>
        <w:t>.</w:t>
      </w:r>
      <w:r w:rsidR="00652F06">
        <w:rPr>
          <w:rStyle w:val="FootnoteReference"/>
          <w:lang w:val="mk-MK"/>
        </w:rPr>
        <w:footnoteReference w:id="723"/>
      </w:r>
    </w:p>
    <w:p w14:paraId="25BED5E1" w14:textId="49A499C9" w:rsidR="00FC6BC0" w:rsidRPr="00306D4F" w:rsidRDefault="00FC6BC0" w:rsidP="00086FE2">
      <w:pPr>
        <w:pStyle w:val="BodyText"/>
        <w:spacing w:before="240" w:after="240"/>
        <w:ind w:firstLine="720"/>
        <w:jc w:val="both"/>
        <w:rPr>
          <w:lang w:val="mk-MK"/>
        </w:rPr>
      </w:pPr>
      <w:r>
        <w:rPr>
          <w:lang w:val="mk-MK"/>
        </w:rPr>
        <w:t>Оттука</w:t>
      </w:r>
      <w:r w:rsidRPr="00FC6BC0">
        <w:rPr>
          <w:lang w:val="mk-MK"/>
        </w:rPr>
        <w:t>, ова поглавје има двојна амбиција. Од една страна, да понуди теоретски втемелена анализа на ограничувањата и можностите за реформа во услови на повеќе</w:t>
      </w:r>
      <w:r w:rsidR="0035137E">
        <w:rPr>
          <w:lang w:val="mk-MK"/>
        </w:rPr>
        <w:t>слојно</w:t>
      </w:r>
      <w:r w:rsidRPr="00FC6BC0">
        <w:rPr>
          <w:lang w:val="mk-MK"/>
        </w:rPr>
        <w:t xml:space="preserve"> управување и европска условеност</w:t>
      </w:r>
      <w:r w:rsidR="001C5091">
        <w:rPr>
          <w:lang w:val="mk-MK"/>
        </w:rPr>
        <w:t xml:space="preserve">. </w:t>
      </w:r>
      <w:r w:rsidRPr="00FC6BC0">
        <w:rPr>
          <w:lang w:val="mk-MK"/>
        </w:rPr>
        <w:t>Од друга страна, да предложи институционално изводлив модел на постепена трансформација на корпоративното управување во Македонија, кој ја поврзува нормативната усогласеност со структурната одржливост.</w:t>
      </w:r>
      <w:r w:rsidR="00EE083B">
        <w:rPr>
          <w:lang w:val="mk-MK"/>
        </w:rPr>
        <w:t xml:space="preserve"> </w:t>
      </w:r>
      <w:r w:rsidR="00EE083B" w:rsidRPr="00EE083B">
        <w:rPr>
          <w:lang w:val="mk-MK"/>
        </w:rPr>
        <w:t>На тој начин, поглавјето ја заокружува централната теза на дисертацијата</w:t>
      </w:r>
      <w:r w:rsidR="004E0BF5">
        <w:rPr>
          <w:lang w:val="mk-MK"/>
        </w:rPr>
        <w:t xml:space="preserve"> </w:t>
      </w:r>
      <w:r w:rsidR="00EE083B" w:rsidRPr="00EE083B">
        <w:rPr>
          <w:lang w:val="mk-MK"/>
        </w:rPr>
        <w:t xml:space="preserve">дека учеството на вработените и реформата на корпоративното управување </w:t>
      </w:r>
      <w:r w:rsidR="004E0BF5">
        <w:rPr>
          <w:lang w:val="mk-MK"/>
        </w:rPr>
        <w:t xml:space="preserve">се </w:t>
      </w:r>
      <w:r w:rsidR="00EE083B" w:rsidRPr="00EE083B">
        <w:rPr>
          <w:lang w:val="mk-MK"/>
        </w:rPr>
        <w:t>суштински елементи на институционалната архитектура што ја дефинира демократската и економската траекторија на државата.</w:t>
      </w:r>
    </w:p>
    <w:p w14:paraId="35F7DE50" w14:textId="098C1F8E" w:rsidR="004843A1" w:rsidRPr="001B24DD" w:rsidRDefault="004843A1" w:rsidP="009330C0">
      <w:pPr>
        <w:pStyle w:val="Heading1"/>
        <w:numPr>
          <w:ilvl w:val="0"/>
          <w:numId w:val="14"/>
        </w:numPr>
        <w:spacing w:after="240"/>
        <w:jc w:val="both"/>
      </w:pPr>
      <w:bookmarkStart w:id="82" w:name="_Toc230523935"/>
      <w:r w:rsidRPr="004843A1">
        <w:t>Инерција</w:t>
      </w:r>
      <w:r w:rsidR="001B24DD">
        <w:rPr>
          <w:lang w:val="mk-MK"/>
        </w:rPr>
        <w:t>та</w:t>
      </w:r>
      <w:r w:rsidRPr="004843A1">
        <w:t xml:space="preserve"> и политиката на реформа на корпоративното управување во Македонија</w:t>
      </w:r>
      <w:bookmarkEnd w:id="82"/>
    </w:p>
    <w:p w14:paraId="137B59F8" w14:textId="22483F21" w:rsidR="001B24DD" w:rsidRDefault="002076A2" w:rsidP="001B24DD">
      <w:pPr>
        <w:pStyle w:val="BodyText"/>
        <w:ind w:firstLine="720"/>
        <w:jc w:val="both"/>
        <w:rPr>
          <w:lang w:val="mk-MK"/>
        </w:rPr>
      </w:pPr>
      <w:r w:rsidRPr="002076A2">
        <w:rPr>
          <w:lang w:val="mk-MK"/>
        </w:rPr>
        <w:t>Проучувањето на реформата на корпоративното управување во Македонија претставува индикативна призма преку која може да се анализира политиката на промена на јавните политики и обратно.</w:t>
      </w:r>
      <w:r w:rsidR="00683768">
        <w:rPr>
          <w:rStyle w:val="FootnoteReference"/>
          <w:lang w:val="mk-MK"/>
        </w:rPr>
        <w:footnoteReference w:id="724"/>
      </w:r>
      <w:r w:rsidRPr="002076A2">
        <w:rPr>
          <w:lang w:val="mk-MK"/>
        </w:rPr>
        <w:t xml:space="preserve"> На прв поглед, реформските напори се движат </w:t>
      </w:r>
      <w:r w:rsidR="009C1D77">
        <w:rPr>
          <w:lang w:val="mk-MK"/>
        </w:rPr>
        <w:t>низ</w:t>
      </w:r>
      <w:r w:rsidRPr="002076A2">
        <w:rPr>
          <w:lang w:val="mk-MK"/>
        </w:rPr>
        <w:t xml:space="preserve"> повремени периоди на засилена активност и долги фази на привидна стагнација. Овој ритам не е случаен</w:t>
      </w:r>
      <w:r w:rsidR="009C1D77">
        <w:rPr>
          <w:lang w:val="mk-MK"/>
        </w:rPr>
        <w:t xml:space="preserve"> затоа што</w:t>
      </w:r>
      <w:r w:rsidRPr="002076A2">
        <w:rPr>
          <w:lang w:val="mk-MK"/>
        </w:rPr>
        <w:t xml:space="preserve"> тој ја одразува </w:t>
      </w:r>
      <w:r w:rsidR="009C1D77">
        <w:rPr>
          <w:lang w:val="mk-MK"/>
        </w:rPr>
        <w:t>структурната</w:t>
      </w:r>
      <w:r w:rsidRPr="002076A2">
        <w:rPr>
          <w:lang w:val="mk-MK"/>
        </w:rPr>
        <w:t xml:space="preserve"> интеракција </w:t>
      </w:r>
      <w:r w:rsidR="009D5346">
        <w:rPr>
          <w:lang w:val="mk-MK"/>
        </w:rPr>
        <w:t>по</w:t>
      </w:r>
      <w:r w:rsidRPr="002076A2">
        <w:rPr>
          <w:lang w:val="mk-MK"/>
        </w:rPr>
        <w:t>меѓу институционалните ограничувања, политичките поттици и механизмите на повратна спрега кои ги обликуваат можностите за трансформација.</w:t>
      </w:r>
      <w:r w:rsidR="009D5346">
        <w:rPr>
          <w:rStyle w:val="FootnoteReference"/>
          <w:lang w:val="mk-MK"/>
        </w:rPr>
        <w:footnoteReference w:id="725"/>
      </w:r>
    </w:p>
    <w:p w14:paraId="6232411B" w14:textId="37043200" w:rsidR="00221251" w:rsidRDefault="00221251" w:rsidP="00221251">
      <w:pPr>
        <w:pStyle w:val="BodyText"/>
        <w:spacing w:before="240"/>
        <w:ind w:firstLine="720"/>
        <w:jc w:val="both"/>
        <w:rPr>
          <w:lang w:val="mk-MK"/>
        </w:rPr>
      </w:pPr>
      <w:r>
        <w:rPr>
          <w:lang w:val="mk-MK"/>
        </w:rPr>
        <w:t xml:space="preserve">Во тој поглед, поставеноста на дисертацијата до овој момент поставува </w:t>
      </w:r>
      <w:r w:rsidRPr="00221251">
        <w:rPr>
          <w:lang w:val="mk-MK"/>
        </w:rPr>
        <w:t>две важни прашања на корпоративното управување</w:t>
      </w:r>
      <w:r w:rsidR="00C81B33">
        <w:rPr>
          <w:lang w:val="mk-MK"/>
        </w:rPr>
        <w:t>, прво,</w:t>
      </w:r>
      <w:r w:rsidRPr="00221251">
        <w:rPr>
          <w:lang w:val="mk-MK"/>
        </w:rPr>
        <w:t xml:space="preserve"> кој инструмент на учество на вработените е најсоодветен, и </w:t>
      </w:r>
      <w:r w:rsidR="00C81B33">
        <w:rPr>
          <w:lang w:val="mk-MK"/>
        </w:rPr>
        <w:t xml:space="preserve">второ, </w:t>
      </w:r>
      <w:r w:rsidRPr="00221251">
        <w:rPr>
          <w:lang w:val="mk-MK"/>
        </w:rPr>
        <w:t>за кои типови друштва тој инструмент е институционално рационален</w:t>
      </w:r>
      <w:r w:rsidR="00C81B33">
        <w:rPr>
          <w:lang w:val="mk-MK"/>
        </w:rPr>
        <w:t>?</w:t>
      </w:r>
      <w:r w:rsidR="003A6DFA">
        <w:rPr>
          <w:lang w:val="mk-MK"/>
        </w:rPr>
        <w:t xml:space="preserve"> </w:t>
      </w:r>
      <w:r w:rsidR="003A6DFA" w:rsidRPr="003A6DFA">
        <w:rPr>
          <w:lang w:val="mk-MK"/>
        </w:rPr>
        <w:t xml:space="preserve">Во контекст на развојот на модели за учество на вработените во корпоративното управување, потребно е да се </w:t>
      </w:r>
      <w:r w:rsidR="00787C70">
        <w:rPr>
          <w:lang w:val="mk-MK"/>
        </w:rPr>
        <w:t>нагласи главната разлика</w:t>
      </w:r>
      <w:r w:rsidR="003A6DFA" w:rsidRPr="003A6DFA">
        <w:rPr>
          <w:lang w:val="mk-MK"/>
        </w:rPr>
        <w:t xml:space="preserve"> помеѓу два</w:t>
      </w:r>
      <w:r w:rsidR="00787C70">
        <w:rPr>
          <w:lang w:val="mk-MK"/>
        </w:rPr>
        <w:t>та</w:t>
      </w:r>
      <w:r w:rsidR="003A6DFA" w:rsidRPr="003A6DFA">
        <w:rPr>
          <w:lang w:val="mk-MK"/>
        </w:rPr>
        <w:t xml:space="preserve"> основни инструменти: учество преку сопственост и учество преку институционално претставување во органите на управување. Првиот модел се реализира преку доделување акции или удели на вработените, додека вториот се реализира преку нивно учество во органи како што се надзорниот или управниот одбор.</w:t>
      </w:r>
    </w:p>
    <w:p w14:paraId="1BB62DB5" w14:textId="4514F76F" w:rsidR="001F43A8" w:rsidRDefault="001F43A8" w:rsidP="00221251">
      <w:pPr>
        <w:pStyle w:val="BodyText"/>
        <w:spacing w:before="240"/>
        <w:ind w:firstLine="720"/>
        <w:jc w:val="both"/>
        <w:rPr>
          <w:lang w:val="mk-MK"/>
        </w:rPr>
      </w:pPr>
      <w:r w:rsidRPr="001F43A8">
        <w:rPr>
          <w:lang w:val="mk-MK"/>
        </w:rPr>
        <w:t xml:space="preserve">Компаративното право </w:t>
      </w:r>
      <w:r>
        <w:rPr>
          <w:lang w:val="mk-MK"/>
        </w:rPr>
        <w:t xml:space="preserve">разгледано досега </w:t>
      </w:r>
      <w:r w:rsidRPr="001F43A8">
        <w:rPr>
          <w:lang w:val="mk-MK"/>
        </w:rPr>
        <w:t>покаж</w:t>
      </w:r>
      <w:r>
        <w:rPr>
          <w:lang w:val="mk-MK"/>
        </w:rPr>
        <w:t>а</w:t>
      </w:r>
      <w:r w:rsidRPr="001F43A8">
        <w:rPr>
          <w:lang w:val="mk-MK"/>
        </w:rPr>
        <w:t xml:space="preserve"> дека овие два инструменти не се функционално идентични и дека нивната соодветност зависи од големината на друштвото, структурата на сопственоста и бројот на вработени. Во мали и средни друштва, особено во друштва со ограничена одговорност, често се среќаваат неформални или полуформални модели на учество на вработените преку доделување мал процент од уделите. Во пракса може да се сретнат случаи каде мнозинскиот содружник доделува на одредени вработени удели од 1% или 2%, при што тие удели можат да содржат ограничени или модифицирани права во однос на распределбата на добивката или правото на глас.</w:t>
      </w:r>
      <w:r w:rsidR="00CF358B">
        <w:rPr>
          <w:rStyle w:val="FootnoteReference"/>
          <w:lang w:val="mk-MK"/>
        </w:rPr>
        <w:footnoteReference w:id="726"/>
      </w:r>
    </w:p>
    <w:p w14:paraId="403B6713" w14:textId="079B2DF4" w:rsidR="009E13C2" w:rsidRDefault="009E13C2" w:rsidP="00221251">
      <w:pPr>
        <w:pStyle w:val="BodyText"/>
        <w:spacing w:before="240"/>
        <w:ind w:firstLine="720"/>
        <w:jc w:val="both"/>
        <w:rPr>
          <w:lang w:val="mk-MK"/>
        </w:rPr>
      </w:pPr>
      <w:r w:rsidRPr="009E13C2">
        <w:rPr>
          <w:lang w:val="mk-MK"/>
        </w:rPr>
        <w:t>Таквите модели функционално наликуваат на системите на акции</w:t>
      </w:r>
      <w:r w:rsidR="00F50BB3">
        <w:rPr>
          <w:lang w:val="mk-MK"/>
        </w:rPr>
        <w:t xml:space="preserve"> за вработените</w:t>
      </w:r>
      <w:r w:rsidRPr="009E13C2">
        <w:rPr>
          <w:lang w:val="mk-MK"/>
        </w:rPr>
        <w:t>,</w:t>
      </w:r>
      <w:r w:rsidR="00F50BB3">
        <w:rPr>
          <w:lang w:val="mk-MK"/>
        </w:rPr>
        <w:t xml:space="preserve"> </w:t>
      </w:r>
      <w:r w:rsidRPr="009E13C2">
        <w:rPr>
          <w:lang w:val="mk-MK"/>
        </w:rPr>
        <w:t xml:space="preserve">каде законот дозволува издавање на посебна емисија акции за вработените, со </w:t>
      </w:r>
      <w:r w:rsidRPr="009E13C2">
        <w:rPr>
          <w:lang w:val="mk-MK"/>
        </w:rPr>
        <w:lastRenderedPageBreak/>
        <w:t>специфични ограничувања во однос на нивниот пренос и обем. Основната идеја на ваквите инструменти е да се создаде форма на економско учество на вработените во успехот на друштвото, без притоа да се наруши стабилноста на сопственичката структура.</w:t>
      </w:r>
    </w:p>
    <w:p w14:paraId="3CE61946" w14:textId="2B0825A6" w:rsidR="00F03502" w:rsidRDefault="00F03502" w:rsidP="00221251">
      <w:pPr>
        <w:pStyle w:val="BodyText"/>
        <w:spacing w:before="240"/>
        <w:ind w:firstLine="720"/>
        <w:jc w:val="both"/>
        <w:rPr>
          <w:lang w:val="mk-MK"/>
        </w:rPr>
      </w:pPr>
      <w:r w:rsidRPr="00F03502">
        <w:rPr>
          <w:lang w:val="mk-MK"/>
        </w:rPr>
        <w:t>Од друга страна, во големи друштва со значителен број вработени и со дисперзирана сопственост, учеството преку доделување индивидуални акции може да има ограничен ефект врз реалното влијание на вработените во корпоративното управување. Во такви случаи, институционалното претставување на вработените во органите на управување често претставува поефективен механизам за артикулирање на нивните интереси. Токму поради тоа, во повеќе европски правни системи се развиле модели на ко-детерминација, каде вработените имаат загарантирано место во надзорните органи на друштвото.</w:t>
      </w:r>
    </w:p>
    <w:p w14:paraId="363AFBF9" w14:textId="6850D534" w:rsidR="005456FA" w:rsidRDefault="005456FA" w:rsidP="00221251">
      <w:pPr>
        <w:pStyle w:val="BodyText"/>
        <w:spacing w:before="240"/>
        <w:ind w:firstLine="720"/>
        <w:jc w:val="both"/>
        <w:rPr>
          <w:lang w:val="mk-MK"/>
        </w:rPr>
      </w:pPr>
      <w:r w:rsidRPr="005456FA">
        <w:rPr>
          <w:lang w:val="mk-MK"/>
        </w:rPr>
        <w:t>Оттука, може да се заклучи дека двата модели имаат различна функција. Доделувањето акции или удели има претежно економска и мотивациска функција, додека претставувањето во органите на управување има институционална и управувачка функција. Оптималниот модел на учество на вработените во корпоративното управување често се постигнува преку комбинација на овие два инструменти, зависно од карактеристиките на конкретното друштво.</w:t>
      </w:r>
      <w:r w:rsidR="00EB69F7">
        <w:rPr>
          <w:lang w:val="en-US"/>
        </w:rPr>
        <w:t xml:space="preserve"> </w:t>
      </w:r>
      <w:r w:rsidR="008F5039">
        <w:rPr>
          <w:lang w:val="mk-MK"/>
        </w:rPr>
        <w:t>Затоа, о</w:t>
      </w:r>
      <w:r w:rsidR="008F5039" w:rsidRPr="008F5039">
        <w:rPr>
          <w:lang w:val="mk-MK"/>
        </w:rPr>
        <w:t>ва поглавје нуди систематски преглед на релевантната литература од областа на корпоративното управување и јавните политики, со цел да се идентификуваат теоретските рамки и аналитичките алатки што можат да се применат во анализата на македонскиот случај.</w:t>
      </w:r>
      <w:r w:rsidR="00552C39">
        <w:rPr>
          <w:lang w:val="mk-MK"/>
        </w:rPr>
        <w:t xml:space="preserve"> Визуелно, поделбата по слоеви </w:t>
      </w:r>
      <w:r w:rsidR="00D17F81">
        <w:rPr>
          <w:lang w:val="mk-MK"/>
        </w:rPr>
        <w:t>може да се претстави на следниот начин:</w:t>
      </w:r>
    </w:p>
    <w:p w14:paraId="05AC7B16" w14:textId="441A5037" w:rsidR="00D17F81" w:rsidRDefault="00271B1B" w:rsidP="00D17F81">
      <w:pPr>
        <w:pStyle w:val="BodyText"/>
        <w:spacing w:before="240"/>
        <w:jc w:val="center"/>
        <w:rPr>
          <w:lang w:val="en-US"/>
        </w:rPr>
      </w:pPr>
      <w:r w:rsidRPr="00271B1B">
        <w:rPr>
          <w:noProof/>
          <w:lang w:val="mk-MK"/>
        </w:rPr>
        <w:drawing>
          <wp:inline distT="0" distB="0" distL="0" distR="0" wp14:anchorId="40841683" wp14:editId="326C8E80">
            <wp:extent cx="5136758" cy="3762375"/>
            <wp:effectExtent l="0" t="0" r="6985" b="0"/>
            <wp:docPr id="1611237743"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11237743" name="Picture 1" descr="A diagram of a company&#10;&#10;AI-generated content may be incorrect."/>
                    <pic:cNvPicPr/>
                  </pic:nvPicPr>
                  <pic:blipFill>
                    <a:blip r:embed="rId16"/>
                    <a:stretch>
                      <a:fillRect/>
                    </a:stretch>
                  </pic:blipFill>
                  <pic:spPr>
                    <a:xfrm>
                      <a:off x="0" y="0"/>
                      <a:ext cx="5152226" cy="3773704"/>
                    </a:xfrm>
                    <a:prstGeom prst="rect">
                      <a:avLst/>
                    </a:prstGeom>
                  </pic:spPr>
                </pic:pic>
              </a:graphicData>
            </a:graphic>
          </wp:inline>
        </w:drawing>
      </w:r>
    </w:p>
    <w:p w14:paraId="6F788CD4" w14:textId="405C7D9B" w:rsidR="00D52194" w:rsidRPr="00D52194" w:rsidRDefault="00D52194" w:rsidP="00D17F81">
      <w:pPr>
        <w:pStyle w:val="BodyText"/>
        <w:spacing w:before="240"/>
        <w:jc w:val="center"/>
        <w:rPr>
          <w:lang w:val="en-US"/>
        </w:rPr>
      </w:pPr>
      <w:r w:rsidRPr="00B34E9A">
        <w:rPr>
          <w:i/>
          <w:iCs/>
          <w:lang w:val="mk-MK"/>
        </w:rPr>
        <w:t>Извор: истражувањето и податоците изнесени во докторската дисертација</w:t>
      </w:r>
      <w:r>
        <w:rPr>
          <w:i/>
          <w:iCs/>
          <w:lang w:val="mk-MK"/>
        </w:rPr>
        <w:t>.</w:t>
      </w:r>
    </w:p>
    <w:p w14:paraId="58DABE6B" w14:textId="4C29DC39" w:rsidR="00E84413" w:rsidRDefault="00D52194" w:rsidP="00221251">
      <w:pPr>
        <w:pStyle w:val="BodyText"/>
        <w:spacing w:before="240"/>
        <w:ind w:firstLine="720"/>
        <w:jc w:val="both"/>
        <w:rPr>
          <w:lang w:val="en-US"/>
        </w:rPr>
      </w:pPr>
      <w:r>
        <w:rPr>
          <w:lang w:val="mk-MK"/>
        </w:rPr>
        <w:lastRenderedPageBreak/>
        <w:t>Така, во</w:t>
      </w:r>
      <w:r w:rsidR="00E84413" w:rsidRPr="00E84413">
        <w:rPr>
          <w:lang w:val="mk-MK"/>
        </w:rPr>
        <w:t xml:space="preserve"> духот на инкрементализмот на Линдблом, промената на политиките во македонската корпоративна сфера </w:t>
      </w:r>
      <w:r w:rsidR="00E84413">
        <w:rPr>
          <w:lang w:val="mk-MK"/>
        </w:rPr>
        <w:t>не би можела да произлезе</w:t>
      </w:r>
      <w:r w:rsidR="00E84413" w:rsidRPr="00E84413">
        <w:rPr>
          <w:lang w:val="mk-MK"/>
        </w:rPr>
        <w:t xml:space="preserve"> од </w:t>
      </w:r>
      <w:r w:rsidR="00E84413">
        <w:rPr>
          <w:lang w:val="mk-MK"/>
        </w:rPr>
        <w:t xml:space="preserve">едноставен </w:t>
      </w:r>
      <w:r w:rsidR="00E84413" w:rsidRPr="00E84413">
        <w:rPr>
          <w:lang w:val="mk-MK"/>
        </w:rPr>
        <w:t>нормативен дизајн.</w:t>
      </w:r>
      <w:r w:rsidR="00035B0A">
        <w:rPr>
          <w:rStyle w:val="FootnoteReference"/>
          <w:lang w:val="mk-MK"/>
        </w:rPr>
        <w:footnoteReference w:id="727"/>
      </w:r>
      <w:r w:rsidR="00E84413" w:rsidRPr="00E84413">
        <w:rPr>
          <w:lang w:val="mk-MK"/>
        </w:rPr>
        <w:t xml:space="preserve"> Наместо тоа, таа </w:t>
      </w:r>
      <w:r w:rsidR="00E84413">
        <w:rPr>
          <w:lang w:val="mk-MK"/>
        </w:rPr>
        <w:t>ќе треба да се</w:t>
      </w:r>
      <w:r w:rsidR="00E84413" w:rsidRPr="00E84413">
        <w:rPr>
          <w:lang w:val="mk-MK"/>
        </w:rPr>
        <w:t xml:space="preserve"> развива преку низа делумни прилагодувања, преговарани компромиси и адаптивни реинтерпретации на наследените норми. Реформскиот процес функционира во услови на ограничена рационалност, каде актерите</w:t>
      </w:r>
      <w:r w:rsidR="00003F05">
        <w:rPr>
          <w:lang w:val="mk-MK"/>
        </w:rPr>
        <w:t xml:space="preserve"> и македонските институции</w:t>
      </w:r>
      <w:r w:rsidR="00E84413" w:rsidRPr="00E84413">
        <w:rPr>
          <w:lang w:val="mk-MK"/>
        </w:rPr>
        <w:t xml:space="preserve"> се справуваат со неизвесноста преку потпирање на воспоставени рутини и ограничени компарации, наместо на апстрактни идеали. Инкрементализмот тука не </w:t>
      </w:r>
      <w:r w:rsidR="00003F05">
        <w:rPr>
          <w:lang w:val="mk-MK"/>
        </w:rPr>
        <w:t>мора да се сфати како</w:t>
      </w:r>
      <w:r w:rsidR="00E84413" w:rsidRPr="00E84413">
        <w:rPr>
          <w:lang w:val="mk-MK"/>
        </w:rPr>
        <w:t xml:space="preserve"> недостаток, туку логика на институционално преживување во контекст на ограничен административен капацитет, кревки политички коалиции и конкурирачки надворешни модели на управување.</w:t>
      </w:r>
      <w:r w:rsidR="00CA32C5">
        <w:rPr>
          <w:rStyle w:val="FootnoteReference"/>
          <w:lang w:val="mk-MK"/>
        </w:rPr>
        <w:footnoteReference w:id="728"/>
      </w:r>
    </w:p>
    <w:p w14:paraId="61AD4BD8" w14:textId="6DEF11B7" w:rsidR="00926866" w:rsidRDefault="00926866" w:rsidP="00221251">
      <w:pPr>
        <w:pStyle w:val="BodyText"/>
        <w:spacing w:before="240"/>
        <w:ind w:firstLine="720"/>
        <w:jc w:val="both"/>
        <w:rPr>
          <w:lang w:val="en-US"/>
        </w:rPr>
      </w:pPr>
      <w:r>
        <w:rPr>
          <w:lang w:val="mk-MK"/>
        </w:rPr>
        <w:t>Во слична линија, а</w:t>
      </w:r>
      <w:r w:rsidRPr="00926866">
        <w:rPr>
          <w:lang w:val="mk-MK"/>
        </w:rPr>
        <w:t>нализата на Хакер и Пирсон за повратната спрега на јавните политики ја продлабочува оваа слика.</w:t>
      </w:r>
      <w:r w:rsidR="000F2639">
        <w:rPr>
          <w:rStyle w:val="FootnoteReference"/>
          <w:lang w:val="mk-MK"/>
        </w:rPr>
        <w:footnoteReference w:id="729"/>
      </w:r>
      <w:r w:rsidRPr="00926866">
        <w:rPr>
          <w:lang w:val="mk-MK"/>
        </w:rPr>
        <w:t xml:space="preserve"> Раните законодавни избори во транзицискиот период, особено во областа на приватизацијата и правата на акционерите, </w:t>
      </w:r>
      <w:r w:rsidR="00217DE4">
        <w:rPr>
          <w:lang w:val="mk-MK"/>
        </w:rPr>
        <w:t xml:space="preserve">генерално ви сите земји кои поминаа низ тој процес во 90тите, </w:t>
      </w:r>
      <w:r w:rsidRPr="00926866">
        <w:rPr>
          <w:lang w:val="mk-MK"/>
        </w:rPr>
        <w:t>создадоа институционални циклуси на повратна спрега кои го зајакнаа елитното управување и ги обесхрабрија партиципативните форми на корпоративно уредување. Овие аранжмани произведоа интересни групи вложени во одржување на статус-квото, како и административни практики што ја насочуваа иновацијата кон тесни технократски домени. Политиките ја создадоа сопствената приватизација без вистински плурализам</w:t>
      </w:r>
      <w:r w:rsidR="003B0A0F">
        <w:rPr>
          <w:lang w:val="mk-MK"/>
        </w:rPr>
        <w:t xml:space="preserve"> што</w:t>
      </w:r>
      <w:r w:rsidRPr="00926866">
        <w:rPr>
          <w:lang w:val="mk-MK"/>
        </w:rPr>
        <w:t xml:space="preserve"> консолидираше моќ во мрежи на политички и деловни актери кои стануваат де факто вето-актери во подоцнежните циклуси на реформа.</w:t>
      </w:r>
      <w:r w:rsidR="000F2639">
        <w:rPr>
          <w:rStyle w:val="FootnoteReference"/>
          <w:lang w:val="mk-MK"/>
        </w:rPr>
        <w:footnoteReference w:id="730"/>
      </w:r>
    </w:p>
    <w:p w14:paraId="5163FB3E" w14:textId="6F8F64AC" w:rsidR="008B63F5" w:rsidRDefault="00E9255A" w:rsidP="00221251">
      <w:pPr>
        <w:pStyle w:val="BodyText"/>
        <w:spacing w:before="240"/>
        <w:ind w:firstLine="720"/>
        <w:jc w:val="both"/>
        <w:rPr>
          <w:lang w:val="mk-MK"/>
        </w:rPr>
      </w:pPr>
      <w:r w:rsidRPr="00E9255A">
        <w:rPr>
          <w:lang w:val="mk-MK"/>
        </w:rPr>
        <w:t xml:space="preserve">Развојот на продуктивноста </w:t>
      </w:r>
      <w:r>
        <w:rPr>
          <w:lang w:val="mk-MK"/>
        </w:rPr>
        <w:t>во Македонија пак</w:t>
      </w:r>
      <w:r w:rsidR="001C38DD">
        <w:rPr>
          <w:lang w:val="mk-MK"/>
        </w:rPr>
        <w:t xml:space="preserve">, </w:t>
      </w:r>
      <w:r w:rsidRPr="00E9255A">
        <w:rPr>
          <w:lang w:val="mk-MK"/>
        </w:rPr>
        <w:t>претставува клучен предуслов за долгорочен економски раст и конкурентност на националната економија. Традиционално, продуктивноста најчесто се мери преку продуктивноста на трудот, односно износот на создадена вредност по вработен или по работен час. Меѓутоа, ваквиот индикатор има ограничена аналитичка вредност бидејќи не ги опфаќа разликите во капиталната опременост, технолошкото ниво или организациските практики на фирмите. Поради тоа, современата економска литература сѐ повеќе го користи концептот на вкупна факторска продуктивност (total factor productivity – TFP), кој ја мери ефикасноста со која фирмите ги комбинираат основните фактори на производство, трудот и капиталот. TFP претставува индикатор на технолошката и организациската ефикасност на фирмите, односно оној дел од производството што не може да се објасни исклучиво преку количината на вложени производни фактори.</w:t>
      </w:r>
      <w:r w:rsidR="008A76E3">
        <w:rPr>
          <w:lang w:val="mk-MK"/>
        </w:rPr>
        <w:t xml:space="preserve"> Токму во тој контекст, може да се измери потенцијалното влијание што промената од овој тип би ја имала врз македонската економија. </w:t>
      </w:r>
    </w:p>
    <w:p w14:paraId="14323AD2" w14:textId="4AAF2804" w:rsidR="001C1E36" w:rsidRDefault="001C1E36" w:rsidP="00221251">
      <w:pPr>
        <w:pStyle w:val="BodyText"/>
        <w:spacing w:before="240"/>
        <w:ind w:firstLine="720"/>
        <w:jc w:val="both"/>
        <w:rPr>
          <w:lang w:val="en-US"/>
        </w:rPr>
      </w:pPr>
      <w:r>
        <w:rPr>
          <w:lang w:val="mk-MK"/>
        </w:rPr>
        <w:t>А</w:t>
      </w:r>
      <w:r w:rsidRPr="001C1E36">
        <w:rPr>
          <w:lang w:val="mk-MK"/>
        </w:rPr>
        <w:t>нализите покажуваат дека продуктивноста на фирмите во последните две децении се движи релативно бавно и со значителни осцилации.</w:t>
      </w:r>
      <w:r w:rsidR="003341E7">
        <w:rPr>
          <w:rStyle w:val="FootnoteReference"/>
          <w:lang w:val="mk-MK"/>
        </w:rPr>
        <w:footnoteReference w:id="731"/>
      </w:r>
      <w:r w:rsidRPr="001C1E36">
        <w:rPr>
          <w:lang w:val="mk-MK"/>
        </w:rPr>
        <w:t xml:space="preserve"> Додека растот на продуктивноста на трудот е релативно ограничен во споредба со други економии во регионот на Европа и Централна Азија, анализите на вкупната факторска продуктивност </w:t>
      </w:r>
      <w:r w:rsidRPr="001C1E36">
        <w:rPr>
          <w:lang w:val="mk-MK"/>
        </w:rPr>
        <w:lastRenderedPageBreak/>
        <w:t>укажуваат дека дел од економскиот раст се темели повеќе на акумулација на труд и капитал отколку на подобрување на ефикасноста во нивната употреба.</w:t>
      </w:r>
      <w:r w:rsidR="00380CD7">
        <w:rPr>
          <w:rStyle w:val="FootnoteReference"/>
          <w:lang w:val="mk-MK"/>
        </w:rPr>
        <w:footnoteReference w:id="732"/>
      </w:r>
      <w:r w:rsidRPr="001C1E36">
        <w:rPr>
          <w:lang w:val="mk-MK"/>
        </w:rPr>
        <w:t xml:space="preserve"> Ваквата динамика се поврзува со структурни фактори како што се институционалните слабости, ограниченото технолошко унапредување, недоволната иновативност и недоволната алокациска ефикасност на ресурсите во економијата. Како резултат на тоа, разликите во продуктивноста помеѓу фирмите се значајни, што укажува на постоење на структурни ограничувања и неефикасна распределба на трудот и капиталот во рамките на економијата.</w:t>
      </w:r>
    </w:p>
    <w:p w14:paraId="0E54B9AE" w14:textId="77777777" w:rsidR="00B11371" w:rsidRDefault="00097DCC" w:rsidP="00221251">
      <w:pPr>
        <w:pStyle w:val="BodyText"/>
        <w:spacing w:before="240"/>
        <w:ind w:firstLine="720"/>
        <w:jc w:val="both"/>
        <w:rPr>
          <w:lang w:val="mk-MK"/>
        </w:rPr>
      </w:pPr>
      <w:r w:rsidRPr="00097DCC">
        <w:rPr>
          <w:lang w:val="mk-MK"/>
        </w:rPr>
        <w:t xml:space="preserve">Синтетички разгледано, овие два структурни тренда </w:t>
      </w:r>
      <w:r>
        <w:rPr>
          <w:lang w:val="mk-MK"/>
        </w:rPr>
        <w:t>на Македонија,</w:t>
      </w:r>
      <w:r w:rsidRPr="00097DCC">
        <w:rPr>
          <w:lang w:val="mk-MK"/>
        </w:rPr>
        <w:t xml:space="preserve"> демографското стеснување на работната сила и истовремено слабата динамика на продуктивноста</w:t>
      </w:r>
      <w:r w:rsidR="00B11371">
        <w:rPr>
          <w:lang w:val="mk-MK"/>
        </w:rPr>
        <w:t>,</w:t>
      </w:r>
      <w:r w:rsidRPr="00097DCC">
        <w:rPr>
          <w:lang w:val="mk-MK"/>
        </w:rPr>
        <w:t xml:space="preserve"> укажуваат дека традиционалниот модел на економски раст </w:t>
      </w:r>
      <w:r w:rsidR="00B11371">
        <w:rPr>
          <w:lang w:val="mk-MK"/>
        </w:rPr>
        <w:t>за нас</w:t>
      </w:r>
      <w:r w:rsidRPr="00097DCC">
        <w:rPr>
          <w:lang w:val="mk-MK"/>
        </w:rPr>
        <w:t xml:space="preserve"> достигнува институционални и структурни ограничувања. Во такви услови, прашањето за поефикасно користење на човечкиот капитал и за подобрување на организациските и управувачките модели во компаниите станува централно прашање на економската политика. Токму во овој контекст, сè поголемо внимание во современата литература и компаративната практика добиваат моделите на корпоративно управување кои предвидуваат поголемо учество на вработените во управувачките структури на компаниите, како и механизми на сопственичко учество на вработените преку акции или други форми на финансиска партиципација. </w:t>
      </w:r>
    </w:p>
    <w:p w14:paraId="25C4466A" w14:textId="20F51730" w:rsidR="001B24DD" w:rsidRPr="009700AB" w:rsidRDefault="00097DCC" w:rsidP="009700AB">
      <w:pPr>
        <w:pStyle w:val="BodyText"/>
        <w:spacing w:before="240" w:after="240"/>
        <w:ind w:firstLine="720"/>
        <w:jc w:val="both"/>
        <w:rPr>
          <w:lang w:val="mk-MK"/>
        </w:rPr>
      </w:pPr>
      <w:r w:rsidRPr="00097DCC">
        <w:rPr>
          <w:lang w:val="mk-MK"/>
        </w:rPr>
        <w:t>Таквите модели се аргументираат како потенцијален механизам за подобрување на корпоративната ефикасност, зголемување на мотивацијата на работниците и поодржливо искористување на човечкиот капитал. Во тој поглед, со оглед на демографските и продуктивните ограничувања со кои се соочува економијата, може да се заклучи дека времето е зрело за сериозно преиспитување на постојниот модел на корпоративно управување во Македонија и за разгледување на институционални решенија што ќе овозможат пошироко учество на вработените, како преку сопственички инструменти, така и преку задолжително претставување во органите на управување на компаниите.</w:t>
      </w:r>
    </w:p>
    <w:p w14:paraId="085EAFA1" w14:textId="33A17D83" w:rsidR="000011F9" w:rsidRPr="00A702A9" w:rsidRDefault="0025350C" w:rsidP="00A702A9">
      <w:pPr>
        <w:pStyle w:val="Heading2"/>
        <w:numPr>
          <w:ilvl w:val="1"/>
          <w:numId w:val="14"/>
        </w:numPr>
        <w:rPr>
          <w:rFonts w:ascii="Times New Roman" w:hAnsi="Times New Roman" w:cs="Times New Roman"/>
          <w:b w:val="0"/>
          <w:bCs w:val="0"/>
          <w:sz w:val="24"/>
          <w:szCs w:val="24"/>
        </w:rPr>
      </w:pPr>
      <w:r>
        <w:rPr>
          <w:lang w:val="mk-MK"/>
        </w:rPr>
        <w:t xml:space="preserve"> </w:t>
      </w:r>
      <w:bookmarkStart w:id="83" w:name="_Toc230523936"/>
      <w:r w:rsidR="00086FE2" w:rsidRPr="00A702A9">
        <w:rPr>
          <w:rFonts w:ascii="Times New Roman" w:hAnsi="Times New Roman" w:cs="Times New Roman"/>
          <w:b w:val="0"/>
          <w:bCs w:val="0"/>
          <w:color w:val="000000" w:themeColor="text1"/>
          <w:sz w:val="24"/>
          <w:szCs w:val="24"/>
          <w:lang w:val="mk-MK"/>
        </w:rPr>
        <w:t>Институционални ограничувања, прозорци на можност и геометрија на реформата</w:t>
      </w:r>
      <w:bookmarkEnd w:id="83"/>
    </w:p>
    <w:p w14:paraId="27F60EFF" w14:textId="30B8CD22" w:rsidR="0044118C" w:rsidRDefault="0044118C" w:rsidP="0044118C">
      <w:pPr>
        <w:pStyle w:val="BodyText"/>
        <w:spacing w:before="240"/>
        <w:ind w:firstLine="720"/>
        <w:jc w:val="both"/>
        <w:rPr>
          <w:lang w:val="mk-MK"/>
        </w:rPr>
      </w:pPr>
      <w:r w:rsidRPr="003435D9">
        <w:rPr>
          <w:lang w:val="mk-MK"/>
        </w:rPr>
        <w:t>На европско ниво, концептот на повеќе</w:t>
      </w:r>
      <w:r w:rsidR="00892831">
        <w:rPr>
          <w:lang w:val="mk-MK"/>
        </w:rPr>
        <w:t>слојно</w:t>
      </w:r>
      <w:r w:rsidRPr="003435D9">
        <w:rPr>
          <w:lang w:val="mk-MK"/>
        </w:rPr>
        <w:t xml:space="preserve"> управување на Хоге и Маркс открива дополнител</w:t>
      </w:r>
      <w:r w:rsidR="00892831">
        <w:rPr>
          <w:lang w:val="mk-MK"/>
        </w:rPr>
        <w:t>но ниво</w:t>
      </w:r>
      <w:r w:rsidRPr="003435D9">
        <w:rPr>
          <w:lang w:val="mk-MK"/>
        </w:rPr>
        <w:t xml:space="preserve"> на ограничување.</w:t>
      </w:r>
      <w:r w:rsidR="00905B57">
        <w:rPr>
          <w:rStyle w:val="FootnoteReference"/>
          <w:lang w:val="mk-MK"/>
        </w:rPr>
        <w:footnoteReference w:id="733"/>
      </w:r>
      <w:r w:rsidRPr="003435D9">
        <w:rPr>
          <w:lang w:val="mk-MK"/>
        </w:rPr>
        <w:t xml:space="preserve"> Аспирацијата на Македонија за интеграција во Европската унија ја позиционира домашната реформа на корпоративното управување во сложена мрежа на вертикални преговори </w:t>
      </w:r>
      <w:r w:rsidR="00116B60">
        <w:rPr>
          <w:lang w:val="mk-MK"/>
        </w:rPr>
        <w:t>по</w:t>
      </w:r>
      <w:r w:rsidRPr="003435D9">
        <w:rPr>
          <w:lang w:val="mk-MK"/>
        </w:rPr>
        <w:t>меѓу националните министерства, регулаторните тела и наднационалните мониторинг механизми. Секое ниво воведува нови точки на вето, додека потребата за усогласување со стандардите на ЕУ често ја трансформира реформата во перформативна вежба на формална усогласеност, наместо суштинска институционална реконфигурација. Дифузијата на надлежноста низ повеќе нивоа истовремено овозможува и блокира промени</w:t>
      </w:r>
      <w:r w:rsidR="00473CCD">
        <w:rPr>
          <w:lang w:val="mk-MK"/>
        </w:rPr>
        <w:t>, односно</w:t>
      </w:r>
      <w:r w:rsidRPr="003435D9">
        <w:rPr>
          <w:lang w:val="mk-MK"/>
        </w:rPr>
        <w:t xml:space="preserve"> таа отвора канали за учење и надворешен притисок, но ги умножува арените на контестација.</w:t>
      </w:r>
    </w:p>
    <w:p w14:paraId="547F95A3" w14:textId="76615CD3" w:rsidR="00473CCD" w:rsidRDefault="00473CCD" w:rsidP="0044118C">
      <w:pPr>
        <w:pStyle w:val="BodyText"/>
        <w:spacing w:before="240"/>
        <w:ind w:firstLine="720"/>
        <w:jc w:val="both"/>
        <w:rPr>
          <w:lang w:val="mk-MK"/>
        </w:rPr>
      </w:pPr>
      <w:r>
        <w:rPr>
          <w:lang w:val="mk-MK"/>
        </w:rPr>
        <w:lastRenderedPageBreak/>
        <w:t xml:space="preserve">Во прости зборови, тоа значи дека ЕУ за Македнија претставува сериозна можност, но носи и одреден сет на предизвици во полето на корпоративно управување за кое </w:t>
      </w:r>
      <w:r w:rsidR="00625694">
        <w:rPr>
          <w:lang w:val="mk-MK"/>
        </w:rPr>
        <w:t>фирмите се уште не с</w:t>
      </w:r>
      <w:r w:rsidR="00625694" w:rsidRPr="00097DCC">
        <w:rPr>
          <w:lang w:val="mk-MK"/>
        </w:rPr>
        <w:t>è</w:t>
      </w:r>
      <w:r w:rsidR="00625694">
        <w:rPr>
          <w:lang w:val="mk-MK"/>
        </w:rPr>
        <w:t xml:space="preserve"> спремни.</w:t>
      </w:r>
      <w:r w:rsidR="00905B57">
        <w:rPr>
          <w:rStyle w:val="FootnoteReference"/>
          <w:lang w:val="mk-MK"/>
        </w:rPr>
        <w:footnoteReference w:id="734"/>
      </w:r>
      <w:r w:rsidR="003A2EBC">
        <w:rPr>
          <w:lang w:val="mk-MK"/>
        </w:rPr>
        <w:t xml:space="preserve"> </w:t>
      </w:r>
      <w:r w:rsidR="00047F80" w:rsidRPr="00047F80">
        <w:rPr>
          <w:lang w:val="mk-MK"/>
        </w:rPr>
        <w:t xml:space="preserve">Анализата на можните реформи во полето на корпоративното управување </w:t>
      </w:r>
      <w:r w:rsidR="00047F80">
        <w:rPr>
          <w:lang w:val="mk-MK"/>
        </w:rPr>
        <w:t xml:space="preserve">укажува дека дел од тие предизвици </w:t>
      </w:r>
      <w:r w:rsidR="00047F80" w:rsidRPr="00047F80">
        <w:rPr>
          <w:lang w:val="mk-MK"/>
        </w:rPr>
        <w:t>мож</w:t>
      </w:r>
      <w:r w:rsidR="00047F80">
        <w:rPr>
          <w:lang w:val="mk-MK"/>
        </w:rPr>
        <w:t>ат</w:t>
      </w:r>
      <w:r w:rsidR="00047F80" w:rsidRPr="00047F80">
        <w:rPr>
          <w:lang w:val="mk-MK"/>
        </w:rPr>
        <w:t xml:space="preserve"> продуктивно да се поврз</w:t>
      </w:r>
      <w:r w:rsidR="00047F80">
        <w:rPr>
          <w:lang w:val="mk-MK"/>
        </w:rPr>
        <w:t>ат</w:t>
      </w:r>
      <w:r w:rsidR="00047F80" w:rsidRPr="00047F80">
        <w:rPr>
          <w:lang w:val="mk-MK"/>
        </w:rPr>
        <w:t xml:space="preserve"> со пошироката институционална литература за структурни реформи, особено со пристапите развиени во рамките на </w:t>
      </w:r>
      <w:r w:rsidR="00047F80" w:rsidRPr="00A15F77">
        <w:rPr>
          <w:i/>
          <w:iCs/>
          <w:lang w:val="mk-MK"/>
        </w:rPr>
        <w:t>actor-centred institutionalism</w:t>
      </w:r>
      <w:r w:rsidR="00047F80" w:rsidRPr="00047F80">
        <w:rPr>
          <w:lang w:val="mk-MK"/>
        </w:rPr>
        <w:t xml:space="preserve"> и политиката на постепена институционална промена. </w:t>
      </w:r>
      <w:r w:rsidR="00001479">
        <w:rPr>
          <w:lang w:val="mk-MK"/>
        </w:rPr>
        <w:t>Од ова истражување произлегува дека</w:t>
      </w:r>
      <w:r w:rsidR="00047F80" w:rsidRPr="00047F80">
        <w:rPr>
          <w:lang w:val="mk-MK"/>
        </w:rPr>
        <w:t xml:space="preserve"> реформите не се појавуваат како резултат на чисто нормативни избори или технички подобри решенија, туку како производ на интеракцијата помеѓу институционалните ограничувања, констелацијата на актери и повремените прозорци на можност што ја прават реформата политички и институционално изводлива. Овој пристап е развиен особено во работата на Anton Hemerijck и Fritz W. Scharpf, кои покажуваат дека структурните реформи најчесто се одвиваат како постепени и слоевити трансформации на постојните институции, а не како радикални прекини со постојниот модел на управување.</w:t>
      </w:r>
    </w:p>
    <w:p w14:paraId="6E17499A" w14:textId="4D621618" w:rsidR="007D3676" w:rsidRDefault="00B74F8C" w:rsidP="0044118C">
      <w:pPr>
        <w:pStyle w:val="BodyText"/>
        <w:spacing w:before="240"/>
        <w:ind w:firstLine="720"/>
        <w:jc w:val="both"/>
        <w:rPr>
          <w:lang w:val="mk-MK"/>
        </w:rPr>
      </w:pPr>
      <w:r w:rsidRPr="00B74F8C">
        <w:rPr>
          <w:lang w:val="mk-MK"/>
        </w:rPr>
        <w:t>Во македонскиот контекст, институционалните ограничувања што го обликуваат корпоративното управување се повеќеслојни и произлегуваат и од правната рамка и од структурата на економијата. Законот за трговски друштва обезбедува класичен модел на корпоративно управување кој е силно ориентиран кон сопственичката контрола и не содржи развиени механизми за економско учество на вработените, како што се</w:t>
      </w:r>
      <w:r w:rsidR="007D20C7">
        <w:rPr>
          <w:lang w:val="mk-MK"/>
        </w:rPr>
        <w:t xml:space="preserve"> на пример американските</w:t>
      </w:r>
      <w:r w:rsidRPr="00B74F8C">
        <w:rPr>
          <w:lang w:val="mk-MK"/>
        </w:rPr>
        <w:t xml:space="preserve"> employee share ownership, ESOP структури или посебни категории акции за вработени. Во исто време, економската структура на земјата е доминирана од мали и средни претпријатија, често организирани како семејни компании со висока концентрација на сопственост и силна идентификација на сопствениците со управувањето. Во таков институционален и економски контекст, класичните модели на работничка ко-детерминација, карактеристични за некои западноевропски економии, се тешко преносливи без значајна институционална адаптација. Овие структурни карактеристики создаваат силна зависност</w:t>
      </w:r>
      <w:r w:rsidR="003B15C0">
        <w:rPr>
          <w:lang w:val="mk-MK"/>
        </w:rPr>
        <w:t xml:space="preserve"> од волјата на неколку групи</w:t>
      </w:r>
      <w:r w:rsidRPr="00B74F8C">
        <w:rPr>
          <w:lang w:val="mk-MK"/>
        </w:rPr>
        <w:t xml:space="preserve"> и објаснуваат зошто корпоративното управување во Македонија се развива во рамки на релативно стабилен и сопственички ориентиран модел.</w:t>
      </w:r>
    </w:p>
    <w:p w14:paraId="4B1BF0E3" w14:textId="59D078B7" w:rsidR="005A7C78" w:rsidRDefault="00A82724" w:rsidP="0077727D">
      <w:pPr>
        <w:pStyle w:val="BodyText"/>
        <w:spacing w:before="240"/>
        <w:ind w:firstLine="720"/>
        <w:jc w:val="both"/>
        <w:rPr>
          <w:lang w:val="mk-MK"/>
        </w:rPr>
      </w:pPr>
      <w:r w:rsidRPr="00A82724">
        <w:rPr>
          <w:lang w:val="mk-MK"/>
        </w:rPr>
        <w:t>Сепак, процесот на европска интеграција создава специфичен прозорец на можност за постепена институционална промена. Европската унија функционира како нормативен и регулаторен притисок врз националните системи на корпоративно управување преку повеќе канали, вклучувајќи стандарди за корпоративна отчетност, транспарентност, одржливо управување и зајакнато внимание кон улогата на работната сила како релевантен корпоративен засегнат субјект. За македонските компании, особено оние кои се интегрирани во европските пазари или зависат од европски инвестиции, усогласувањето со овие стандарди постепено станува дел од институционалната средина во која тие функционираат. Во таа смисла, Европската унија истовремено претставува значајна можност за модернизација на корпоративното право и извор на притисок што открива институционални слабости во постојниот модел на корпоративно управување. Токму во вакви услови се отвора простор за постепени реформи кои не го рушат постојниот систем, туку го адаптираат преку воведување нови инструменти.</w:t>
      </w:r>
    </w:p>
    <w:p w14:paraId="70B16FF9" w14:textId="01A34F14" w:rsidR="00726AF4" w:rsidRPr="00726AF4" w:rsidRDefault="00025563" w:rsidP="00D53B05">
      <w:pPr>
        <w:pStyle w:val="BodyText"/>
        <w:spacing w:before="240"/>
        <w:ind w:firstLine="720"/>
        <w:jc w:val="both"/>
        <w:rPr>
          <w:lang w:val="en-US"/>
        </w:rPr>
      </w:pPr>
      <w:r w:rsidRPr="00025563">
        <w:rPr>
          <w:lang w:val="mk-MK"/>
        </w:rPr>
        <w:t xml:space="preserve">Реформата на корпоративното управување претставува своевидна лабораторија </w:t>
      </w:r>
      <w:r w:rsidRPr="00025563">
        <w:rPr>
          <w:lang w:val="mk-MK"/>
        </w:rPr>
        <w:lastRenderedPageBreak/>
        <w:t xml:space="preserve">за постепена, но сепак трансформативна институционална промена. Особено секторот на државни претпријатија го открива и опстојувањето на патно-зависните институционални решенија и можностите за креативна адаптација. Многу државни претпријатија во Македонија функционираат во рамки на застарени статутарни и законски модели кои ја раздвојуваат сопственоста од одговорноста, оставајќи простор за политизирани именувања и слаб надзор. Реформаторите често чекаат „критичен момент“, како што се криза или притисок поврзан со пристапувањето во Европската унија, за да наметнат нов систем. Сепак, искуството на координираните пазарни економии покажува дека значајна трансформација може да се постигне и преку поинкрементални механизми. Повојната еволуција на ко-детерминацијата во Германија, постепената редефиниција на трипартитното преговарање во Данска, како и слоевитото вградување на европски стандарди за корпоративно управување врз традициите на социјалистичко партиципативно управување во Словенија, покажуваат дека мали институционални поместувања, доколку се одржуваат во подолг временски период, можат суштински да ги преобликуваат односите </w:t>
      </w:r>
      <w:r w:rsidR="00B70AD5">
        <w:rPr>
          <w:lang w:val="mk-MK"/>
        </w:rPr>
        <w:t>по</w:t>
      </w:r>
      <w:r w:rsidRPr="00025563">
        <w:rPr>
          <w:lang w:val="mk-MK"/>
        </w:rPr>
        <w:t>меѓу капиталот, трудот и државата.</w:t>
      </w:r>
    </w:p>
    <w:p w14:paraId="130FAE2D" w14:textId="5CE4A6C6" w:rsidR="00D53B05" w:rsidRPr="00DF219F" w:rsidRDefault="00BA479C" w:rsidP="00DF219F">
      <w:pPr>
        <w:pStyle w:val="BodyText"/>
        <w:spacing w:before="240"/>
        <w:ind w:firstLine="720"/>
        <w:jc w:val="both"/>
        <w:rPr>
          <w:lang w:val="en-US"/>
        </w:rPr>
      </w:pPr>
      <w:r>
        <w:rPr>
          <w:lang w:val="mk-MK"/>
        </w:rPr>
        <w:t>Тригодишната</w:t>
      </w:r>
      <w:r w:rsidRPr="00BA479C">
        <w:rPr>
          <w:lang w:val="mk-MK"/>
        </w:rPr>
        <w:t xml:space="preserve"> реформска патека за Македонија затоа треба да се темели на пристапот на институционално „слоевито надградување“, а не на радикален прекин со постојниот систем.</w:t>
      </w:r>
      <w:r w:rsidR="008F7B80">
        <w:rPr>
          <w:rStyle w:val="FootnoteReference"/>
          <w:lang w:val="mk-MK"/>
        </w:rPr>
        <w:footnoteReference w:id="735"/>
      </w:r>
      <w:r w:rsidRPr="00BA479C">
        <w:rPr>
          <w:lang w:val="mk-MK"/>
        </w:rPr>
        <w:t xml:space="preserve"> Во првата година фокусот треба да биде ставен на ревизија на законската рамка за државните претпријатија, со цел воведување пилот-одредби за корпоративно управување инспирирани од стандардите на ОЕЦД и Европската унија. </w:t>
      </w:r>
    </w:p>
    <w:p w14:paraId="7781CC31" w14:textId="488CE489" w:rsidR="00443B16" w:rsidRDefault="00D53B05" w:rsidP="0077727D">
      <w:pPr>
        <w:pStyle w:val="BodyText"/>
        <w:spacing w:before="240"/>
        <w:ind w:firstLine="720"/>
        <w:jc w:val="both"/>
        <w:rPr>
          <w:lang w:val="mk-MK"/>
        </w:rPr>
      </w:pPr>
      <w:r>
        <w:rPr>
          <w:lang w:val="mk-MK"/>
        </w:rPr>
        <w:t>Ваквите</w:t>
      </w:r>
      <w:r w:rsidR="00BA479C" w:rsidRPr="00BA479C">
        <w:rPr>
          <w:lang w:val="mk-MK"/>
        </w:rPr>
        <w:t xml:space="preserve"> одредби би вклучувале задолжително учество на независни членови во управните или надзорните одбори, транспарентни процедури за избор на менаџментот, како и статутарни права на претставниците на вработените да учествуваат во надзорните функции. Во почетната фаза, овие решенија би се применувале на ограничен број стратешки претпријатија, со што би се создал демонстративен ефект и би се минимизирал институционалниот отпор кон реформите. Паралелно со тоа, меѓуресорска работна група, координирана од Министерството за економија и поддржана од експерти </w:t>
      </w:r>
      <w:r w:rsidR="00854505">
        <w:rPr>
          <w:lang w:val="mk-MK"/>
        </w:rPr>
        <w:t>како на пример</w:t>
      </w:r>
      <w:r w:rsidR="00BA479C" w:rsidRPr="00BA479C">
        <w:rPr>
          <w:lang w:val="mk-MK"/>
        </w:rPr>
        <w:t xml:space="preserve"> УНДП и Европската унија, би требало да ги мапира правните и административните неусогласености помеѓу Законот за трговските друштва, Законот за јавните претпријатија и </w:t>
      </w:r>
      <w:r w:rsidR="00265088">
        <w:rPr>
          <w:lang w:val="mk-MK"/>
        </w:rPr>
        <w:t>деловното</w:t>
      </w:r>
      <w:r w:rsidR="00BA479C" w:rsidRPr="00BA479C">
        <w:rPr>
          <w:lang w:val="mk-MK"/>
        </w:rPr>
        <w:t xml:space="preserve"> законодавство. Проценетите трошоци за оваа фаза, кои главно се однесуваат на техничка помош, подготовка на законски текстови и градење на институционални капацитети, не би надминале </w:t>
      </w:r>
      <w:r w:rsidR="00265088">
        <w:rPr>
          <w:lang w:val="mk-MK"/>
        </w:rPr>
        <w:t>50</w:t>
      </w:r>
      <w:r w:rsidR="00BA479C" w:rsidRPr="00BA479C">
        <w:rPr>
          <w:lang w:val="mk-MK"/>
        </w:rPr>
        <w:t>0.000 евра, при што значителен дел од средствата би можеле да се обезбедат преку ИПА-фондовите на Европската унија.</w:t>
      </w:r>
      <w:r w:rsidR="00A30EB0">
        <w:rPr>
          <w:rStyle w:val="FootnoteReference"/>
          <w:lang w:val="mk-MK"/>
        </w:rPr>
        <w:footnoteReference w:id="736"/>
      </w:r>
    </w:p>
    <w:p w14:paraId="1E197E78" w14:textId="6B0B7CA2" w:rsidR="008A704D" w:rsidRDefault="008A704D" w:rsidP="0077727D">
      <w:pPr>
        <w:pStyle w:val="BodyText"/>
        <w:spacing w:before="240"/>
        <w:ind w:firstLine="720"/>
        <w:jc w:val="both"/>
        <w:rPr>
          <w:lang w:val="en-US"/>
        </w:rPr>
      </w:pPr>
      <w:r w:rsidRPr="008A704D">
        <w:rPr>
          <w:lang w:val="mk-MK"/>
        </w:rPr>
        <w:t>Во втората година</w:t>
      </w:r>
      <w:r w:rsidR="00AB0D29">
        <w:rPr>
          <w:lang w:val="en-US"/>
        </w:rPr>
        <w:t>,</w:t>
      </w:r>
      <w:r w:rsidRPr="008A704D">
        <w:rPr>
          <w:lang w:val="mk-MK"/>
        </w:rPr>
        <w:t xml:space="preserve"> реформата треба да премине во фаза на институционална конверзија, односно постојните надзорни тела да се насочат кон спроведување на новите принципи. </w:t>
      </w:r>
      <w:r w:rsidR="00AA44E3">
        <w:rPr>
          <w:lang w:val="mk-MK"/>
        </w:rPr>
        <w:t>Тела на Организацијата на работодавачи</w:t>
      </w:r>
      <w:r w:rsidRPr="008A704D">
        <w:rPr>
          <w:lang w:val="mk-MK"/>
        </w:rPr>
        <w:t xml:space="preserve">, Државниот завод за ревизија и надлежните парламентарни комисии би можеле да добијат мандат да ја оценуваат усогласеноста со стандардите за корпоративно управување како дел од нивните редовни извештаи, без создавање нови бирократски структури. Мала регулаторна единица, со годишен буџет од приближно </w:t>
      </w:r>
      <w:r w:rsidR="00A30EB0">
        <w:rPr>
          <w:lang w:val="mk-MK"/>
        </w:rPr>
        <w:t>1</w:t>
      </w:r>
      <w:r w:rsidRPr="008A704D">
        <w:rPr>
          <w:lang w:val="mk-MK"/>
        </w:rPr>
        <w:t>00.000 евра, би можела да координира известување, обуки и евалуација на перформансите, со што формалната усогласеност постепено би се претворила во реална институционална одговорност. Вклучувањето на набљудувачи од граѓанското општество</w:t>
      </w:r>
      <w:r w:rsidR="008A6146">
        <w:rPr>
          <w:lang w:val="mk-MK"/>
        </w:rPr>
        <w:t>, синдикатите</w:t>
      </w:r>
      <w:r w:rsidRPr="008A704D">
        <w:rPr>
          <w:lang w:val="mk-MK"/>
        </w:rPr>
        <w:t xml:space="preserve"> и професионалните здруженија во овој процес би </w:t>
      </w:r>
      <w:r w:rsidRPr="008A704D">
        <w:rPr>
          <w:lang w:val="mk-MK"/>
        </w:rPr>
        <w:lastRenderedPageBreak/>
        <w:t>придонело за поголема транспарентност и поширок легитимитет.</w:t>
      </w:r>
      <w:r w:rsidR="00DF219F">
        <w:rPr>
          <w:lang w:val="en-US"/>
        </w:rPr>
        <w:t xml:space="preserve"> </w:t>
      </w:r>
      <w:r w:rsidR="00DF219F">
        <w:rPr>
          <w:lang w:val="mk-MK"/>
        </w:rPr>
        <w:t>Визуелно, тригодишниот план може да се претстави на следниот начин:</w:t>
      </w:r>
    </w:p>
    <w:p w14:paraId="2A00948C" w14:textId="64D17B8D" w:rsidR="00DF219F" w:rsidRPr="00DF219F" w:rsidRDefault="00C14748" w:rsidP="00DF219F">
      <w:pPr>
        <w:pStyle w:val="BodyText"/>
        <w:spacing w:before="240"/>
        <w:jc w:val="both"/>
        <w:rPr>
          <w:lang w:val="en-US"/>
        </w:rPr>
      </w:pPr>
      <w:r>
        <w:rPr>
          <w:noProof/>
        </w:rPr>
        <w:drawing>
          <wp:inline distT="0" distB="0" distL="0" distR="0" wp14:anchorId="569D5D24" wp14:editId="225E6E88">
            <wp:extent cx="5734050" cy="3738880"/>
            <wp:effectExtent l="0" t="0" r="0" b="0"/>
            <wp:docPr id="1260699102" name="Picture 3"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60699102" name="Picture 3" descr="A screenshot of a compu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3738880"/>
                    </a:xfrm>
                    <a:prstGeom prst="rect">
                      <a:avLst/>
                    </a:prstGeom>
                    <a:noFill/>
                    <a:ln>
                      <a:noFill/>
                    </a:ln>
                  </pic:spPr>
                </pic:pic>
              </a:graphicData>
            </a:graphic>
          </wp:inline>
        </w:drawing>
      </w:r>
    </w:p>
    <w:p w14:paraId="62B0EFC1" w14:textId="6212D7C8" w:rsidR="00DF219F" w:rsidRPr="00DF219F" w:rsidRDefault="00DF219F" w:rsidP="00DF219F">
      <w:pPr>
        <w:pStyle w:val="BodyText"/>
        <w:spacing w:before="240"/>
        <w:jc w:val="center"/>
        <w:rPr>
          <w:lang w:val="en-US"/>
        </w:rPr>
      </w:pPr>
      <w:r w:rsidRPr="00B34E9A">
        <w:rPr>
          <w:i/>
          <w:iCs/>
          <w:lang w:val="mk-MK"/>
        </w:rPr>
        <w:t>Извор: истражувањето и податоците изнесени во докторската дисертација</w:t>
      </w:r>
      <w:r>
        <w:rPr>
          <w:i/>
          <w:iCs/>
          <w:lang w:val="mk-MK"/>
        </w:rPr>
        <w:t>.</w:t>
      </w:r>
    </w:p>
    <w:p w14:paraId="655629B0" w14:textId="5D9FE0D3" w:rsidR="00BD52D4" w:rsidRPr="00BD52D4" w:rsidRDefault="00BD52D4" w:rsidP="0077727D">
      <w:pPr>
        <w:pStyle w:val="BodyText"/>
        <w:spacing w:before="240"/>
        <w:ind w:firstLine="720"/>
        <w:jc w:val="both"/>
        <w:rPr>
          <w:lang w:val="mk-MK"/>
        </w:rPr>
      </w:pPr>
      <w:r w:rsidRPr="00BD52D4">
        <w:rPr>
          <w:lang w:val="mk-MK"/>
        </w:rPr>
        <w:t xml:space="preserve">До третата година реформата треба да ја достигне вистинската фаза на институционално слоевито надградување. Врз основа на искуството од пилот-претпријатијата, истите принципи на корпоративно управување би можеле постепено да се прошируваат и во поширокиот јавен сектор, а потоа да послужат како модел и за мешани и приватни друштва со државно учество. Ревидирано поглавје во Законот за трговските друштва би можело да го кодифицира учеството на вработените и независниот надзор како општи принципи на корпоративното управување, со што земјата би се доближила до европските стандарди, задржувајќи ја притоа сопствената институционална автономија во спроведувањето на реформите. </w:t>
      </w:r>
      <w:r w:rsidR="005028C9">
        <w:rPr>
          <w:lang w:val="mk-MK"/>
        </w:rPr>
        <w:t xml:space="preserve">При тоа, во цлеиот процес можат да се разгледаат и можностите за доделување акции на вработените како хибриден модел. </w:t>
      </w:r>
      <w:r w:rsidRPr="00BD52D4">
        <w:rPr>
          <w:lang w:val="mk-MK"/>
        </w:rPr>
        <w:t>Ваквиот пристап избегнува политички дестабилизирачка замена на целиот систем и наместо тоа поттикнува постепена промена одвнатре, во рамките на постојната институционална структура. Вкупните трошоци за тр</w:t>
      </w:r>
      <w:r w:rsidR="00C44A39">
        <w:rPr>
          <w:lang w:val="mk-MK"/>
        </w:rPr>
        <w:t>и</w:t>
      </w:r>
      <w:r w:rsidRPr="00BD52D4">
        <w:rPr>
          <w:lang w:val="mk-MK"/>
        </w:rPr>
        <w:t>годишната реформа, проценети на околу еден милион евра, би биле занемарливи во споредба со потенцијалните долгорочни фискални заштеди и со придобивките во однос на инвестициската репутација и европската интеграција.</w:t>
      </w:r>
    </w:p>
    <w:p w14:paraId="0351A741" w14:textId="570FFF61" w:rsidR="000F7CAE" w:rsidRDefault="00F1294C" w:rsidP="0077727D">
      <w:pPr>
        <w:pStyle w:val="BodyText"/>
        <w:spacing w:before="240"/>
        <w:ind w:firstLine="720"/>
        <w:jc w:val="both"/>
        <w:rPr>
          <w:lang w:val="mk-MK"/>
        </w:rPr>
      </w:pPr>
      <w:r w:rsidRPr="00F1294C">
        <w:rPr>
          <w:lang w:val="mk-MK"/>
        </w:rPr>
        <w:t>Компаративното искуство дополнително ја потврдува изводливоста на ваквиот пристап. Реформата на пензискиот систем во Шведска по кризата во 1990-тите години комбинира</w:t>
      </w:r>
      <w:r w:rsidR="005B2156">
        <w:rPr>
          <w:lang w:val="mk-MK"/>
        </w:rPr>
        <w:t>ла</w:t>
      </w:r>
      <w:r w:rsidRPr="00F1294C">
        <w:rPr>
          <w:lang w:val="mk-MK"/>
        </w:rPr>
        <w:t xml:space="preserve"> институционално слоевито надградување и конверзија, вградувајќи пазарни механизми во солидаристичките институционални структури и на тој начин </w:t>
      </w:r>
      <w:r w:rsidRPr="00F1294C">
        <w:rPr>
          <w:lang w:val="mk-MK"/>
        </w:rPr>
        <w:lastRenderedPageBreak/>
        <w:t>зачувувајќи го колективниот легитимитет додека се зголемува</w:t>
      </w:r>
      <w:r w:rsidR="00BF1BE1">
        <w:rPr>
          <w:lang w:val="mk-MK"/>
        </w:rPr>
        <w:t>ла</w:t>
      </w:r>
      <w:r w:rsidRPr="00F1294C">
        <w:rPr>
          <w:lang w:val="mk-MK"/>
        </w:rPr>
        <w:t xml:space="preserve"> ефикасноста.</w:t>
      </w:r>
      <w:r w:rsidR="00BF1BE1">
        <w:rPr>
          <w:rStyle w:val="FootnoteReference"/>
          <w:lang w:val="mk-MK"/>
        </w:rPr>
        <w:footnoteReference w:id="737"/>
      </w:r>
      <w:r w:rsidRPr="00F1294C">
        <w:rPr>
          <w:lang w:val="mk-MK"/>
        </w:rPr>
        <w:t xml:space="preserve"> Постепената реформа на режимот на корпоративно управување во Италија од 2004 година, водена од таканаречениот </w:t>
      </w:r>
      <w:r w:rsidR="00BF1BE1">
        <w:rPr>
          <w:lang w:val="mk-MK"/>
        </w:rPr>
        <w:t xml:space="preserve">закон на </w:t>
      </w:r>
      <w:r w:rsidRPr="00F1294C">
        <w:rPr>
          <w:lang w:val="mk-MK"/>
        </w:rPr>
        <w:t>Драг</w:t>
      </w:r>
      <w:r w:rsidR="00BF1BE1">
        <w:rPr>
          <w:lang w:val="mk-MK"/>
        </w:rPr>
        <w:t>х</w:t>
      </w:r>
      <w:r w:rsidRPr="00F1294C">
        <w:rPr>
          <w:lang w:val="mk-MK"/>
        </w:rPr>
        <w:t>и, покажува како инкрементални промени во составот на одборите и правилата за обелоденување можат кумулативно да предизвикаат значајни промени во деловната култура.</w:t>
      </w:r>
      <w:r w:rsidR="009B5A18">
        <w:rPr>
          <w:rStyle w:val="FootnoteReference"/>
          <w:lang w:val="mk-MK"/>
        </w:rPr>
        <w:footnoteReference w:id="738"/>
      </w:r>
      <w:r w:rsidRPr="00F1294C">
        <w:rPr>
          <w:lang w:val="mk-MK"/>
        </w:rPr>
        <w:t xml:space="preserve"> Слично на тоа, фазната трансформација на секторот на државни претпријатија во Полска се темелеше на постепено надградување на корпоративни правила усогласени со Европската унија врз наследените социјалистички традиции на колективно управување, создавајќи постепена, но институционално стабилна промена без да предизвика силен политички отпор.</w:t>
      </w:r>
      <w:r w:rsidR="00161DA4">
        <w:rPr>
          <w:rStyle w:val="FootnoteReference"/>
          <w:lang w:val="mk-MK"/>
        </w:rPr>
        <w:footnoteReference w:id="739"/>
      </w:r>
    </w:p>
    <w:p w14:paraId="049359F8" w14:textId="72F079FD" w:rsidR="00774652" w:rsidRPr="009700AB" w:rsidRDefault="00D44FFE" w:rsidP="00774652">
      <w:pPr>
        <w:pStyle w:val="BodyText"/>
        <w:spacing w:before="240" w:after="240"/>
        <w:ind w:firstLine="720"/>
        <w:jc w:val="both"/>
        <w:rPr>
          <w:lang w:val="mk-MK"/>
        </w:rPr>
      </w:pPr>
      <w:r w:rsidRPr="00D44FFE">
        <w:rPr>
          <w:lang w:val="mk-MK"/>
        </w:rPr>
        <w:t>Овие примери покажуваат дека кога реформите се вградуваат во познати институционални обрасци, тие стануваат и политички одржливи и општествено легитимни. За</w:t>
      </w:r>
      <w:r>
        <w:rPr>
          <w:lang w:val="mk-MK"/>
        </w:rPr>
        <w:t xml:space="preserve">тоа, за </w:t>
      </w:r>
      <w:r w:rsidRPr="00D44FFE">
        <w:rPr>
          <w:lang w:val="mk-MK"/>
        </w:rPr>
        <w:t>Македонија предизвикот не е едноставно да се увезе готов модел на корпоративно управување, туку да се реинтерпретира сопствениот институционален репертоар. Долгата традиција на јавна сопственост, работнички совети и социјален дијалог не треба да се напушти, туку да се реактивира и адаптира, со цел да се изгради хибриден модел на управување во кој одговорноста, учеството и ефикасноста меѓусебно се зајакнуваат. Постепената реформа на корпоративното управување на тој начин би ја отелотворила пошироката логика на континуитет на јавните политики и институционална трансформација</w:t>
      </w:r>
      <w:r w:rsidR="00390E57">
        <w:rPr>
          <w:lang w:val="mk-MK"/>
        </w:rPr>
        <w:t xml:space="preserve"> што носи до</w:t>
      </w:r>
      <w:r w:rsidRPr="00D44FFE">
        <w:rPr>
          <w:lang w:val="mk-MK"/>
        </w:rPr>
        <w:t xml:space="preserve"> промена без радикален прекин</w:t>
      </w:r>
      <w:r w:rsidR="000473E9">
        <w:rPr>
          <w:lang w:val="mk-MK"/>
        </w:rPr>
        <w:t xml:space="preserve"> и</w:t>
      </w:r>
      <w:r w:rsidRPr="00D44FFE">
        <w:rPr>
          <w:lang w:val="mk-MK"/>
        </w:rPr>
        <w:t xml:space="preserve"> модернизација без губење на социјалната солидарност. Во прашање не е само усогласување со нормите на Европската унија, туку создавање подемократска и поотпорна политичка економија, способна да ја усогласи јавната сопственост со транспарентно управување, гласот на работниците со пазарната дисциплина и националната реформа со европската интеграција.</w:t>
      </w:r>
    </w:p>
    <w:p w14:paraId="36AFD92C" w14:textId="7ABFBDB9" w:rsidR="00A43B42" w:rsidRPr="00A05C5F" w:rsidRDefault="00A05C5F" w:rsidP="00A05C5F">
      <w:pPr>
        <w:pStyle w:val="Heading2"/>
        <w:numPr>
          <w:ilvl w:val="1"/>
          <w:numId w:val="14"/>
        </w:numPr>
        <w:rPr>
          <w:rFonts w:ascii="Times New Roman" w:hAnsi="Times New Roman" w:cs="Times New Roman"/>
          <w:b w:val="0"/>
          <w:bCs w:val="0"/>
          <w:color w:val="000000" w:themeColor="text1"/>
          <w:sz w:val="24"/>
          <w:szCs w:val="24"/>
        </w:rPr>
      </w:pPr>
      <w:r>
        <w:rPr>
          <w:rFonts w:ascii="Times New Roman" w:hAnsi="Times New Roman" w:cs="Times New Roman"/>
          <w:b w:val="0"/>
          <w:bCs w:val="0"/>
          <w:color w:val="000000" w:themeColor="text1"/>
          <w:sz w:val="24"/>
          <w:szCs w:val="24"/>
          <w:lang w:val="mk-MK"/>
        </w:rPr>
        <w:t xml:space="preserve"> </w:t>
      </w:r>
      <w:bookmarkStart w:id="84" w:name="_Toc230523937"/>
      <w:r w:rsidR="00774652" w:rsidRPr="00A05C5F">
        <w:rPr>
          <w:rFonts w:ascii="Times New Roman" w:hAnsi="Times New Roman" w:cs="Times New Roman"/>
          <w:b w:val="0"/>
          <w:bCs w:val="0"/>
          <w:color w:val="000000" w:themeColor="text1"/>
          <w:sz w:val="24"/>
          <w:szCs w:val="24"/>
          <w:lang w:val="mk-MK"/>
        </w:rPr>
        <w:t>Потенцијални проблеми на јавните политики и институционалните промени во македонскиот контекст</w:t>
      </w:r>
      <w:bookmarkEnd w:id="84"/>
    </w:p>
    <w:p w14:paraId="6A13EE0F" w14:textId="6C899223" w:rsidR="0077727D" w:rsidRDefault="0077727D" w:rsidP="0077727D">
      <w:pPr>
        <w:pStyle w:val="BodyText"/>
        <w:spacing w:before="240"/>
        <w:ind w:firstLine="720"/>
        <w:jc w:val="both"/>
        <w:rPr>
          <w:lang w:val="mk-MK"/>
        </w:rPr>
      </w:pPr>
      <w:r w:rsidRPr="0077727D">
        <w:rPr>
          <w:lang w:val="mk-MK"/>
        </w:rPr>
        <w:t>Современите демографски трендови во Европа и Централна Азија претставуваат значаен структурен предизвик за пазарите на труд и економскиот раст. Падот на наталитетот, стареењето на населението и миграционите текови водат кон постепено намалување на работната сила и зголемување на економската зависност на неактивното население од активните работници. Во вакви услови, меѓународните анализи нагласуваат дека одржливоста на економскиот раст ќе зависи од способноста на државите да ја зголемат продуктивноста и истовремено да го прошируваат учеството на различни категории работници во пазарот на труд.</w:t>
      </w:r>
      <w:r w:rsidR="00D17E05">
        <w:rPr>
          <w:rStyle w:val="FootnoteReference"/>
          <w:lang w:val="mk-MK"/>
        </w:rPr>
        <w:footnoteReference w:id="740"/>
      </w:r>
      <w:r w:rsidRPr="0077727D">
        <w:rPr>
          <w:lang w:val="mk-MK"/>
        </w:rPr>
        <w:t xml:space="preserve"> Посебно се потенцира потребата од политики што ќе ја зголемат инклузијата на недоволно застапени групи како што се младите, жените, постарите работници, лицата со попреченост, мигрантите и бегалците, како и од создавање институционална и деловна средина што ќе овозможи нивно ефективно учество во економските процеси.</w:t>
      </w:r>
    </w:p>
    <w:p w14:paraId="4BF78821" w14:textId="1A107CFB" w:rsidR="000F7CAE" w:rsidRDefault="000F7CAE" w:rsidP="0077727D">
      <w:pPr>
        <w:pStyle w:val="BodyText"/>
        <w:spacing w:before="240"/>
        <w:ind w:firstLine="720"/>
        <w:jc w:val="both"/>
        <w:rPr>
          <w:lang w:val="en-US"/>
        </w:rPr>
      </w:pPr>
      <w:r w:rsidRPr="000F7CAE">
        <w:rPr>
          <w:lang w:val="mk-MK"/>
        </w:rPr>
        <w:lastRenderedPageBreak/>
        <w:t>Паралелно со овие демографски предизвици, економските анализи за Македонија покажуваат дека растот на продуктивноста во последните две децении е релативно слаб и нестабилен. Според анализата на продуктивноста на фирмите, растот на продуктивноста на трудот во периодот 2001–2022 изнесува просечно околу 1.2% годишно, што претставува најниско ниво во споредба со повеќето земји во регионот на Европа и Централна Азија.</w:t>
      </w:r>
      <w:r w:rsidR="00F96E64">
        <w:rPr>
          <w:rStyle w:val="FootnoteReference"/>
          <w:lang w:val="mk-MK"/>
        </w:rPr>
        <w:footnoteReference w:id="741"/>
      </w:r>
      <w:r w:rsidRPr="000F7CAE">
        <w:rPr>
          <w:lang w:val="mk-MK"/>
        </w:rPr>
        <w:t xml:space="preserve"> Дополнително, анализите на вкупната факторска продуктивност укажуваат дека во одредени периоди е забележан дури и пад на ефикасноста во користењето на трудот и капиталот, што укажува дека економскиот раст во значителна мера се темели на акумулација на факторите на производство, а не на подобрување на нивната ефикасност. Значајните разлики во продуктивноста </w:t>
      </w:r>
      <w:r w:rsidR="007D76C1">
        <w:rPr>
          <w:lang w:val="mk-MK"/>
        </w:rPr>
        <w:t>по</w:t>
      </w:r>
      <w:r w:rsidRPr="000F7CAE">
        <w:rPr>
          <w:lang w:val="mk-MK"/>
        </w:rPr>
        <w:t>меѓу фирмите дополнително упатуваат на неефикасна алокација на ресурси и на структурни слабости во институционалната и деловната средина.</w:t>
      </w:r>
    </w:p>
    <w:p w14:paraId="75DB405D" w14:textId="41E7CD0F" w:rsidR="0077727D" w:rsidRDefault="00C22F0B" w:rsidP="006F0705">
      <w:pPr>
        <w:pStyle w:val="BodyText"/>
        <w:spacing w:before="240"/>
        <w:ind w:firstLine="720"/>
        <w:jc w:val="both"/>
        <w:rPr>
          <w:lang w:val="en-US"/>
        </w:rPr>
      </w:pPr>
      <w:r w:rsidRPr="00C22F0B">
        <w:rPr>
          <w:lang w:val="mk-MK"/>
        </w:rPr>
        <w:t>Теоријата на вето-актери на Цебелис и анализата на Шарпф за замката на заедничко одлучување дополнително појаснуваат зошто</w:t>
      </w:r>
      <w:r w:rsidR="00611C71">
        <w:rPr>
          <w:lang w:val="mk-MK"/>
        </w:rPr>
        <w:t xml:space="preserve"> изложеното за македонскиот контекст и</w:t>
      </w:r>
      <w:r w:rsidRPr="00C22F0B">
        <w:rPr>
          <w:lang w:val="mk-MK"/>
        </w:rPr>
        <w:t xml:space="preserve"> овие динамики често кулминираат во институционална инерција.</w:t>
      </w:r>
      <w:r w:rsidR="007C2E5D">
        <w:rPr>
          <w:rStyle w:val="FootnoteReference"/>
          <w:lang w:val="mk-MK"/>
        </w:rPr>
        <w:footnoteReference w:id="742"/>
      </w:r>
      <w:r w:rsidRPr="00C22F0B">
        <w:rPr>
          <w:lang w:val="mk-MK"/>
        </w:rPr>
        <w:t xml:space="preserve"> Во </w:t>
      </w:r>
      <w:r w:rsidR="007C2E5D">
        <w:rPr>
          <w:lang w:val="mk-MK"/>
        </w:rPr>
        <w:t>Македонија</w:t>
      </w:r>
      <w:r w:rsidRPr="00C22F0B">
        <w:rPr>
          <w:lang w:val="mk-MK"/>
        </w:rPr>
        <w:t>, моќта на вето не е концентрирана само во формалните институции, парламентот, регулаторн</w:t>
      </w:r>
      <w:r w:rsidR="008C73CA">
        <w:rPr>
          <w:lang w:val="mk-MK"/>
        </w:rPr>
        <w:t>ите</w:t>
      </w:r>
      <w:r w:rsidRPr="00C22F0B">
        <w:rPr>
          <w:lang w:val="mk-MK"/>
        </w:rPr>
        <w:t xml:space="preserve"> комиси</w:t>
      </w:r>
      <w:r w:rsidR="008C73CA">
        <w:rPr>
          <w:lang w:val="mk-MK"/>
        </w:rPr>
        <w:t>и</w:t>
      </w:r>
      <w:r w:rsidRPr="00C22F0B">
        <w:rPr>
          <w:lang w:val="mk-MK"/>
        </w:rPr>
        <w:t xml:space="preserve"> или судовите, туку и во неформални мрежи на влијание кои ја надминуваат правната архитектура. Реформата на корпоративното управување мора да помине низ комплексна мрежа на актери чии преференции често се неусогласени</w:t>
      </w:r>
      <w:r w:rsidR="008C73CA">
        <w:rPr>
          <w:lang w:val="mk-MK"/>
        </w:rPr>
        <w:t xml:space="preserve"> како на пример</w:t>
      </w:r>
      <w:r w:rsidRPr="00C22F0B">
        <w:rPr>
          <w:lang w:val="mk-MK"/>
        </w:rPr>
        <w:t xml:space="preserve"> политички партии што стравуваат од губење на клиентелистички позиции, инвеститори што ги бранат воспоставените привилегии и меѓународни актери кои ја нагласуваат процедур</w:t>
      </w:r>
      <w:r w:rsidR="008C73CA">
        <w:rPr>
          <w:lang w:val="mk-MK"/>
        </w:rPr>
        <w:t>ал</w:t>
      </w:r>
      <w:r w:rsidRPr="00C22F0B">
        <w:rPr>
          <w:lang w:val="mk-MK"/>
        </w:rPr>
        <w:t>ната усогласеност повеќе од локалната сопственост врз реформата.</w:t>
      </w:r>
      <w:r w:rsidR="008C73CA">
        <w:rPr>
          <w:rStyle w:val="FootnoteReference"/>
          <w:lang w:val="mk-MK"/>
        </w:rPr>
        <w:footnoteReference w:id="743"/>
      </w:r>
      <w:r w:rsidRPr="00C22F0B">
        <w:rPr>
          <w:lang w:val="mk-MK"/>
        </w:rPr>
        <w:t xml:space="preserve"> Колку е поголем бројот на вето-актери и колку е поголема нивната идеолошка дистанца, толку е потесен просторот за остварлива промена.</w:t>
      </w:r>
    </w:p>
    <w:p w14:paraId="60720E3D" w14:textId="77777777" w:rsidR="007F4CA4" w:rsidRDefault="006F0705" w:rsidP="00630667">
      <w:pPr>
        <w:pStyle w:val="BodyText"/>
        <w:spacing w:before="240" w:after="240"/>
        <w:ind w:firstLine="720"/>
        <w:jc w:val="both"/>
        <w:rPr>
          <w:lang w:val="en-US"/>
        </w:rPr>
      </w:pPr>
      <w:r w:rsidRPr="006F0705">
        <w:rPr>
          <w:lang w:val="mk-MK"/>
        </w:rPr>
        <w:t xml:space="preserve">Описот на Шарпф за системи на задолжително преговарање ја отсликува суштината на креирањето политики во вакви услови. Секој чекор кон реформа бара консензус </w:t>
      </w:r>
      <w:r w:rsidR="008641C1">
        <w:rPr>
          <w:lang w:val="mk-MK"/>
        </w:rPr>
        <w:t>по</w:t>
      </w:r>
      <w:r w:rsidRPr="006F0705">
        <w:rPr>
          <w:lang w:val="mk-MK"/>
        </w:rPr>
        <w:t>меѓу актери кои немаат ниту меѓусебна доверба ниту заедничка нормативна рамка. Резултатот често е минималистичка рамнотежа, регулаторен компромис кој ги задоволува процедур</w:t>
      </w:r>
      <w:r w:rsidR="00E47993">
        <w:rPr>
          <w:lang w:val="mk-MK"/>
        </w:rPr>
        <w:t>ал</w:t>
      </w:r>
      <w:r w:rsidRPr="006F0705">
        <w:rPr>
          <w:lang w:val="mk-MK"/>
        </w:rPr>
        <w:t>ните очекувања, но ги остава недопрени основните структури на моќ. Сепак, кризите повремено ја нарушуваат оваа рамнотежа и ги разоткриваат границите на чистата рационална преговарачка логика. Епизоди како иницијативите за корпоративна транспарентност поттикнати од ЕУ покажуваат дека под надворешен притисок преференците можат да се променат преку процеси на учење и редефинирање на интересите. Дури и во ригидни вето-конфигурации, актерите понекогаш препознаваат дека соработката носи повисоки придобивки од опструкцијата.</w:t>
      </w:r>
      <w:r w:rsidR="008C23B8">
        <w:rPr>
          <w:rStyle w:val="FootnoteReference"/>
          <w:lang w:val="mk-MK"/>
        </w:rPr>
        <w:footnoteReference w:id="744"/>
      </w:r>
      <w:r w:rsidR="00630667">
        <w:rPr>
          <w:lang w:val="mk-MK"/>
        </w:rPr>
        <w:t xml:space="preserve"> </w:t>
      </w:r>
    </w:p>
    <w:p w14:paraId="09BCEBAC" w14:textId="77777777" w:rsidR="002C3A71" w:rsidRDefault="0056433F" w:rsidP="00630667">
      <w:pPr>
        <w:pStyle w:val="BodyText"/>
        <w:spacing w:before="240" w:after="240"/>
        <w:ind w:firstLine="720"/>
        <w:jc w:val="both"/>
        <w:rPr>
          <w:lang w:val="mk-MK"/>
        </w:rPr>
      </w:pPr>
      <w:r w:rsidRPr="0056433F">
        <w:rPr>
          <w:lang w:val="mk-MK"/>
        </w:rPr>
        <w:t xml:space="preserve">Продолжувајќи ја </w:t>
      </w:r>
      <w:r>
        <w:rPr>
          <w:lang w:val="mk-MK"/>
        </w:rPr>
        <w:t>наведената</w:t>
      </w:r>
      <w:r w:rsidRPr="0056433F">
        <w:rPr>
          <w:lang w:val="mk-MK"/>
        </w:rPr>
        <w:t xml:space="preserve"> аргументативна линија, прашањето за јавната согласност претставува уште една клучна димензија во проценката на легитимноста на реформите. Јавната согласност се однесува на степенот до кој одредена реформска иницијатива се вклопува во стандардите на прифатливост во рамките на политичката заедница. Во демократските системи, легитимноста на владините политики во принцип </w:t>
      </w:r>
      <w:r w:rsidRPr="0056433F">
        <w:rPr>
          <w:lang w:val="mk-MK"/>
        </w:rPr>
        <w:lastRenderedPageBreak/>
        <w:t xml:space="preserve">произлегува од изборниот мандат. Дури и граѓаните кои не се согласуваат со конкретни реформи вообичаено ги прифаќаат нивните исходи доколку имаат чувство дека процедурите на демократско одлучување биле спроведени на соодветен начин и во согласност со владеењето на правото. </w:t>
      </w:r>
    </w:p>
    <w:p w14:paraId="2EAA9227" w14:textId="738C504F" w:rsidR="0096413B" w:rsidRDefault="0056433F" w:rsidP="00630667">
      <w:pPr>
        <w:pStyle w:val="BodyText"/>
        <w:spacing w:before="240" w:after="240"/>
        <w:ind w:firstLine="720"/>
        <w:jc w:val="both"/>
        <w:rPr>
          <w:lang w:val="mk-MK"/>
        </w:rPr>
      </w:pPr>
      <w:r w:rsidRPr="0056433F">
        <w:rPr>
          <w:lang w:val="mk-MK"/>
        </w:rPr>
        <w:t xml:space="preserve">Во таа смисла, јавната согласност претставува форма на проценка на јавните политики од страна на граѓаните врз основа на логиката на соодветност, при што политичките одлуки се споредуваат со нивните очекувања, вредности, емоции и нормативни претстави за општественото добро. Ваквата проценка е тесно поврзана и со културно релевантното прашање за разграничување на сферите на државната интервенција и индивидуалната одговорност. Бидејќи различни културни вредности лежат во основата на дефинирањето на секој јавнополитички проблем, систематското и критичко истражување на политичката култура претставува суштински елемент на современата анализа на јавни политики, како што нагласува </w:t>
      </w:r>
      <w:r w:rsidRPr="003E2D9E">
        <w:rPr>
          <w:i/>
          <w:iCs/>
          <w:lang w:val="mk-MK"/>
        </w:rPr>
        <w:t>Frank Fischer</w:t>
      </w:r>
      <w:r w:rsidRPr="0056433F">
        <w:rPr>
          <w:lang w:val="mk-MK"/>
        </w:rPr>
        <w:t>.</w:t>
      </w:r>
      <w:r w:rsidR="003E2D9E">
        <w:rPr>
          <w:rStyle w:val="FootnoteReference"/>
          <w:lang w:val="mk-MK"/>
        </w:rPr>
        <w:footnoteReference w:id="745"/>
      </w:r>
      <w:r w:rsidR="003E2D9E">
        <w:rPr>
          <w:lang w:val="mk-MK"/>
        </w:rPr>
        <w:t xml:space="preserve"> </w:t>
      </w:r>
      <w:r w:rsidR="0096413B">
        <w:rPr>
          <w:lang w:val="mk-MK"/>
        </w:rPr>
        <w:t xml:space="preserve">Визуелно, </w:t>
      </w:r>
      <w:r w:rsidR="0046720D">
        <w:rPr>
          <w:lang w:val="mk-MK"/>
        </w:rPr>
        <w:t>р</w:t>
      </w:r>
      <w:r w:rsidR="0046720D" w:rsidRPr="0046720D">
        <w:rPr>
          <w:lang w:val="mk-MK"/>
        </w:rPr>
        <w:t>аспределба</w:t>
      </w:r>
      <w:r w:rsidR="0046720D">
        <w:rPr>
          <w:lang w:val="mk-MK"/>
        </w:rPr>
        <w:t>та</w:t>
      </w:r>
      <w:r w:rsidR="0046720D" w:rsidRPr="0046720D">
        <w:rPr>
          <w:lang w:val="mk-MK"/>
        </w:rPr>
        <w:t xml:space="preserve"> на засегнати страни кои имаат капацитет да го блокираат реформскиот процес </w:t>
      </w:r>
      <w:r w:rsidR="0096413B">
        <w:rPr>
          <w:lang w:val="mk-MK"/>
        </w:rPr>
        <w:t>може да се претстави на следниот начин:</w:t>
      </w:r>
    </w:p>
    <w:p w14:paraId="60B5BC88" w14:textId="684CE88F" w:rsidR="0096413B" w:rsidRDefault="003E6738" w:rsidP="0096413B">
      <w:pPr>
        <w:pStyle w:val="BodyText"/>
        <w:spacing w:before="240"/>
        <w:jc w:val="center"/>
        <w:rPr>
          <w:lang w:val="en-US"/>
        </w:rPr>
      </w:pPr>
      <w:r>
        <w:rPr>
          <w:noProof/>
        </w:rPr>
        <w:drawing>
          <wp:inline distT="0" distB="0" distL="0" distR="0" wp14:anchorId="5FA106B1" wp14:editId="749F67CF">
            <wp:extent cx="5734050" cy="4164965"/>
            <wp:effectExtent l="0" t="0" r="0" b="0"/>
            <wp:docPr id="1327997516" name="Picture 2"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27997516" name="Picture 2" descr="A screenshot of a computer scree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4164965"/>
                    </a:xfrm>
                    <a:prstGeom prst="rect">
                      <a:avLst/>
                    </a:prstGeom>
                    <a:noFill/>
                    <a:ln>
                      <a:noFill/>
                    </a:ln>
                  </pic:spPr>
                </pic:pic>
              </a:graphicData>
            </a:graphic>
          </wp:inline>
        </w:drawing>
      </w:r>
    </w:p>
    <w:p w14:paraId="370E897E" w14:textId="77777777" w:rsidR="0096413B" w:rsidRPr="00D52194" w:rsidRDefault="0096413B" w:rsidP="0096413B">
      <w:pPr>
        <w:pStyle w:val="BodyText"/>
        <w:spacing w:before="240"/>
        <w:jc w:val="center"/>
        <w:rPr>
          <w:lang w:val="en-US"/>
        </w:rPr>
      </w:pPr>
      <w:r w:rsidRPr="00B34E9A">
        <w:rPr>
          <w:i/>
          <w:iCs/>
          <w:lang w:val="mk-MK"/>
        </w:rPr>
        <w:t>Извор: истражувањето и податоците изнесени во докторската дисертација</w:t>
      </w:r>
      <w:r>
        <w:rPr>
          <w:i/>
          <w:iCs/>
          <w:lang w:val="mk-MK"/>
        </w:rPr>
        <w:t>.</w:t>
      </w:r>
    </w:p>
    <w:p w14:paraId="61A4116B" w14:textId="6E3D1746" w:rsidR="00C049F0" w:rsidRDefault="0046720D" w:rsidP="0046720D">
      <w:pPr>
        <w:pStyle w:val="BodyText"/>
        <w:spacing w:before="240" w:after="240"/>
        <w:jc w:val="both"/>
        <w:rPr>
          <w:lang w:val="mk-MK"/>
        </w:rPr>
      </w:pPr>
      <w:r>
        <w:rPr>
          <w:lang w:val="mk-MK"/>
        </w:rPr>
        <w:tab/>
      </w:r>
      <w:r w:rsidR="00AE1041" w:rsidRPr="00AE1041">
        <w:rPr>
          <w:lang w:val="mk-MK"/>
        </w:rPr>
        <w:t>Компаративните истражувања на јавното мислење покажуваат дека процедур</w:t>
      </w:r>
      <w:r w:rsidR="00774C2E">
        <w:rPr>
          <w:lang w:val="mk-MK"/>
        </w:rPr>
        <w:t>ал</w:t>
      </w:r>
      <w:r w:rsidR="00AE1041" w:rsidRPr="00AE1041">
        <w:rPr>
          <w:lang w:val="mk-MK"/>
        </w:rPr>
        <w:t xml:space="preserve">ниот идеал на демократско одлучување и суштинската амбиција за живот во социјална држава уживаат речиси универзална поддршка. Демократското одлучување им дава на граѓаните чувство дека нивните ставови се земаат предвид, со што се </w:t>
      </w:r>
      <w:r w:rsidR="00AE1041" w:rsidRPr="00AE1041">
        <w:rPr>
          <w:lang w:val="mk-MK"/>
        </w:rPr>
        <w:lastRenderedPageBreak/>
        <w:t>зајакнува легитимноста на владините политики и општата доверба во политичкиот систем. Сепак, поновите анализи покажуваат дека односот помеѓу граѓаните и нивните влади значително се трансформирал во последните децении. Граѓаните стануваат сè покритични кон владините институции, што создава одреден парадокс: иако демократските принципи на влезната страна на политичкиот процес се широко поддржани, довербата во способноста на владите да решаваат конкретни општествени проблеми на излезната страна е значително послаба.</w:t>
      </w:r>
      <w:r w:rsidR="00C049F0">
        <w:rPr>
          <w:rStyle w:val="FootnoteReference"/>
          <w:lang w:val="mk-MK"/>
        </w:rPr>
        <w:footnoteReference w:id="746"/>
      </w:r>
      <w:r w:rsidR="00AE1041" w:rsidRPr="00AE1041">
        <w:rPr>
          <w:lang w:val="mk-MK"/>
        </w:rPr>
        <w:t xml:space="preserve"> </w:t>
      </w:r>
    </w:p>
    <w:p w14:paraId="4B5FA0D9" w14:textId="472E98AD" w:rsidR="0096413B" w:rsidRDefault="00AE1041" w:rsidP="00C049F0">
      <w:pPr>
        <w:pStyle w:val="BodyText"/>
        <w:spacing w:before="240" w:after="240"/>
        <w:ind w:firstLine="720"/>
        <w:jc w:val="both"/>
        <w:rPr>
          <w:lang w:val="mk-MK"/>
        </w:rPr>
      </w:pPr>
      <w:r w:rsidRPr="00AE1041">
        <w:rPr>
          <w:lang w:val="mk-MK"/>
        </w:rPr>
        <w:t>Оваа тензија помеѓу високиот степен на поддршка за демократското владеење и амбивалентноста во однос на владините резултати делумно е поттикната од медиумската динамика и политичката мобилизација околу теми со силна емоционална резонанца, како што се миграцијата, инфлацијата или војната во Украина. Во таков контекст, политичарите често се принудени брзо да заземат јавни позиции за чувствителни прашања со цел да ја зајакнат сопствената политичка кредибилност. Додека политичките актери се натпреваруваат за медиумско внимание, јавната администрација истовремено управува со комплексни институционални системи во области како здравството и образованието, што често создава перцепција кај граѓаните дека структурните реформи се одвиваат без доволна јавна контрола или разбирање.</w:t>
      </w:r>
    </w:p>
    <w:p w14:paraId="4CF6CDFC" w14:textId="77777777" w:rsidR="00E50246" w:rsidRDefault="008F0B46" w:rsidP="00C049F0">
      <w:pPr>
        <w:pStyle w:val="BodyText"/>
        <w:spacing w:before="240" w:after="240"/>
        <w:ind w:firstLine="720"/>
        <w:jc w:val="both"/>
        <w:rPr>
          <w:lang w:val="mk-MK"/>
        </w:rPr>
      </w:pPr>
      <w:r w:rsidRPr="008F0B46">
        <w:rPr>
          <w:lang w:val="mk-MK"/>
        </w:rPr>
        <w:t xml:space="preserve">Покрај јавната согласност, последната клучна димензија во </w:t>
      </w:r>
      <w:r>
        <w:rPr>
          <w:lang w:val="mk-MK"/>
        </w:rPr>
        <w:t>оваа</w:t>
      </w:r>
      <w:r w:rsidRPr="008F0B46">
        <w:rPr>
          <w:lang w:val="mk-MK"/>
        </w:rPr>
        <w:t xml:space="preserve"> аналитичка рамка се однесува на уставната валидност на политиките. Уставната валидност ги дефинира границите на дискрецијата на владата во рамките на владеењето на правото. Уставните гаранции обезбедуваат државната власт да функционира во институционална рамка која има за цел да ги заштити индивидуалните права и да воспостави механизми на контрола врз извршната власт. Основниот принцип дека секое вршење на јавна власт мора да биде законито има за цел да спречи дискриминација и произволност во однос на поединци или општествени групи. </w:t>
      </w:r>
    </w:p>
    <w:p w14:paraId="52CBB934" w14:textId="44E3789F" w:rsidR="008F0B46" w:rsidRDefault="008F0B46" w:rsidP="00C049F0">
      <w:pPr>
        <w:pStyle w:val="BodyText"/>
        <w:spacing w:before="240" w:after="240"/>
        <w:ind w:firstLine="720"/>
        <w:jc w:val="both"/>
        <w:rPr>
          <w:lang w:val="mk-MK"/>
        </w:rPr>
      </w:pPr>
      <w:r w:rsidRPr="008F0B46">
        <w:rPr>
          <w:lang w:val="mk-MK"/>
        </w:rPr>
        <w:t>Овие гаранции опфаќаат фундаментални права како правото на живот, слобода и сопственост, како и слободата на изразување, вероисповед, здружување и јавно собирање. Дополнителна институционална контрола врз власта претставуваат слободните и истражувачки медиуми, додека независното судство игра централна улога во обезбедувањето правна заштита во случај на повреда на овие права. Сепак, постои важна институционална асиметрија</w:t>
      </w:r>
      <w:r w:rsidR="00E50246">
        <w:rPr>
          <w:lang w:val="mk-MK"/>
        </w:rPr>
        <w:t xml:space="preserve"> во поглед на тоа што</w:t>
      </w:r>
      <w:r w:rsidRPr="008F0B46">
        <w:rPr>
          <w:lang w:val="mk-MK"/>
        </w:rPr>
        <w:t xml:space="preserve"> судовите се обврзани детално да ги образложат правните и уставните аргументи кои ги земаат предвид при толкувањето на правото, додека повеќето административни актери не се подеднакво обврзани експлицитно да го објаснат начинот на кој ја користат својата дискреција при примената на законските норми, освен доколку нивните одлуки не бидат предмет на судска ревизија, како што забележуваат </w:t>
      </w:r>
      <w:r w:rsidRPr="001D013B">
        <w:rPr>
          <w:lang w:val="mk-MK"/>
        </w:rPr>
        <w:t>Maurizio Ferrera</w:t>
      </w:r>
      <w:r w:rsidRPr="008F0B46">
        <w:rPr>
          <w:lang w:val="mk-MK"/>
        </w:rPr>
        <w:t xml:space="preserve"> и Adrienne Héritier.</w:t>
      </w:r>
    </w:p>
    <w:p w14:paraId="44CD0C4E" w14:textId="033EAA15" w:rsidR="001D013B" w:rsidRDefault="001D013B" w:rsidP="00C049F0">
      <w:pPr>
        <w:pStyle w:val="BodyText"/>
        <w:spacing w:before="240" w:after="240"/>
        <w:ind w:firstLine="720"/>
        <w:jc w:val="both"/>
        <w:rPr>
          <w:lang w:val="mk-MK"/>
        </w:rPr>
      </w:pPr>
      <w:r w:rsidRPr="001D013B">
        <w:rPr>
          <w:lang w:val="mk-MK"/>
        </w:rPr>
        <w:t xml:space="preserve">Клучната разлика помеѓу уставната валидност и професионалниот интегритет лежи во фактот </w:t>
      </w:r>
      <w:r>
        <w:rPr>
          <w:lang w:val="mk-MK"/>
        </w:rPr>
        <w:t>што</w:t>
      </w:r>
      <w:r w:rsidRPr="001D013B">
        <w:rPr>
          <w:lang w:val="mk-MK"/>
        </w:rPr>
        <w:t xml:space="preserve"> уставната валидност се однесува на компатибилноста на политиката со уставните норми и формалните правни правила. Поради ова, уставот претставува „повисоко право“ кое не може лесно да се измени преку стандардните демократски процедури, туку обично бара квалификувано мнозинство или потврда преку референдум. Современите устави ги утврдуваат темелните принципи на државата и правниот поредок, ги дефинираат институционалните структури и процедурите на владеење и истовремено им гарантираат основни права на граѓаните. Токму затоа </w:t>
      </w:r>
      <w:r w:rsidRPr="001D013B">
        <w:rPr>
          <w:lang w:val="mk-MK"/>
        </w:rPr>
        <w:lastRenderedPageBreak/>
        <w:t>аргументите за уставна валидност имплицираат и можност за правна санкција, институционална контрола и судска ревизија.</w:t>
      </w:r>
    </w:p>
    <w:p w14:paraId="35FA755D" w14:textId="664DEE6C" w:rsidR="00C1739A" w:rsidRDefault="00C1739A" w:rsidP="00C049F0">
      <w:pPr>
        <w:pStyle w:val="BodyText"/>
        <w:spacing w:before="240" w:after="240"/>
        <w:ind w:firstLine="720"/>
        <w:jc w:val="both"/>
        <w:rPr>
          <w:lang w:val="mk-MK"/>
        </w:rPr>
      </w:pPr>
      <w:r w:rsidRPr="00C1739A">
        <w:rPr>
          <w:lang w:val="mk-MK"/>
        </w:rPr>
        <w:t>Враќајќи се повторно на аргументативната перспектива на Giandomenico Majone и Craig Parsons, шесте димензии</w:t>
      </w:r>
      <w:r w:rsidR="002E1700">
        <w:rPr>
          <w:lang w:val="mk-MK"/>
        </w:rPr>
        <w:t xml:space="preserve">, кои ќе бидат опфатени подолу, </w:t>
      </w:r>
      <w:r w:rsidRPr="00C1739A">
        <w:rPr>
          <w:lang w:val="mk-MK"/>
        </w:rPr>
        <w:t>не треба да се разберат како технички контролни точки во процесот на реформите. Наместо тоа, тие претставуваат институционално различни аргументативни арени во кои реформаторите настојуваат да ги легитимираат, оправдаат и преговараат предложените промени. Во таа смисла, предложената аналитичка евристика претставува моќна алатка за анализирање на вгнездената природа на структурните реформи во зрелите социјални држави.</w:t>
      </w:r>
    </w:p>
    <w:p w14:paraId="272AC02C" w14:textId="5F3371DE" w:rsidR="00032948" w:rsidRDefault="00032948" w:rsidP="00C049F0">
      <w:pPr>
        <w:pStyle w:val="BodyText"/>
        <w:spacing w:before="240" w:after="240"/>
        <w:ind w:firstLine="720"/>
        <w:jc w:val="both"/>
        <w:rPr>
          <w:lang w:val="mk-MK"/>
        </w:rPr>
      </w:pPr>
      <w:r w:rsidRPr="00032948">
        <w:rPr>
          <w:lang w:val="mk-MK"/>
        </w:rPr>
        <w:t>Илустрацијата на оваа аналитичка рамка може јасно да се види во трансформацијата на континенталните социјални држави кон т.н. социјално-инвестициски модел. До крајот на 1990-тите и почетокот на 2000-тите години, би</w:t>
      </w:r>
      <w:r w:rsidR="00A743E9">
        <w:rPr>
          <w:lang w:val="mk-MK"/>
        </w:rPr>
        <w:t>з</w:t>
      </w:r>
      <w:r w:rsidRPr="00032948">
        <w:rPr>
          <w:lang w:val="mk-MK"/>
        </w:rPr>
        <w:t>марковскиот модел на социјална држава често беше опишуван како особено отпорен на реформи, како што истакнуваат Gøsta Esping-Andersen и Fritz W. Scharpf заедно со Vivien A. Schmidt. Сепак, и покрај оваа репутација на институционална инерција, социјалните држави на Германија и Холандија претрпеа длабоки трансформации, преминувајќи од пасивен систем заснован на моделот на машки хранител на семејството и силно заштитени инсајдери кон поактивен модел кој го поттикнува учеството на двајцата партнери на пазарот на труд и се стреми кон поголема родова рамнотежа.</w:t>
      </w:r>
    </w:p>
    <w:p w14:paraId="605286F6" w14:textId="77777777" w:rsidR="00CD181D" w:rsidRDefault="00E53FE7" w:rsidP="00C049F0">
      <w:pPr>
        <w:pStyle w:val="BodyText"/>
        <w:spacing w:before="240" w:after="240"/>
        <w:ind w:firstLine="720"/>
        <w:jc w:val="both"/>
        <w:rPr>
          <w:lang w:val="mk-MK"/>
        </w:rPr>
      </w:pPr>
      <w:r w:rsidRPr="00E53FE7">
        <w:rPr>
          <w:lang w:val="mk-MK"/>
        </w:rPr>
        <w:t xml:space="preserve">Овие промени во голема мера беа поттикнати од економските и демографските притисоци кои се појавија во текот на деиндустријализацијата од 1980-тите години. Континенталните социјални држави првично реагираа со стратегии за намалување на понудата на труд, што во одреден момент ја поткопа финансиската основа на системите за социјално осигурување. Во Холандија, овој проблем беше рано препознаен како „социјална држава без работа“, што отвори простор за структурни реформи. Клучна пресвртница претставуваше договорот познат како </w:t>
      </w:r>
      <w:r w:rsidRPr="00CD181D">
        <w:rPr>
          <w:i/>
          <w:iCs/>
          <w:lang w:val="mk-MK"/>
        </w:rPr>
        <w:t>Wassenaar Arrangement</w:t>
      </w:r>
      <w:r w:rsidRPr="00E53FE7">
        <w:rPr>
          <w:lang w:val="mk-MK"/>
        </w:rPr>
        <w:t xml:space="preserve"> од 1982 година, склучен </w:t>
      </w:r>
      <w:r w:rsidR="00CD181D">
        <w:rPr>
          <w:lang w:val="mk-MK"/>
        </w:rPr>
        <w:t>по</w:t>
      </w:r>
      <w:r w:rsidRPr="00E53FE7">
        <w:rPr>
          <w:lang w:val="mk-MK"/>
        </w:rPr>
        <w:t xml:space="preserve">меѓу социјалните партнери и централно-десничарската влада на христијанските демократи и либералите. </w:t>
      </w:r>
    </w:p>
    <w:p w14:paraId="5AA29D9D" w14:textId="33D7446D" w:rsidR="00E53FE7" w:rsidRDefault="00E53FE7" w:rsidP="00C049F0">
      <w:pPr>
        <w:pStyle w:val="BodyText"/>
        <w:spacing w:before="240" w:after="240"/>
        <w:ind w:firstLine="720"/>
        <w:jc w:val="both"/>
        <w:rPr>
          <w:lang w:val="mk-MK"/>
        </w:rPr>
      </w:pPr>
      <w:r w:rsidRPr="00E53FE7">
        <w:rPr>
          <w:lang w:val="mk-MK"/>
        </w:rPr>
        <w:t>Овој договор се темелеше на умерување на платите, намалување на социјалните трансфери и либерализација на пазарот на труд. Во следните години холандската економија доживеа значителен раст на вработеноста, при што особено брзо се зголеми учеството на жените на пазарот на труд. Токму овој процес придонесе за постепена нормативна промена во рамките на политичките елити, што јасно се одрази во изјавата на тогашниот премиер Ruud Lubbers дека променетата позиција на жените во општеството се изразува преку зголемената желба за учество во платена работа и економска независност.</w:t>
      </w:r>
      <w:r w:rsidR="004F5DE4">
        <w:rPr>
          <w:rStyle w:val="FootnoteReference"/>
          <w:lang w:val="mk-MK"/>
        </w:rPr>
        <w:footnoteReference w:id="747"/>
      </w:r>
    </w:p>
    <w:p w14:paraId="2B04352D" w14:textId="7C8AE8D2" w:rsidR="007353CA" w:rsidRPr="0046720D" w:rsidRDefault="001D467B" w:rsidP="007353CA">
      <w:pPr>
        <w:pStyle w:val="BodyText"/>
        <w:spacing w:before="240" w:after="240"/>
        <w:ind w:firstLine="720"/>
        <w:jc w:val="both"/>
        <w:rPr>
          <w:lang w:val="mk-MK"/>
        </w:rPr>
      </w:pPr>
      <w:r w:rsidRPr="001D467B">
        <w:rPr>
          <w:lang w:val="mk-MK"/>
        </w:rPr>
        <w:t xml:space="preserve">Овој нормативен пресврт отвори пат за понатамошни реформи во насока на социјални инвестиции, особено преку политики насочени кон активирање на пазарот на труд и подобрување на рамнотежата помеѓу работата и семејниот живот. Слични трансформации, иако со различна динамика и институционална логика, подоцна се случија и во Германија. Во двата случаи, реформите не произлегоа од еднократна политичка одлука, туку од комплексна интеракција на аргументи за ефикасност, политичка изводливост, административен капацитет, јавна согласност и уставна </w:t>
      </w:r>
      <w:r w:rsidRPr="001D467B">
        <w:rPr>
          <w:lang w:val="mk-MK"/>
        </w:rPr>
        <w:lastRenderedPageBreak/>
        <w:t>валидност</w:t>
      </w:r>
      <w:r w:rsidR="007353CA">
        <w:rPr>
          <w:lang w:val="mk-MK"/>
        </w:rPr>
        <w:t>,</w:t>
      </w:r>
      <w:r w:rsidRPr="001D467B">
        <w:rPr>
          <w:lang w:val="mk-MK"/>
        </w:rPr>
        <w:t xml:space="preserve"> токму оние димензии кои ги нагласува аргументативниот пристап кон анализата на јавните политики.</w:t>
      </w:r>
    </w:p>
    <w:p w14:paraId="00D416B8" w14:textId="1BE8DBF4" w:rsidR="00976A2C" w:rsidRPr="00A05C5F" w:rsidRDefault="00A05C5F" w:rsidP="00A05C5F">
      <w:pPr>
        <w:pStyle w:val="Heading2"/>
        <w:numPr>
          <w:ilvl w:val="1"/>
          <w:numId w:val="14"/>
        </w:numPr>
        <w:spacing w:before="90"/>
        <w:jc w:val="both"/>
        <w:rPr>
          <w:rFonts w:ascii="Times New Roman" w:hAnsi="Times New Roman" w:cs="Times New Roman"/>
          <w:b w:val="0"/>
          <w:bCs w:val="0"/>
          <w:sz w:val="24"/>
          <w:szCs w:val="24"/>
          <w:lang w:val="bg-BG"/>
        </w:rPr>
      </w:pPr>
      <w:r>
        <w:rPr>
          <w:lang w:val="mk-MK"/>
        </w:rPr>
        <w:t xml:space="preserve"> </w:t>
      </w:r>
      <w:bookmarkStart w:id="85" w:name="_Toc230523938"/>
      <w:r w:rsidR="00F8119E" w:rsidRPr="00A05C5F">
        <w:rPr>
          <w:rFonts w:ascii="Times New Roman" w:hAnsi="Times New Roman" w:cs="Times New Roman"/>
          <w:b w:val="0"/>
          <w:bCs w:val="0"/>
          <w:color w:val="000000" w:themeColor="text1"/>
          <w:sz w:val="24"/>
          <w:szCs w:val="24"/>
          <w:lang w:val="mk-MK"/>
        </w:rPr>
        <w:t xml:space="preserve">Соодветни форми за </w:t>
      </w:r>
      <w:r w:rsidR="00344A1F" w:rsidRPr="00A05C5F">
        <w:rPr>
          <w:rFonts w:ascii="Times New Roman" w:hAnsi="Times New Roman" w:cs="Times New Roman"/>
          <w:b w:val="0"/>
          <w:bCs w:val="0"/>
          <w:color w:val="000000" w:themeColor="text1"/>
          <w:sz w:val="24"/>
          <w:szCs w:val="24"/>
          <w:lang w:val="mk-MK"/>
        </w:rPr>
        <w:t>учество во однос на големината и формата на друштвото</w:t>
      </w:r>
      <w:bookmarkEnd w:id="85"/>
    </w:p>
    <w:p w14:paraId="7EAF1AB1" w14:textId="332F1334" w:rsidR="00465BDE" w:rsidRDefault="00624CD6" w:rsidP="00AF1304">
      <w:pPr>
        <w:pStyle w:val="BodyText"/>
        <w:spacing w:before="240"/>
        <w:ind w:firstLine="720"/>
        <w:jc w:val="both"/>
        <w:rPr>
          <w:lang w:val="mk-MK"/>
        </w:rPr>
      </w:pPr>
      <w:r w:rsidRPr="00624CD6">
        <w:rPr>
          <w:lang w:val="mk-MK"/>
        </w:rPr>
        <w:t xml:space="preserve">Динамиката на </w:t>
      </w:r>
      <w:r w:rsidR="00344A1F">
        <w:rPr>
          <w:lang w:val="mk-MK"/>
        </w:rPr>
        <w:t>наведените</w:t>
      </w:r>
      <w:r w:rsidRPr="00624CD6">
        <w:rPr>
          <w:lang w:val="mk-MK"/>
        </w:rPr>
        <w:t xml:space="preserve"> реформи</w:t>
      </w:r>
      <w:r>
        <w:rPr>
          <w:lang w:val="mk-MK"/>
        </w:rPr>
        <w:t xml:space="preserve"> во Законот за трговските друштва на Македонија</w:t>
      </w:r>
      <w:r w:rsidRPr="00624CD6">
        <w:rPr>
          <w:lang w:val="mk-MK"/>
        </w:rPr>
        <w:t xml:space="preserve"> во голема мера зависи од геометријата на актерите што учествуваат во процесот на институционална промена. Владата има интерес да поддржи одредени реформи во корпоративното управување како дел од пошироката агенда на европска интеграција и модернизација на економијата</w:t>
      </w:r>
      <w:r w:rsidR="0017099D">
        <w:rPr>
          <w:lang w:val="mk-MK"/>
        </w:rPr>
        <w:t>, но и како директна придобивка за</w:t>
      </w:r>
      <w:r w:rsidR="00B0066A">
        <w:rPr>
          <w:lang w:val="mk-MK"/>
        </w:rPr>
        <w:t xml:space="preserve"> вработените/гласачите</w:t>
      </w:r>
      <w:r w:rsidRPr="00624CD6">
        <w:rPr>
          <w:lang w:val="mk-MK"/>
        </w:rPr>
        <w:t xml:space="preserve">. Сопствениците на компании, од друга страна, често се претпазливи кон модели кои би можеле да доведат до поделба на управувачката контрола или до зголемена институционализација на работничкото влијание. </w:t>
      </w:r>
      <w:r w:rsidR="00AF1304">
        <w:rPr>
          <w:lang w:val="mk-MK"/>
        </w:rPr>
        <w:t>О</w:t>
      </w:r>
      <w:r w:rsidR="00465BDE" w:rsidRPr="00465BDE">
        <w:rPr>
          <w:lang w:val="mk-MK"/>
        </w:rPr>
        <w:t>ваа претпазливост не произлегува толку од информирана критика на конкретни модели, колку од општа недоверба кон промени што би можеле да ја нарушат постојната распределба на моќта во рамките на компанијата. Перцепцијата дека „секоја промена е ризик“ често се надоврзува со отпор кон транспарентноста, особено во делот на финансиските информации и надоместоците, што дополнително ја ограничува можноста за развој на инклузивни управувачки практики.</w:t>
      </w:r>
    </w:p>
    <w:p w14:paraId="4D417322" w14:textId="77777777" w:rsidR="004F000E" w:rsidRDefault="00AF1304" w:rsidP="00AF1304">
      <w:pPr>
        <w:pStyle w:val="BodyText"/>
        <w:spacing w:before="240"/>
        <w:ind w:firstLine="720"/>
        <w:jc w:val="both"/>
        <w:rPr>
          <w:lang w:val="mk-MK"/>
        </w:rPr>
      </w:pPr>
      <w:r w:rsidRPr="00AF1304">
        <w:rPr>
          <w:lang w:val="mk-MK"/>
        </w:rPr>
        <w:t>Емпириските наоди од истражувањето го потврдуваат овој образец. Речиси сите интервјуирани компании инсистираа на анонимност, при што значаен дел од нив експлицитно изразија страв дека поголема транспарентност околу примањата би можела да предизвика внатрешни тензии со вработените. Овие ставови укажуваат на длабоко вкоренета недоверба и недостиг од развиени механизми за социјален дијалог, наместо на рационална проценка на ризиците поврзани со конкретни модели на работничко учество.</w:t>
      </w:r>
      <w:r w:rsidR="007212CC">
        <w:rPr>
          <w:lang w:val="mk-MK"/>
        </w:rPr>
        <w:t xml:space="preserve"> </w:t>
      </w:r>
      <w:r w:rsidR="00F23AE5" w:rsidRPr="00F23AE5">
        <w:rPr>
          <w:lang w:val="mk-MK"/>
        </w:rPr>
        <w:t xml:space="preserve">Дополнително, забележливо е дека почетниот отпор често се темели на недоволно разбирање на самите модели на корпоративно управување со учество на вработените. Во услови на ваков информативен јаз, реакцијата „по дифолт“ е негативна. </w:t>
      </w:r>
    </w:p>
    <w:p w14:paraId="62A642AB" w14:textId="2AA3D818" w:rsidR="00AF1304" w:rsidRDefault="00F23AE5" w:rsidP="00AF1304">
      <w:pPr>
        <w:pStyle w:val="BodyText"/>
        <w:spacing w:before="240"/>
        <w:ind w:firstLine="720"/>
        <w:jc w:val="both"/>
        <w:rPr>
          <w:lang w:val="mk-MK"/>
        </w:rPr>
      </w:pPr>
      <w:r w:rsidRPr="00F23AE5">
        <w:rPr>
          <w:lang w:val="mk-MK"/>
        </w:rPr>
        <w:t>Сепак, по подетално објаснување на потенцијалните придобивки</w:t>
      </w:r>
      <w:r w:rsidR="004F000E">
        <w:rPr>
          <w:lang w:val="mk-MK"/>
        </w:rPr>
        <w:t>,</w:t>
      </w:r>
      <w:r w:rsidRPr="00F23AE5">
        <w:rPr>
          <w:lang w:val="mk-MK"/>
        </w:rPr>
        <w:t xml:space="preserve"> како што се поголема задржливост на работната сила, повисоко ниво на задоволство и зголемена ангажираност на вработените</w:t>
      </w:r>
      <w:r w:rsidR="004F000E">
        <w:rPr>
          <w:lang w:val="mk-MK"/>
        </w:rPr>
        <w:t>,</w:t>
      </w:r>
      <w:r w:rsidRPr="00F23AE5">
        <w:rPr>
          <w:lang w:val="mk-MK"/>
        </w:rPr>
        <w:t xml:space="preserve"> дел од испитаниците изразуваат начелна отвореност кон ваквите решенија. Притоа, тие ја препознаваат и економската рационалност на моделите, особено во контекст на намалување на флуктуацијата и зголемување на долгорочната продуктивност.</w:t>
      </w:r>
    </w:p>
    <w:p w14:paraId="6C23E7BA" w14:textId="1DC59B18" w:rsidR="00C25A4F" w:rsidRPr="001F33A3" w:rsidRDefault="00292E29" w:rsidP="001F33A3">
      <w:pPr>
        <w:pStyle w:val="BodyText"/>
        <w:spacing w:before="240"/>
        <w:ind w:firstLine="720"/>
        <w:jc w:val="both"/>
        <w:rPr>
          <w:lang w:val="en-US"/>
        </w:rPr>
      </w:pPr>
      <w:r>
        <w:rPr>
          <w:lang w:val="mk-MK"/>
        </w:rPr>
        <w:t>Д</w:t>
      </w:r>
      <w:r w:rsidRPr="00292E29">
        <w:rPr>
          <w:lang w:val="mk-MK"/>
        </w:rPr>
        <w:t>ури и во тие случаи, доминантна останува резервата во однос на иницирањето на реформите. Сопствениците, и покрај условната согласност, нагласуваат дека не би биле подготвени да го предводат процесот на воведување на вакви модели. Ова укажува на структурен проблем на колективна акција, каде што потенцијалните придобивки се препознаваат, но отсуствува подготвеност за преземање иницијатива без надворешен поттик, било преку регулаторни интервенции, било преку институционални механизми што би го намалиле перципираниот ризик од првото движење.</w:t>
      </w:r>
    </w:p>
    <w:p w14:paraId="114CE799" w14:textId="7EACEF52" w:rsidR="000F7AEE" w:rsidRDefault="005A5DD8" w:rsidP="006F0705">
      <w:pPr>
        <w:pStyle w:val="BodyText"/>
        <w:spacing w:before="240"/>
        <w:ind w:firstLine="720"/>
        <w:jc w:val="both"/>
        <w:rPr>
          <w:lang w:val="mk-MK"/>
        </w:rPr>
      </w:pPr>
      <w:r>
        <w:rPr>
          <w:lang w:val="mk-MK"/>
        </w:rPr>
        <w:t>Од друга страна, с</w:t>
      </w:r>
      <w:r w:rsidR="00624CD6" w:rsidRPr="00624CD6">
        <w:rPr>
          <w:lang w:val="mk-MK"/>
        </w:rPr>
        <w:t>индикалните организации располагаат со релативно ограничен институционален капацитет за влијание врз корпоративното управување</w:t>
      </w:r>
      <w:r w:rsidR="009F34CC">
        <w:rPr>
          <w:lang w:val="mk-MK"/>
        </w:rPr>
        <w:t xml:space="preserve"> и не можат да дадат поддршка што би ја надополнила оваа дупка. В</w:t>
      </w:r>
      <w:r w:rsidR="00624CD6" w:rsidRPr="00624CD6">
        <w:rPr>
          <w:lang w:val="mk-MK"/>
        </w:rPr>
        <w:t xml:space="preserve">работените </w:t>
      </w:r>
      <w:r w:rsidR="009F34CC">
        <w:rPr>
          <w:lang w:val="mk-MK"/>
        </w:rPr>
        <w:t xml:space="preserve">пак, </w:t>
      </w:r>
      <w:r w:rsidR="00624CD6" w:rsidRPr="00624CD6">
        <w:rPr>
          <w:lang w:val="mk-MK"/>
        </w:rPr>
        <w:t xml:space="preserve">покажуваат интерес за механизми кои би овозможиле поголемо економско учество во успехот на компанијата. Во оваа констелација, странските инвеститори и европските пазарни </w:t>
      </w:r>
      <w:r w:rsidR="00624CD6" w:rsidRPr="00624CD6">
        <w:rPr>
          <w:lang w:val="mk-MK"/>
        </w:rPr>
        <w:lastRenderedPageBreak/>
        <w:t xml:space="preserve">стандарди можат да играат важна улога како фактор што поттикнува постепена институционална адаптација. </w:t>
      </w:r>
      <w:r w:rsidR="00FD29F8">
        <w:rPr>
          <w:lang w:val="mk-MK"/>
        </w:rPr>
        <w:t>Повторно, р</w:t>
      </w:r>
      <w:r w:rsidR="00624CD6" w:rsidRPr="00624CD6">
        <w:rPr>
          <w:lang w:val="mk-MK"/>
        </w:rPr>
        <w:t>езултатот од ваквата геометрија на интереси најверојатно не е радикална институционална трансформација, туку постепена и инкрементална промена преку додавање нови инструменти во рамките на постојниот систем.</w:t>
      </w:r>
    </w:p>
    <w:p w14:paraId="42CA0E32" w14:textId="060CE7F6" w:rsidR="005D4B23" w:rsidRDefault="00FD29F8" w:rsidP="006F0705">
      <w:pPr>
        <w:pStyle w:val="BodyText"/>
        <w:spacing w:before="240"/>
        <w:ind w:firstLine="720"/>
        <w:jc w:val="both"/>
        <w:rPr>
          <w:lang w:val="mk-MK"/>
        </w:rPr>
      </w:pPr>
      <w:r w:rsidRPr="00FD29F8">
        <w:rPr>
          <w:lang w:val="mk-MK"/>
        </w:rPr>
        <w:t xml:space="preserve">Во овој контекст, корисно е да се направи аналитичка типологија на различните категории </w:t>
      </w:r>
      <w:r w:rsidR="003F5967">
        <w:rPr>
          <w:lang w:val="mk-MK"/>
        </w:rPr>
        <w:t>трговски друштва</w:t>
      </w:r>
      <w:r w:rsidRPr="00FD29F8">
        <w:rPr>
          <w:lang w:val="mk-MK"/>
        </w:rPr>
        <w:t xml:space="preserve"> во македонската економија и на инструментите на работничко учество кои се институционално најсоодветни за секоја од нив. Кај малите друштва, како што се стартапите, семејните компании и </w:t>
      </w:r>
      <w:r w:rsidR="00D959B4">
        <w:rPr>
          <w:lang w:val="mk-MK"/>
        </w:rPr>
        <w:t>помалите</w:t>
      </w:r>
      <w:r w:rsidRPr="00FD29F8">
        <w:rPr>
          <w:lang w:val="mk-MK"/>
        </w:rPr>
        <w:t xml:space="preserve"> друштва со ограничена одговорност, најсоодветен инструмент се удели или акции за вработените во ограничен обем, најчесто во распон од 1 до 5 проценти за клучни вработени. Во овие компании бројот на вработени е мал, врската помеѓу индивидуалниот перформанс и економската награда е релативно директна, а сопствениците вообичаено сакаат да задржат управувачка контрола. Затоа во пракса најчесто се појавуваат модели на удели со ограничено или без право на глас, како и удели кои се поврзани пред сè со распределбата на добивката.</w:t>
      </w:r>
      <w:r w:rsidR="009F7259">
        <w:rPr>
          <w:rStyle w:val="FootnoteReference"/>
          <w:lang w:val="mk-MK"/>
        </w:rPr>
        <w:footnoteReference w:id="748"/>
      </w:r>
      <w:r w:rsidRPr="00FD29F8">
        <w:rPr>
          <w:lang w:val="mk-MK"/>
        </w:rPr>
        <w:t xml:space="preserve"> </w:t>
      </w:r>
    </w:p>
    <w:p w14:paraId="27816D4D" w14:textId="4525CA4E" w:rsidR="00FD29F8" w:rsidRDefault="00FD29F8" w:rsidP="006F0705">
      <w:pPr>
        <w:pStyle w:val="BodyText"/>
        <w:spacing w:before="240"/>
        <w:ind w:firstLine="720"/>
        <w:jc w:val="both"/>
        <w:rPr>
          <w:lang w:val="mk-MK"/>
        </w:rPr>
      </w:pPr>
      <w:r w:rsidRPr="00FD29F8">
        <w:rPr>
          <w:lang w:val="mk-MK"/>
        </w:rPr>
        <w:t>Кај средните компании, со растечки број на вработени и поголема потреба од институционализација на управувањето, се појавува простор за комбинирани модели кои ги спојуваат инструментите на економско учество со ограничено институционално претставување. Во овие случаи се среќаваат employee share schemes, ESOP структури или можност за еден претставник на вработените во управните или надзорните органи. Кај големите друштва, пак, индивидуалното поседување акции од страна на вработените има релативно мал ефект врз корпоративното управување поради големиот број на вработени и високата концентрација на капитал. Во такви услови поефективни се институционалните форми на претставување, како што се претставници на вработените во надзорните одбори, различни модели на ко-детерминација или работнички совети поврзани со корпоративното управување.</w:t>
      </w:r>
      <w:r w:rsidR="004F3120">
        <w:rPr>
          <w:rStyle w:val="FootnoteReference"/>
          <w:lang w:val="mk-MK"/>
        </w:rPr>
        <w:footnoteReference w:id="749"/>
      </w:r>
    </w:p>
    <w:p w14:paraId="08FD859A" w14:textId="27CE1CED" w:rsidR="00CC57FF" w:rsidRDefault="007A2E97" w:rsidP="006F0705">
      <w:pPr>
        <w:pStyle w:val="BodyText"/>
        <w:spacing w:before="240"/>
        <w:ind w:firstLine="720"/>
        <w:jc w:val="both"/>
        <w:rPr>
          <w:lang w:val="mk-MK"/>
        </w:rPr>
      </w:pPr>
      <w:r w:rsidRPr="007A2E97">
        <w:rPr>
          <w:lang w:val="mk-MK"/>
        </w:rPr>
        <w:t xml:space="preserve">Посебно интересен аспект на оваа анализа е можноста за воведување акции или удели за вработените со диференцирани права. Практиките во кои на одредени вработени им се доделуваат малцински удели од еден или два проценти, често со ограничено право на глас или со посебни правила за распределба на добивката, во компаративното корпоративно право се опишуваат како </w:t>
      </w:r>
      <w:r w:rsidRPr="009E4B6E">
        <w:rPr>
          <w:i/>
          <w:iCs/>
          <w:lang w:val="mk-MK"/>
        </w:rPr>
        <w:t>employee equity with differentiated rights</w:t>
      </w:r>
      <w:r w:rsidRPr="007A2E97">
        <w:rPr>
          <w:lang w:val="mk-MK"/>
        </w:rPr>
        <w:t xml:space="preserve">, </w:t>
      </w:r>
      <w:r w:rsidRPr="009E4B6E">
        <w:rPr>
          <w:i/>
          <w:iCs/>
          <w:lang w:val="mk-MK"/>
        </w:rPr>
        <w:t>restricted employee shares</w:t>
      </w:r>
      <w:r w:rsidRPr="007A2E97">
        <w:rPr>
          <w:lang w:val="mk-MK"/>
        </w:rPr>
        <w:t xml:space="preserve"> или </w:t>
      </w:r>
      <w:r w:rsidRPr="009E4B6E">
        <w:rPr>
          <w:i/>
          <w:iCs/>
          <w:lang w:val="mk-MK"/>
        </w:rPr>
        <w:t>profit participation shares</w:t>
      </w:r>
      <w:r w:rsidRPr="007A2E97">
        <w:rPr>
          <w:lang w:val="mk-MK"/>
        </w:rPr>
        <w:t>. Овие инструменти се правно блиски до концептот на посебни класи акции, кои овозможуваат комбинација на економско учество и задржување на управувачката контрола од страна на постојните сопственици.</w:t>
      </w:r>
      <w:r w:rsidR="004F3120">
        <w:rPr>
          <w:rStyle w:val="FootnoteReference"/>
          <w:lang w:val="mk-MK"/>
        </w:rPr>
        <w:footnoteReference w:id="750"/>
      </w:r>
      <w:r w:rsidRPr="007A2E97">
        <w:rPr>
          <w:lang w:val="mk-MK"/>
        </w:rPr>
        <w:t xml:space="preserve"> Во македонскиот правен систем, ваквите механизми не се експлицитно развиени во законодавството, што создава простор за нормативна реформа која би вовела посебна категорија акции или удели наменети за вработените, со ограничен пренос и со специфични права во однос на добивката или управувањето.</w:t>
      </w:r>
    </w:p>
    <w:p w14:paraId="6A1ABBF0" w14:textId="1D2B288B" w:rsidR="008677E6" w:rsidRDefault="008677E6" w:rsidP="006F0705">
      <w:pPr>
        <w:pStyle w:val="BodyText"/>
        <w:spacing w:before="240"/>
        <w:ind w:firstLine="720"/>
        <w:jc w:val="both"/>
        <w:rPr>
          <w:lang w:val="mk-MK"/>
        </w:rPr>
      </w:pPr>
      <w:r w:rsidRPr="008677E6">
        <w:rPr>
          <w:lang w:val="mk-MK"/>
        </w:rPr>
        <w:t xml:space="preserve">Во таа смисла, </w:t>
      </w:r>
      <w:r>
        <w:rPr>
          <w:lang w:val="mk-MK"/>
        </w:rPr>
        <w:t xml:space="preserve">повторно, </w:t>
      </w:r>
      <w:r w:rsidRPr="008677E6">
        <w:rPr>
          <w:lang w:val="mk-MK"/>
        </w:rPr>
        <w:t xml:space="preserve">најреалистичната траекторија на институционална промена во Македонија не е радикална трансформација на моделот на корпоративно управување, туку постепена институционална адаптација преку воведување нови правни </w:t>
      </w:r>
      <w:r w:rsidRPr="008677E6">
        <w:rPr>
          <w:lang w:val="mk-MK"/>
        </w:rPr>
        <w:lastRenderedPageBreak/>
        <w:t>инструменти што ќе овозможат економско учество на вработените. Таквите инструменти можат да функционираат како дополнителен слој во постојниот систем на корпоративно управување, без значително нарушување на постојната сопственичка структура или управувачка контрола. Токму ваквиот постепен и диференциран пристап кон реформата е најконзистентен со институционалните ограничувања на македонската економија, но истовремено овозможува адаптација кон европските стандарди на корпоративно управување и кон пошироките трендови на вклучување на трудот како релевантен актер во корпоративната структура.</w:t>
      </w:r>
    </w:p>
    <w:p w14:paraId="2E0B3638" w14:textId="77777777" w:rsidR="00D410C7" w:rsidRDefault="00BF5771" w:rsidP="006F0705">
      <w:pPr>
        <w:pStyle w:val="BodyText"/>
        <w:spacing w:before="240"/>
        <w:ind w:firstLine="720"/>
        <w:jc w:val="both"/>
        <w:rPr>
          <w:lang w:val="mk-MK"/>
        </w:rPr>
      </w:pPr>
      <w:r w:rsidRPr="00BF5771">
        <w:rPr>
          <w:lang w:val="mk-MK"/>
        </w:rPr>
        <w:t>Во анализата на институционалната динамика на реформите во корпоративното управување корисно е да се вклучи и аргументативната перспектива развиена во литературата за јавни политики. Во својата студија</w:t>
      </w:r>
      <w:r w:rsidR="006021C7">
        <w:rPr>
          <w:lang w:val="mk-MK"/>
        </w:rPr>
        <w:t>, која веќе има статус на класика во полето,</w:t>
      </w:r>
      <w:r w:rsidRPr="00BF5771">
        <w:rPr>
          <w:lang w:val="mk-MK"/>
        </w:rPr>
        <w:t xml:space="preserve"> </w:t>
      </w:r>
      <w:r w:rsidRPr="006021C7">
        <w:rPr>
          <w:i/>
          <w:iCs/>
          <w:lang w:val="mk-MK"/>
        </w:rPr>
        <w:t>Argument, Evidence and Persuasion in the Policy Process</w:t>
      </w:r>
      <w:r w:rsidRPr="00BF5771">
        <w:rPr>
          <w:lang w:val="mk-MK"/>
        </w:rPr>
        <w:t xml:space="preserve">, Giandomenico Majone ја концептуализира демократијата како систем на владеење преку дискусија. Потпирајќи се на идеите на </w:t>
      </w:r>
      <w:r w:rsidRPr="008C5365">
        <w:rPr>
          <w:i/>
          <w:iCs/>
          <w:lang w:val="mk-MK"/>
        </w:rPr>
        <w:t>Albert O. Hirschman</w:t>
      </w:r>
      <w:r w:rsidRPr="00BF5771">
        <w:rPr>
          <w:lang w:val="mk-MK"/>
        </w:rPr>
        <w:t xml:space="preserve"> за односот помеѓу „exit“, „voice“ и „loyalty“, Majone нагласува дека аргументацијата, дискурсот и убедувањето претставуваат централни механизми преку кои политичките актери ги артикулираат проблемите, ги дефинираат нормите и предлагаат решенија во процесот на креирање политики. </w:t>
      </w:r>
    </w:p>
    <w:p w14:paraId="20A17D18" w14:textId="77777777" w:rsidR="00774681" w:rsidRDefault="00BF5771" w:rsidP="00D410C7">
      <w:pPr>
        <w:pStyle w:val="BodyText"/>
        <w:spacing w:before="240"/>
        <w:ind w:firstLine="720"/>
        <w:jc w:val="both"/>
        <w:rPr>
          <w:lang w:val="mk-MK"/>
        </w:rPr>
      </w:pPr>
      <w:r w:rsidRPr="00BF5771">
        <w:rPr>
          <w:lang w:val="mk-MK"/>
        </w:rPr>
        <w:t>Во таква перспектива, јавната политика не се разбира само како резултат на формални одлуки, туку како континуиран процес на јавна расправа и меѓусебно учење преку аргументирање. Политичките актери постојано ги преиспитуваат постојните институции и практики, изнесуваат дијагнози за нивните слабости и предлагаат нови решенија врз основа на комбинација од емпириски докази, нормативни аргументи и стратегиско убедување.</w:t>
      </w:r>
      <w:r w:rsidR="00D410C7">
        <w:rPr>
          <w:lang w:val="mk-MK"/>
        </w:rPr>
        <w:t xml:space="preserve"> </w:t>
      </w:r>
      <w:r w:rsidR="001E16C2" w:rsidRPr="001E16C2">
        <w:rPr>
          <w:lang w:val="mk-MK"/>
        </w:rPr>
        <w:t xml:space="preserve">Во рамките на овој процес, аргументите често се движат помеѓу две различни логики на дејствување. </w:t>
      </w:r>
    </w:p>
    <w:p w14:paraId="67C529B5" w14:textId="77777777" w:rsidR="00F55BB5" w:rsidRDefault="001E16C2" w:rsidP="00D410C7">
      <w:pPr>
        <w:pStyle w:val="BodyText"/>
        <w:spacing w:before="240"/>
        <w:ind w:firstLine="720"/>
        <w:jc w:val="both"/>
        <w:rPr>
          <w:lang w:val="mk-MK"/>
        </w:rPr>
      </w:pPr>
      <w:r w:rsidRPr="001E16C2">
        <w:rPr>
          <w:lang w:val="mk-MK"/>
        </w:rPr>
        <w:t xml:space="preserve">Од една страна, политичките актери можат да се повикаат на логиката на последици, односно да го оправдаат изборот на одредена политика со аргументи за нејзината ефикасност, економска рационалност или очекувани резултати. Од друга страна, тие можат да се повикаат на логиката на соодветност, нагласувајќи дека одредена политика е легитимна затоа што се усогласува со општествените норми, институционалните правила или пошироките вредности на политичката заедница. Во демократските општества, овие две логики ретко функционираат одделно. Напротив, како што забележува Majone, јавната расправа за реформите речиси секогаш претставува внимателна комбинација на рационално аргументирање и политичко убедување. Доколку емпириските докази во прилог на одредена реформа се слаби или неубедливи, тоа создава простор за политичките противници да ја доведат во прашање нејзината убедливост и легитимност. </w:t>
      </w:r>
    </w:p>
    <w:p w14:paraId="1E184F35" w14:textId="39D6534D" w:rsidR="0070233B" w:rsidRDefault="001E16C2" w:rsidP="0070233B">
      <w:pPr>
        <w:pStyle w:val="BodyText"/>
        <w:spacing w:before="240"/>
        <w:ind w:firstLine="720"/>
        <w:jc w:val="both"/>
        <w:rPr>
          <w:lang w:val="mk-MK"/>
        </w:rPr>
      </w:pPr>
      <w:r w:rsidRPr="001E16C2">
        <w:rPr>
          <w:lang w:val="mk-MK"/>
        </w:rPr>
        <w:t>Новите идеи, особено оние кои предизвикуваат постојни интереси или институционални рутини, по правило се соочуваат со отпор токму затоа што не се претходно тестирани и затоа што ја нарушуваат стабилноста на постојниот институционален поредок.</w:t>
      </w:r>
      <w:r w:rsidR="0070233B">
        <w:rPr>
          <w:lang w:val="mk-MK"/>
        </w:rPr>
        <w:t xml:space="preserve"> </w:t>
      </w:r>
      <w:r w:rsidR="0070233B" w:rsidRPr="0070233B">
        <w:rPr>
          <w:lang w:val="mk-MK"/>
        </w:rPr>
        <w:t xml:space="preserve">Во таа смисла, аргументацијата не мора нужно да доведе до целосен консензус, туку има за цел да ги разјасни алтернативите, да ги открие противречностите и да го подобри јавниот увид во можните избори. Оваа перспектива е дополнително развиена во работата на Craig Parsons, кој ја нагласува улогата на аргументацијата во градењето реформски коалиции помеѓу актери со различни интереси </w:t>
      </w:r>
      <w:r w:rsidR="0070233B" w:rsidRPr="0070233B">
        <w:rPr>
          <w:lang w:val="mk-MK"/>
        </w:rPr>
        <w:lastRenderedPageBreak/>
        <w:t>и вредности.</w:t>
      </w:r>
      <w:r w:rsidR="0045185F">
        <w:rPr>
          <w:rStyle w:val="FootnoteReference"/>
          <w:lang w:val="mk-MK"/>
        </w:rPr>
        <w:footnoteReference w:id="751"/>
      </w:r>
      <w:r w:rsidR="0070233B" w:rsidRPr="0070233B">
        <w:rPr>
          <w:lang w:val="mk-MK"/>
        </w:rPr>
        <w:t xml:space="preserve"> </w:t>
      </w:r>
    </w:p>
    <w:p w14:paraId="70040892" w14:textId="077C7CE6" w:rsidR="001E16C2" w:rsidRPr="0070233B" w:rsidRDefault="0070233B" w:rsidP="0070233B">
      <w:pPr>
        <w:pStyle w:val="BodyText"/>
        <w:spacing w:before="240"/>
        <w:ind w:firstLine="720"/>
        <w:jc w:val="both"/>
        <w:rPr>
          <w:lang w:val="mk-MK"/>
        </w:rPr>
      </w:pPr>
      <w:r w:rsidRPr="0070233B">
        <w:rPr>
          <w:lang w:val="mk-MK"/>
        </w:rPr>
        <w:t xml:space="preserve">Според Parsons, јавната дебата често функционира преку механизми на „конструктивна </w:t>
      </w:r>
      <w:r w:rsidR="0045185F">
        <w:rPr>
          <w:lang w:val="mk-MK"/>
        </w:rPr>
        <w:t>амбивалентност</w:t>
      </w:r>
      <w:r w:rsidR="0045185F" w:rsidRPr="0070233B">
        <w:rPr>
          <w:lang w:val="mk-MK"/>
        </w:rPr>
        <w:t xml:space="preserve"> </w:t>
      </w:r>
      <w:r w:rsidRPr="0070233B">
        <w:rPr>
          <w:lang w:val="mk-MK"/>
        </w:rPr>
        <w:t>“, при што различни актери можат да се согласат околу одредена реформа и покрај тоа што ја интерпретираат на различни начини. Аргументативната предност во политичкиот процес, меѓутоа, не произлегува само од интелектуалната сила на идеите, туку и од институционалниот контекст во кој тие се артикулираат. Како што покажуваат поновите анализи на Parsons и неговите соработници, институциите ги дефинираат арените во кои политичките актери ги изнесуваат своите аргументи, ги одредуваат констелациите на интереси и ја обликуваат распределбата на моќта помеѓу различните учесници во процесот на креирање политики.</w:t>
      </w:r>
      <w:r w:rsidR="00980C8F">
        <w:rPr>
          <w:rStyle w:val="FootnoteReference"/>
          <w:lang w:val="mk-MK"/>
        </w:rPr>
        <w:footnoteReference w:id="752"/>
      </w:r>
    </w:p>
    <w:p w14:paraId="30FCDA20" w14:textId="77777777" w:rsidR="00257B43" w:rsidRDefault="00794C42" w:rsidP="006F0705">
      <w:pPr>
        <w:pStyle w:val="BodyText"/>
        <w:spacing w:before="240"/>
        <w:ind w:firstLine="720"/>
        <w:jc w:val="both"/>
        <w:rPr>
          <w:lang w:val="en-US"/>
        </w:rPr>
      </w:pPr>
      <w:r w:rsidRPr="00794C42">
        <w:rPr>
          <w:lang w:val="mk-MK"/>
        </w:rPr>
        <w:t>Врз основа на оваа аргументативна перспектива, може да се развие аналитичка рамка која ги комбинира концептите на легитимност и логиките на дејствување во процесот на јавни политики. Поврзувајќи ја тријадата на легитимност развиена од Fritz W. Scharpf и Vivien A. Schmidt</w:t>
      </w:r>
      <w:r w:rsidR="00496D93">
        <w:rPr>
          <w:lang w:val="en-US"/>
        </w:rPr>
        <w:t xml:space="preserve">, </w:t>
      </w:r>
      <w:r w:rsidRPr="00794C42">
        <w:rPr>
          <w:lang w:val="mk-MK"/>
        </w:rPr>
        <w:t>input, throughput и output легитимност</w:t>
      </w:r>
      <w:r w:rsidR="00496D93">
        <w:rPr>
          <w:lang w:val="en-US"/>
        </w:rPr>
        <w:t>,</w:t>
      </w:r>
      <w:r w:rsidRPr="00794C42">
        <w:rPr>
          <w:lang w:val="mk-MK"/>
        </w:rPr>
        <w:t xml:space="preserve"> со логиките на последици и соодветност, може да се идентификуваат шест основни димензии на јавната политика. Првата димензија се однесува на ефикасноста на политиката, која претпоставува логика на последици и се фокусира на резултатите од политиката и нејзината способност да ги реши конкретните општествени проблеми. </w:t>
      </w:r>
    </w:p>
    <w:p w14:paraId="1F53B2A1" w14:textId="77777777" w:rsidR="004E44E3" w:rsidRDefault="00794C42" w:rsidP="006F0705">
      <w:pPr>
        <w:pStyle w:val="BodyText"/>
        <w:spacing w:before="240"/>
        <w:ind w:firstLine="720"/>
        <w:jc w:val="both"/>
        <w:rPr>
          <w:lang w:val="en-US"/>
        </w:rPr>
      </w:pPr>
      <w:r w:rsidRPr="00794C42">
        <w:rPr>
          <w:lang w:val="mk-MK"/>
        </w:rPr>
        <w:t xml:space="preserve">Втората димензија е политичката изводливост, која ја комбинира логиката на соодветност со прашањето за политичката поддршка што одредена реформа може да ја обезбеди во рамките на постојниот систем на интереси и институции. Третата димензија се однесува на административниот капацитет, односно способноста на државата и јавната администрација ефективно да ги имплементира усвоените политики. Четвртата димензија ја опфаќа професионалната експертиза и интегритет во процесот на спроведување на политиките, нагласувајќи ја важноста на професионалните стандарди, отчетноста и транспарентноста во јавната администрација и во полуприватните институции кои учествуваат во испораката на јавни услуги. </w:t>
      </w:r>
    </w:p>
    <w:p w14:paraId="3CFB8C5D" w14:textId="410BDB94" w:rsidR="00CC57FF" w:rsidRDefault="00794C42" w:rsidP="006F0705">
      <w:pPr>
        <w:pStyle w:val="BodyText"/>
        <w:spacing w:before="240"/>
        <w:ind w:firstLine="720"/>
        <w:jc w:val="both"/>
        <w:rPr>
          <w:lang w:val="mk-MK"/>
        </w:rPr>
      </w:pPr>
      <w:r w:rsidRPr="00794C42">
        <w:rPr>
          <w:lang w:val="mk-MK"/>
        </w:rPr>
        <w:t>Петтата димензија се однесува на општествената прифатливост, односно степенот до кој политиката е перципирана како правична и легитимна од страна на пошироката јавност. Конечно, шестата димензија ја опфаќа уставната валидност, која се однесува на усогласеноста на политиката со уставниот поредок, владеењето на правото и меѓународните правни обврски на државата.</w:t>
      </w:r>
      <w:r w:rsidR="008060C7">
        <w:rPr>
          <w:lang w:val="mk-MK"/>
        </w:rPr>
        <w:t xml:space="preserve"> </w:t>
      </w:r>
      <w:r w:rsidR="008060C7" w:rsidRPr="008060C7">
        <w:rPr>
          <w:lang w:val="mk-MK"/>
        </w:rPr>
        <w:t>Идеално гледано, легитимните и стабилни политики треба истовремено да покажуваат висока ефикасност, доволна политичка поддршка, адекватен административен капацитет, професионален интегритет во нивното спроведување, широка општествена прифатливост и целосна усогласеност со уставниот и правниот поредок.</w:t>
      </w:r>
    </w:p>
    <w:p w14:paraId="6BA08253" w14:textId="1F6D2EB7" w:rsidR="00387A93" w:rsidRDefault="00387A93" w:rsidP="006F0705">
      <w:pPr>
        <w:pStyle w:val="BodyText"/>
        <w:spacing w:before="240"/>
        <w:ind w:firstLine="720"/>
        <w:jc w:val="both"/>
        <w:rPr>
          <w:lang w:val="mk-MK"/>
        </w:rPr>
      </w:pPr>
      <w:r w:rsidRPr="00387A93">
        <w:rPr>
          <w:lang w:val="mk-MK"/>
        </w:rPr>
        <w:t xml:space="preserve">Во практиката, меѓутоа, ваквата совршена комбинација ретко се постигнува. Реформите обично се развиваат во услови на напнатости и компромиси помеѓу различните димензии на легитимност, при што аргументите во прилог или против </w:t>
      </w:r>
      <w:r w:rsidRPr="00387A93">
        <w:rPr>
          <w:lang w:val="mk-MK"/>
        </w:rPr>
        <w:lastRenderedPageBreak/>
        <w:t>одредена политика комбинираат елементи на инструментална ефикасност, административна изводливост и нормативна оправданост. Токму ваквата аналитичка рамка е особено корисна за разбирање на постепените, но трансформативни процеси на институционална промена, бидејќи овозможува да се следи како различни актери ги артикулираат своите аргументи во текот на политичката расправа, како тие аргументи се трансформираат во процесот на преговарање и како на крајот одредени комбинации на аргументи стануваат доминантни во процесот на донесување одлуки.</w:t>
      </w:r>
      <w:r w:rsidR="001154FA">
        <w:rPr>
          <w:rStyle w:val="FootnoteReference"/>
          <w:lang w:val="mk-MK"/>
        </w:rPr>
        <w:footnoteReference w:id="753"/>
      </w:r>
    </w:p>
    <w:p w14:paraId="62A68406" w14:textId="23460F8D" w:rsidR="00814B5B" w:rsidRPr="00814B5B" w:rsidRDefault="008F43BA" w:rsidP="00814B5B">
      <w:pPr>
        <w:pStyle w:val="BodyText"/>
        <w:spacing w:before="240"/>
        <w:ind w:firstLine="720"/>
        <w:jc w:val="both"/>
        <w:rPr>
          <w:lang w:val="en-US"/>
        </w:rPr>
      </w:pPr>
      <w:r w:rsidRPr="008F43BA">
        <w:rPr>
          <w:lang w:val="mk-MK"/>
        </w:rPr>
        <w:t xml:space="preserve">Применето на реформите во корпоративното управување во Македонија, оваа перспектива сугерира дека прашањето за </w:t>
      </w:r>
      <w:r w:rsidR="001154FA">
        <w:rPr>
          <w:lang w:val="mk-MK"/>
        </w:rPr>
        <w:t>деловно</w:t>
      </w:r>
      <w:r w:rsidRPr="008F43BA">
        <w:rPr>
          <w:lang w:val="mk-MK"/>
        </w:rPr>
        <w:t xml:space="preserve"> учество на вработените не може да се разбере исклучиво како техничко правно прашање. Наместо тоа, станува збор за комплексен процес во кој различни актери</w:t>
      </w:r>
      <w:r w:rsidR="001154FA">
        <w:rPr>
          <w:lang w:val="mk-MK"/>
        </w:rPr>
        <w:t>,</w:t>
      </w:r>
      <w:r w:rsidRPr="008F43BA">
        <w:rPr>
          <w:lang w:val="mk-MK"/>
        </w:rPr>
        <w:t xml:space="preserve"> државата, сопствениците на компании, синдикатите, инвеститорите и самите вработени</w:t>
      </w:r>
      <w:r w:rsidR="001154FA">
        <w:rPr>
          <w:lang w:val="mk-MK"/>
        </w:rPr>
        <w:t>,</w:t>
      </w:r>
      <w:r w:rsidRPr="008F43BA">
        <w:rPr>
          <w:lang w:val="mk-MK"/>
        </w:rPr>
        <w:t xml:space="preserve"> артикулираат различни аргументи во однос на ефикасноста, правичноста и институционалната изводливост на можните реформи. Токму преку ваква аргументативна динамика постепено се формираат реформските коалиции, се тестираат новите идеи и се отвора простор за институционални иновации кои можат да го трансформираат постојниот модел на корпоративно управување без да го нарушат неговиот основен институционален баланс.</w:t>
      </w:r>
    </w:p>
    <w:p w14:paraId="2923C315" w14:textId="5DAA84DE" w:rsidR="00814B5B" w:rsidRPr="00A702A9" w:rsidRDefault="00814B5B" w:rsidP="00814B5B">
      <w:pPr>
        <w:pStyle w:val="Heading2"/>
        <w:numPr>
          <w:ilvl w:val="1"/>
          <w:numId w:val="14"/>
        </w:numPr>
        <w:rPr>
          <w:rFonts w:ascii="Times New Roman" w:hAnsi="Times New Roman" w:cs="Times New Roman"/>
          <w:b w:val="0"/>
          <w:bCs w:val="0"/>
          <w:sz w:val="24"/>
          <w:szCs w:val="24"/>
        </w:rPr>
      </w:pPr>
      <w:r>
        <w:rPr>
          <w:lang w:val="mk-MK"/>
        </w:rPr>
        <w:t xml:space="preserve"> </w:t>
      </w:r>
      <w:bookmarkStart w:id="86" w:name="_Toc230523939"/>
      <w:r w:rsidR="00E27789">
        <w:rPr>
          <w:rFonts w:ascii="Times New Roman" w:hAnsi="Times New Roman" w:cs="Times New Roman"/>
          <w:b w:val="0"/>
          <w:bCs w:val="0"/>
          <w:color w:val="000000" w:themeColor="text1"/>
          <w:sz w:val="24"/>
          <w:szCs w:val="24"/>
          <w:lang w:val="mk-MK"/>
        </w:rPr>
        <w:t>П</w:t>
      </w:r>
      <w:r w:rsidR="00E27789" w:rsidRPr="00E27789">
        <w:rPr>
          <w:rFonts w:ascii="Times New Roman" w:hAnsi="Times New Roman" w:cs="Times New Roman"/>
          <w:b w:val="0"/>
          <w:bCs w:val="0"/>
          <w:color w:val="000000" w:themeColor="text1"/>
          <w:sz w:val="24"/>
          <w:szCs w:val="24"/>
          <w:lang w:val="mk-MK"/>
        </w:rPr>
        <w:t xml:space="preserve">олитика на </w:t>
      </w:r>
      <w:r w:rsidR="00E27789">
        <w:rPr>
          <w:rFonts w:ascii="Times New Roman" w:hAnsi="Times New Roman" w:cs="Times New Roman"/>
          <w:b w:val="0"/>
          <w:bCs w:val="0"/>
          <w:color w:val="000000" w:themeColor="text1"/>
          <w:sz w:val="24"/>
          <w:szCs w:val="24"/>
          <w:lang w:val="mk-MK"/>
        </w:rPr>
        <w:t xml:space="preserve">фидбек и </w:t>
      </w:r>
      <w:r w:rsidR="00E27789" w:rsidRPr="00E27789">
        <w:rPr>
          <w:rFonts w:ascii="Times New Roman" w:hAnsi="Times New Roman" w:cs="Times New Roman"/>
          <w:b w:val="0"/>
          <w:bCs w:val="0"/>
          <w:color w:val="000000" w:themeColor="text1"/>
          <w:sz w:val="24"/>
          <w:szCs w:val="24"/>
          <w:lang w:val="mk-MK"/>
        </w:rPr>
        <w:t>институционална трансформација</w:t>
      </w:r>
      <w:bookmarkEnd w:id="86"/>
    </w:p>
    <w:p w14:paraId="51F977E8" w14:textId="77777777" w:rsidR="00874350" w:rsidRDefault="002C0338" w:rsidP="002C0338">
      <w:pPr>
        <w:pStyle w:val="BodyText"/>
        <w:spacing w:before="240"/>
        <w:ind w:firstLine="720"/>
        <w:jc w:val="both"/>
        <w:rPr>
          <w:lang w:val="en-US"/>
        </w:rPr>
      </w:pPr>
      <w:r>
        <w:rPr>
          <w:lang w:val="mk-MK"/>
        </w:rPr>
        <w:t>Видено од досега приложеното, с</w:t>
      </w:r>
      <w:r w:rsidRPr="002C0338">
        <w:rPr>
          <w:lang w:val="mk-MK"/>
        </w:rPr>
        <w:t>труктурните реформи се несомнено сложени и политички ризични процеси, но тие претставуваат постојана карактеристика на развојот на современите социјални држави</w:t>
      </w:r>
      <w:r w:rsidR="009334DB">
        <w:rPr>
          <w:lang w:val="mk-MK"/>
        </w:rPr>
        <w:t>, вклучително и Македонија</w:t>
      </w:r>
      <w:r w:rsidRPr="002C0338">
        <w:rPr>
          <w:lang w:val="mk-MK"/>
        </w:rPr>
        <w:t xml:space="preserve">. Со доволно време, политичка мотивација и институционална моќ, дури и длабоко вкоренетите јавни политики и административни рутини можат постепено да бидат предмет на трансформација. Клучното аналитичко прашање, затоа, не е дали реформите се можни, туку како да се разбере нивната вгнездена, но истовремено трансформативна природа во рамките на зрелите социјални држави. </w:t>
      </w:r>
    </w:p>
    <w:p w14:paraId="2B09116D" w14:textId="178E87B9" w:rsidR="008060C7" w:rsidRDefault="002C0338" w:rsidP="002C0338">
      <w:pPr>
        <w:pStyle w:val="BodyText"/>
        <w:spacing w:before="240"/>
        <w:ind w:firstLine="720"/>
        <w:jc w:val="both"/>
        <w:rPr>
          <w:lang w:val="mk-MK"/>
        </w:rPr>
      </w:pPr>
      <w:r w:rsidRPr="002C0338">
        <w:rPr>
          <w:lang w:val="mk-MK"/>
        </w:rPr>
        <w:t>Во демократските системи, избраните влади претставуваат примарни автори на структурните реформи. Преку изборната конкуренција, политичките актери кои се залагаат за различни реформски опции имаат силен интерес да ги истакнат слабостите на постојните или предложените политики. Особено во ситуации кога постојните јавни политики не успеваат да ги исполнат очекувањата на гласачите, незадоволството на електоратот може да стане важен двигател на корективни реформи. Сепак, ваквата динамика сама по себе не гарантира дека секоја реформа ќе резултира со подобрување на јавната политика. Во зрелите социјални држави, изборната победа често ја трансформира политичката логика од дистрибутивни ветувања во текот на изборните кампањи кон одговорно управување со комплексни системи на социјална заштита, во кои просторот за радикални интервенции е ограничен.</w:t>
      </w:r>
    </w:p>
    <w:p w14:paraId="3EE9D80B" w14:textId="31BA5215" w:rsidR="001F6E4C" w:rsidRDefault="00E72AF9" w:rsidP="001F6E4C">
      <w:pPr>
        <w:pStyle w:val="BodyText"/>
        <w:spacing w:before="240" w:after="240"/>
        <w:ind w:firstLine="720"/>
        <w:jc w:val="both"/>
        <w:rPr>
          <w:lang w:val="en-US"/>
        </w:rPr>
      </w:pPr>
      <w:r w:rsidRPr="00E72AF9">
        <w:rPr>
          <w:lang w:val="mk-MK"/>
        </w:rPr>
        <w:t xml:space="preserve">Во такви услови, демократски избраните влади располагаат со различни институционални ресурси за унапредување на реформските агенди. Тие можат да мобилизираат експертски капацитети во рамките на јавната администрација, да формираат ад-хок експертски комисии и да го користат институционалниот авторитет на државните институции за да ја поддржат разработката и имплементацијата на нови политики. Успешните реформатори во зрелите социјални држави, по правило, се </w:t>
      </w:r>
      <w:r w:rsidRPr="00E72AF9">
        <w:rPr>
          <w:lang w:val="mk-MK"/>
        </w:rPr>
        <w:lastRenderedPageBreak/>
        <w:t xml:space="preserve">потпираат на систематска анализа на претходните политики и на резултатите од проблемски ориентирани јавнополитички истражувања. Истовремено, тие мора да бидат внимателни кон пошироките општествени чувства и очекувања, како и кон уставните и правните ограничувања кои го дефинираат просторот за политичко дејствување, вклучително и обврските што произлегуваат од европското законодавство и институционалната рамка на </w:t>
      </w:r>
      <w:r w:rsidR="00BC6232">
        <w:rPr>
          <w:lang w:val="mk-MK"/>
        </w:rPr>
        <w:t>Европската Унија</w:t>
      </w:r>
      <w:r w:rsidR="001F6E4C" w:rsidRPr="006F0705">
        <w:rPr>
          <w:lang w:val="mk-MK"/>
        </w:rPr>
        <w:t>.</w:t>
      </w:r>
      <w:r w:rsidR="001F6E4C">
        <w:rPr>
          <w:rStyle w:val="FootnoteReference"/>
          <w:lang w:val="mk-MK"/>
        </w:rPr>
        <w:footnoteReference w:id="754"/>
      </w:r>
    </w:p>
    <w:p w14:paraId="65EBE7AF" w14:textId="129AAE73" w:rsidR="00C722DD" w:rsidRDefault="00C722DD" w:rsidP="001F6E4C">
      <w:pPr>
        <w:pStyle w:val="BodyText"/>
        <w:spacing w:before="240" w:after="240"/>
        <w:ind w:firstLine="720"/>
        <w:jc w:val="both"/>
        <w:rPr>
          <w:lang w:val="mk-MK"/>
        </w:rPr>
      </w:pPr>
      <w:r>
        <w:rPr>
          <w:lang w:val="mk-MK"/>
        </w:rPr>
        <w:t>Значи, п</w:t>
      </w:r>
      <w:r w:rsidRPr="00C722DD">
        <w:rPr>
          <w:lang w:val="mk-MK"/>
        </w:rPr>
        <w:t>рашањето на институционалната трансформација во Северна Македонија не може да се разбере исклучиво преку класични модели на формална правна хармонизација или преку еднократни реформски интервенции. Наместо тоа, процесите на промена се одвиваат постепено, преку сложени интеракции помеѓу актери, интереси и веќе воспоставени институционални аранжмани. Во таа смисла, концептот на политика на фидбек нуди аналитичка рамка која овозможува подлабоко разбирање на динамиката на стабилност и промена.</w:t>
      </w:r>
    </w:p>
    <w:p w14:paraId="06017C32" w14:textId="1856E79F" w:rsidR="002D2732" w:rsidRDefault="002D2732" w:rsidP="001F6E4C">
      <w:pPr>
        <w:pStyle w:val="BodyText"/>
        <w:spacing w:before="240" w:after="240"/>
        <w:ind w:firstLine="720"/>
        <w:jc w:val="both"/>
        <w:rPr>
          <w:lang w:val="mk-MK"/>
        </w:rPr>
      </w:pPr>
      <w:r w:rsidRPr="002D2732">
        <w:rPr>
          <w:lang w:val="mk-MK"/>
        </w:rPr>
        <w:t xml:space="preserve">Политиките не се само резултат на политички одлуки, туку и фактори кои ги обликуваат идните одлуки, создавајќи повратни ефекти врз распределбата на моќ, интересите на актери и институционалните очекувања. Во контекст на Македонија, овие фидбек механизми се особено релевантни, имајќи предвид дека институционалниот развој е обележан со силни </w:t>
      </w:r>
      <w:r w:rsidR="000574AF">
        <w:rPr>
          <w:lang w:val="mk-MK"/>
        </w:rPr>
        <w:t xml:space="preserve">меѓусебни </w:t>
      </w:r>
      <w:r w:rsidRPr="002D2732">
        <w:rPr>
          <w:lang w:val="mk-MK"/>
        </w:rPr>
        <w:t>зависности, ограничен институционален капацитет и асиметрични односи помеѓу трудот и капиталот.</w:t>
      </w:r>
    </w:p>
    <w:p w14:paraId="4D34BE98" w14:textId="57932384" w:rsidR="00783226" w:rsidRPr="00C722DD" w:rsidRDefault="00783226" w:rsidP="001F6E4C">
      <w:pPr>
        <w:pStyle w:val="BodyText"/>
        <w:spacing w:before="240" w:after="240"/>
        <w:ind w:firstLine="720"/>
        <w:jc w:val="both"/>
        <w:rPr>
          <w:lang w:val="mk-MK"/>
        </w:rPr>
      </w:pPr>
      <w:r w:rsidRPr="00783226">
        <w:rPr>
          <w:lang w:val="mk-MK"/>
        </w:rPr>
        <w:t>Концептот на политика на фидбек, развиен во рамките на историскиот институционализам, укажува на тоа дека еднаш воспоставените политики создаваат траектории кои влијаат врз идните избори. Овие ефекти можат да бидат</w:t>
      </w:r>
      <w:r w:rsidR="00007E61">
        <w:rPr>
          <w:lang w:val="mk-MK"/>
        </w:rPr>
        <w:t xml:space="preserve"> п</w:t>
      </w:r>
      <w:r w:rsidRPr="00783226">
        <w:rPr>
          <w:lang w:val="mk-MK"/>
        </w:rPr>
        <w:t xml:space="preserve">озитивни фидбек механизми, кои ја зајакнуваат постојната институционална структура </w:t>
      </w:r>
      <w:r w:rsidR="00007E61">
        <w:rPr>
          <w:lang w:val="mk-MK"/>
        </w:rPr>
        <w:t>и н</w:t>
      </w:r>
      <w:r w:rsidRPr="00783226">
        <w:rPr>
          <w:lang w:val="mk-MK"/>
        </w:rPr>
        <w:t>егативни фидбек механизми, кои отвораат простор за промена</w:t>
      </w:r>
      <w:r w:rsidR="003E2C72">
        <w:rPr>
          <w:lang w:val="mk-MK"/>
        </w:rPr>
        <w:t>.</w:t>
      </w:r>
      <w:r w:rsidRPr="00783226">
        <w:rPr>
          <w:lang w:val="mk-MK"/>
        </w:rPr>
        <w:t xml:space="preserve"> Во контекст на корпоративното управување, </w:t>
      </w:r>
      <w:r w:rsidR="00696C49">
        <w:rPr>
          <w:lang w:val="mk-MK"/>
        </w:rPr>
        <w:t>дел од овие</w:t>
      </w:r>
      <w:r w:rsidRPr="00783226">
        <w:rPr>
          <w:lang w:val="mk-MK"/>
        </w:rPr>
        <w:t xml:space="preserve"> фидбек механизми се манифестираат преку концентрација на сопственост</w:t>
      </w:r>
      <w:r w:rsidR="00E45ADC">
        <w:rPr>
          <w:lang w:val="mk-MK"/>
        </w:rPr>
        <w:t>,</w:t>
      </w:r>
      <w:r w:rsidRPr="00783226">
        <w:rPr>
          <w:lang w:val="mk-MK"/>
        </w:rPr>
        <w:t xml:space="preserve"> ограничена транспарентност</w:t>
      </w:r>
      <w:r w:rsidR="00696C49">
        <w:rPr>
          <w:lang w:val="mk-MK"/>
        </w:rPr>
        <w:t xml:space="preserve"> и</w:t>
      </w:r>
      <w:r w:rsidRPr="00783226">
        <w:rPr>
          <w:lang w:val="mk-MK"/>
        </w:rPr>
        <w:t xml:space="preserve"> слаба институционализација на работничкото учество</w:t>
      </w:r>
      <w:r w:rsidR="00696C49">
        <w:rPr>
          <w:lang w:val="mk-MK"/>
        </w:rPr>
        <w:t xml:space="preserve">. </w:t>
      </w:r>
      <w:r w:rsidRPr="00783226">
        <w:rPr>
          <w:lang w:val="mk-MK"/>
        </w:rPr>
        <w:t>Овие елементи создаваат самозајакнувачки циклус, во кој сопствениците имаат ограничен интерес за споделување на контрола</w:t>
      </w:r>
      <w:r w:rsidR="007D5ABA">
        <w:rPr>
          <w:lang w:val="mk-MK"/>
        </w:rPr>
        <w:t>,</w:t>
      </w:r>
      <w:r w:rsidRPr="00783226">
        <w:rPr>
          <w:lang w:val="mk-MK"/>
        </w:rPr>
        <w:t xml:space="preserve"> вработените имаат ограничени очекувања за учество</w:t>
      </w:r>
      <w:r w:rsidR="007D5ABA">
        <w:rPr>
          <w:lang w:val="mk-MK"/>
        </w:rPr>
        <w:t xml:space="preserve"> и</w:t>
      </w:r>
      <w:r w:rsidRPr="00783226">
        <w:rPr>
          <w:lang w:val="mk-MK"/>
        </w:rPr>
        <w:t xml:space="preserve"> институциите остануваат слаби или недоволно активирани Истовремено, негативните фидбек механизми можат да произлезат од надворешни притисоци</w:t>
      </w:r>
      <w:r w:rsidR="007D5ABA">
        <w:rPr>
          <w:lang w:val="mk-MK"/>
        </w:rPr>
        <w:t xml:space="preserve">, како </w:t>
      </w:r>
      <w:r w:rsidRPr="00783226">
        <w:rPr>
          <w:lang w:val="mk-MK"/>
        </w:rPr>
        <w:t>на пример ЕУ интеграција</w:t>
      </w:r>
      <w:r w:rsidR="007D5ABA">
        <w:rPr>
          <w:lang w:val="mk-MK"/>
        </w:rPr>
        <w:t>,</w:t>
      </w:r>
      <w:r w:rsidRPr="00783226">
        <w:rPr>
          <w:lang w:val="mk-MK"/>
        </w:rPr>
        <w:t xml:space="preserve"> економски промени </w:t>
      </w:r>
      <w:r w:rsidR="007D5ABA">
        <w:rPr>
          <w:lang w:val="mk-MK"/>
        </w:rPr>
        <w:t xml:space="preserve">како </w:t>
      </w:r>
      <w:r w:rsidRPr="00783226">
        <w:rPr>
          <w:lang w:val="mk-MK"/>
        </w:rPr>
        <w:t>недостаток на квалификувана работна сила</w:t>
      </w:r>
      <w:r w:rsidR="007D5ABA">
        <w:rPr>
          <w:lang w:val="mk-MK"/>
        </w:rPr>
        <w:t xml:space="preserve"> и</w:t>
      </w:r>
      <w:r w:rsidRPr="00783226">
        <w:rPr>
          <w:lang w:val="mk-MK"/>
        </w:rPr>
        <w:t xml:space="preserve"> социјални тензии Овие фактори создаваат потенцијал за постепена институционална трансформација.</w:t>
      </w:r>
    </w:p>
    <w:p w14:paraId="3D68678E" w14:textId="77777777" w:rsidR="001D7F06" w:rsidRDefault="00605E02" w:rsidP="001F6E4C">
      <w:pPr>
        <w:pStyle w:val="BodyText"/>
        <w:spacing w:before="240" w:after="240"/>
        <w:ind w:firstLine="720"/>
        <w:jc w:val="both"/>
        <w:rPr>
          <w:lang w:val="mk-MK"/>
        </w:rPr>
      </w:pPr>
      <w:r w:rsidRPr="00605E02">
        <w:rPr>
          <w:lang w:val="mk-MK"/>
        </w:rPr>
        <w:t xml:space="preserve">Главната цел на ова </w:t>
      </w:r>
      <w:r>
        <w:rPr>
          <w:lang w:val="mk-MK"/>
        </w:rPr>
        <w:t>поглавје е</w:t>
      </w:r>
      <w:r w:rsidRPr="00605E02">
        <w:rPr>
          <w:lang w:val="mk-MK"/>
        </w:rPr>
        <w:t xml:space="preserve"> да придонесе кон пореалистично, отворено и динамично разбирање на интерактивната природа на реформските процеси во социјалните држави на 21 век. Во таа насока </w:t>
      </w:r>
      <w:r w:rsidR="00C60C01">
        <w:rPr>
          <w:lang w:val="mk-MK"/>
        </w:rPr>
        <w:t>е и предлогот за</w:t>
      </w:r>
      <w:r w:rsidRPr="00605E02">
        <w:rPr>
          <w:lang w:val="mk-MK"/>
        </w:rPr>
        <w:t xml:space="preserve"> аналитичка хевристика која се темели на шест клучни димензии на јавната политика и која овозможува да се земат предвид улогата на политичките актери, нивните избори и институционалните ограничувања во комплексни повеќеактерски контексти. Сепак, оваа теоретски изведена матрица не треба да се разбере како стабилна рамнотежа која истовремено ги усогласува инструменталните аспекти на ефикасноста на политиката, административниот капацитет и уставната валидност со поконтекстуалните услови на политичка </w:t>
      </w:r>
      <w:r w:rsidRPr="00605E02">
        <w:rPr>
          <w:lang w:val="mk-MK"/>
        </w:rPr>
        <w:lastRenderedPageBreak/>
        <w:t>изводливост, професионален интегритет и јавна согласност.</w:t>
      </w:r>
    </w:p>
    <w:p w14:paraId="4B9AD3CB" w14:textId="69597E90" w:rsidR="00605E02" w:rsidRDefault="00605E02" w:rsidP="001F6E4C">
      <w:pPr>
        <w:pStyle w:val="BodyText"/>
        <w:spacing w:before="240" w:after="240"/>
        <w:ind w:firstLine="720"/>
        <w:jc w:val="both"/>
        <w:rPr>
          <w:lang w:val="mk-MK"/>
        </w:rPr>
      </w:pPr>
      <w:r w:rsidRPr="00605E02">
        <w:rPr>
          <w:lang w:val="mk-MK"/>
        </w:rPr>
        <w:t>Наместо тоа, предложената рамка треба да се сфати како емпириски ориентирана аналитичка алатка која им овозможува на истражувачите да ги следат процесите на реформи преку анализа на аргументите што се појавуваат во текот на политичките дебати и институционалните преговори. На тој начин, рамката помага да се долови динамичната, интерактивна и вгнездена природа на структурните реформи во развиените демократски социјални држави, насочувајќи го емпириското истражување кон начинот на кој со текот на времето се појавуваат тензии и конфликти помеѓу различните димензии на легитимност и како тие се артикулираат од страна на релевантните политички актери.</w:t>
      </w:r>
    </w:p>
    <w:p w14:paraId="1FA4F6DF" w14:textId="320CF1F0" w:rsidR="00544B9E" w:rsidRDefault="00544B9E" w:rsidP="001F6E4C">
      <w:pPr>
        <w:pStyle w:val="BodyText"/>
        <w:spacing w:before="240" w:after="240"/>
        <w:ind w:firstLine="720"/>
        <w:jc w:val="both"/>
        <w:rPr>
          <w:lang w:val="mk-MK"/>
        </w:rPr>
      </w:pPr>
      <w:r>
        <w:rPr>
          <w:lang w:val="mk-MK"/>
        </w:rPr>
        <w:t>Имајќи предвид дека и</w:t>
      </w:r>
      <w:r w:rsidRPr="00544B9E">
        <w:rPr>
          <w:lang w:val="mk-MK"/>
        </w:rPr>
        <w:t>нституционалниот развој во Македонија е обележан со специфична комбинација на формална усогласеност и ограничена практична имплементација</w:t>
      </w:r>
      <w:r w:rsidR="00CE00A6">
        <w:rPr>
          <w:lang w:val="mk-MK"/>
        </w:rPr>
        <w:t>, в</w:t>
      </w:r>
      <w:r w:rsidRPr="00544B9E">
        <w:rPr>
          <w:lang w:val="mk-MK"/>
        </w:rPr>
        <w:t xml:space="preserve">о областа на корпоративното управување, ова </w:t>
      </w:r>
      <w:r w:rsidR="00CE00A6">
        <w:rPr>
          <w:lang w:val="mk-MK"/>
        </w:rPr>
        <w:t>би се</w:t>
      </w:r>
      <w:r w:rsidRPr="00544B9E">
        <w:rPr>
          <w:lang w:val="mk-MK"/>
        </w:rPr>
        <w:t xml:space="preserve"> манифестира</w:t>
      </w:r>
      <w:r w:rsidR="00CE00A6">
        <w:rPr>
          <w:lang w:val="mk-MK"/>
        </w:rPr>
        <w:t>ло</w:t>
      </w:r>
      <w:r w:rsidRPr="00544B9E">
        <w:rPr>
          <w:lang w:val="mk-MK"/>
        </w:rPr>
        <w:t xml:space="preserve"> преку постоење</w:t>
      </w:r>
      <w:r w:rsidR="00EB41CC">
        <w:rPr>
          <w:lang w:val="mk-MK"/>
        </w:rPr>
        <w:t>то</w:t>
      </w:r>
      <w:r w:rsidRPr="00544B9E">
        <w:rPr>
          <w:lang w:val="mk-MK"/>
        </w:rPr>
        <w:t xml:space="preserve"> на формални правни рамки кои номинално ги следат европските стандарди</w:t>
      </w:r>
      <w:r w:rsidR="009F0F40">
        <w:rPr>
          <w:lang w:val="mk-MK"/>
        </w:rPr>
        <w:t>,</w:t>
      </w:r>
      <w:r w:rsidRPr="00544B9E">
        <w:rPr>
          <w:lang w:val="mk-MK"/>
        </w:rPr>
        <w:t xml:space="preserve"> ограничена примена и слаб надзор</w:t>
      </w:r>
      <w:r w:rsidR="009F0F40">
        <w:rPr>
          <w:lang w:val="mk-MK"/>
        </w:rPr>
        <w:t xml:space="preserve"> и</w:t>
      </w:r>
      <w:r w:rsidRPr="00544B9E">
        <w:rPr>
          <w:lang w:val="mk-MK"/>
        </w:rPr>
        <w:t xml:space="preserve"> доминација на сопственички модели со висока концентрација на контрола</w:t>
      </w:r>
      <w:r w:rsidR="008B5F57">
        <w:rPr>
          <w:lang w:val="mk-MK"/>
        </w:rPr>
        <w:t xml:space="preserve">. </w:t>
      </w:r>
      <w:r w:rsidR="00934D09" w:rsidRPr="00934D09">
        <w:rPr>
          <w:lang w:val="mk-MK"/>
        </w:rPr>
        <w:t xml:space="preserve">Во таков контекст, политиката на фидбек функционира како механизам на институционална инерција, преку кој постојните аранжмани не само што се репродуцираат, туку и активно ги обликуваат очекувањата и однесувањето на актерите. Тие генерираат стабилизирани перцепции за тоа што е можно и што е прифатливо во рамките на системот, ги ограничуваат опциите за реформа преку нормализирање на постојните практики и ја намалуваат веројатноста за радикални промени. Особено е значајно што отсуството на силни механизми за учество на вработените создава институционален вакуум во кој не се развива организирана побарувачка за реформи, ниту пак постојат ефективни канали за артикулација на интереси. Во такви услови, </w:t>
      </w:r>
      <w:r w:rsidR="00054B42">
        <w:rPr>
          <w:lang w:val="mk-MK"/>
        </w:rPr>
        <w:t xml:space="preserve">меѓусебната </w:t>
      </w:r>
      <w:r w:rsidR="00934D09" w:rsidRPr="00934D09">
        <w:rPr>
          <w:lang w:val="mk-MK"/>
        </w:rPr>
        <w:t>зависност дополнително се зајакнува, бидејќи недостигот на притисок од долу ја консолидира стабилноста на постојниот модел.</w:t>
      </w:r>
    </w:p>
    <w:p w14:paraId="2557E41E" w14:textId="109E3A71" w:rsidR="000D34F8" w:rsidRDefault="00D13333" w:rsidP="000D34F8">
      <w:pPr>
        <w:pStyle w:val="BodyText"/>
        <w:spacing w:before="240" w:after="240"/>
        <w:ind w:firstLine="720"/>
        <w:jc w:val="both"/>
        <w:rPr>
          <w:lang w:val="mk-MK"/>
        </w:rPr>
      </w:pPr>
      <w:r w:rsidRPr="00D13333">
        <w:rPr>
          <w:lang w:val="mk-MK"/>
        </w:rPr>
        <w:t>Резултатите од спроведеното истражување јасно ја потврдуваат оваа логика на политика на фидбек. Кај компаниите се забележува изразена претпазливост кон модели кои подразбираат споделување на контрола, што не може да се сведе само на рационална калкулација, туку треба да се разбере како производ на долгогодишна институционална практика. Отсуството на позитивни примери и доминантната перцепција дека постојниот модел функционира доволно добро создаваат самозајакнувачки циклус во кој нема стимул за експериментирање со нови форми на управување</w:t>
      </w:r>
      <w:r w:rsidR="000D34F8" w:rsidRPr="006F0705">
        <w:rPr>
          <w:lang w:val="mk-MK"/>
        </w:rPr>
        <w:t>.</w:t>
      </w:r>
      <w:r w:rsidR="000D34F8">
        <w:rPr>
          <w:rStyle w:val="FootnoteReference"/>
          <w:lang w:val="mk-MK"/>
        </w:rPr>
        <w:footnoteReference w:id="755"/>
      </w:r>
    </w:p>
    <w:p w14:paraId="2C2504D6" w14:textId="1D433BBF" w:rsidR="00354A44" w:rsidRDefault="00354A44" w:rsidP="000D34F8">
      <w:pPr>
        <w:pStyle w:val="BodyText"/>
        <w:spacing w:before="240" w:after="240"/>
        <w:ind w:firstLine="720"/>
        <w:jc w:val="both"/>
        <w:rPr>
          <w:lang w:val="mk-MK"/>
        </w:rPr>
      </w:pPr>
      <w:r w:rsidRPr="00354A44">
        <w:rPr>
          <w:lang w:val="mk-MK"/>
        </w:rPr>
        <w:t>Од друга страна, вработените покажуваат амбивалентна позиција која ја рефлектира тензијата помеѓу нормативната поддршка и институционалната недоверба. Иако постои јасна отвореност кон поголемо учество, таа е придружена со ниска доверба во институциите и скепса дека ваквите модели би биле реално имплементирани. Ова претставува класичен пример на негативен фидбек ефект, каде што слабите институции генерираат ниски очекувања, а тие пак ја намалуваат побарувачката за промена, создавајќи затворен круг на институционална стагнација.</w:t>
      </w:r>
    </w:p>
    <w:p w14:paraId="29A72A3F" w14:textId="09E3F3A4" w:rsidR="001D388D" w:rsidRDefault="001D388D" w:rsidP="000D34F8">
      <w:pPr>
        <w:pStyle w:val="BodyText"/>
        <w:spacing w:before="240" w:after="240"/>
        <w:ind w:firstLine="720"/>
        <w:jc w:val="both"/>
        <w:rPr>
          <w:lang w:val="mk-MK"/>
        </w:rPr>
      </w:pPr>
      <w:r w:rsidRPr="001D388D">
        <w:rPr>
          <w:lang w:val="mk-MK"/>
        </w:rPr>
        <w:t xml:space="preserve">Експертите, пак, ја препознаваат потребата од реформа и потенцијалот за нејзино воведување, но истовремено укажуваат на структурните ограничувања и неопходноста од постепен пристап. Нивните позиции ја отсликуваат тензијата помеѓу нормативно </w:t>
      </w:r>
      <w:r w:rsidRPr="001D388D">
        <w:rPr>
          <w:lang w:val="mk-MK"/>
        </w:rPr>
        <w:lastRenderedPageBreak/>
        <w:t>посакуваните модели и реално изводливите решенија, при што доминира ставот дека трансформацијата мора да биде внимателно дизајнирана и институционално поддржана.</w:t>
      </w:r>
    </w:p>
    <w:p w14:paraId="17030455" w14:textId="297E4EA8" w:rsidR="000C0607" w:rsidRDefault="000C0607" w:rsidP="000D34F8">
      <w:pPr>
        <w:pStyle w:val="BodyText"/>
        <w:spacing w:before="240" w:after="240"/>
        <w:ind w:firstLine="720"/>
        <w:jc w:val="both"/>
        <w:rPr>
          <w:lang w:val="mk-MK"/>
        </w:rPr>
      </w:pPr>
      <w:r w:rsidRPr="000C0607">
        <w:rPr>
          <w:lang w:val="mk-MK"/>
        </w:rPr>
        <w:t xml:space="preserve">Анализата покажува дека политиката на фидбек има двојна улога. Од една страна, таа ги стабилизира постојните односи на моќ, го намалува просторот за радикални реформи и создава самозајакнувачки институционални модели кои се отпорни на промена. Од друга страна, истите механизми можат да се искористат како алатка за трансформација, доколку реформите се дизајнираат така што ќе генерираат нови позитивни фидбек ефекти. Тоа подразбира постепено воведување на нови практики, создавање на позитивни примери и систематско градење на доверба меѓу актерите. Во таа смисла, реформата </w:t>
      </w:r>
      <w:r w:rsidR="00B11377">
        <w:rPr>
          <w:lang w:val="mk-MK"/>
        </w:rPr>
        <w:t>треба да се разбере</w:t>
      </w:r>
      <w:r w:rsidRPr="000C0607">
        <w:rPr>
          <w:lang w:val="mk-MK"/>
        </w:rPr>
        <w:t xml:space="preserve"> како процес на редефинирање на институционалните очекувања.</w:t>
      </w:r>
      <w:r w:rsidR="004B02F2">
        <w:rPr>
          <w:rStyle w:val="FootnoteReference"/>
          <w:lang w:val="mk-MK"/>
        </w:rPr>
        <w:footnoteReference w:id="756"/>
      </w:r>
      <w:r w:rsidR="00B11377">
        <w:rPr>
          <w:lang w:val="mk-MK"/>
        </w:rPr>
        <w:t xml:space="preserve"> </w:t>
      </w:r>
      <w:r w:rsidR="004B02F2">
        <w:rPr>
          <w:lang w:val="mk-MK"/>
        </w:rPr>
        <w:t>Визуелно, процесот би можел да се претстави на следниот начин:</w:t>
      </w:r>
    </w:p>
    <w:p w14:paraId="5A4783C7" w14:textId="77777777" w:rsidR="003E5DF1" w:rsidRDefault="003E5DF1" w:rsidP="003E5DF1">
      <w:pPr>
        <w:pStyle w:val="BodyText"/>
        <w:spacing w:line="360" w:lineRule="auto"/>
        <w:jc w:val="center"/>
        <w:rPr>
          <w:rFonts w:eastAsia="Arial Unicode MS"/>
          <w:b/>
          <w:bCs/>
          <w:color w:val="000000"/>
          <w:sz w:val="26"/>
          <w:szCs w:val="26"/>
          <w:u w:val="single"/>
          <w:bdr w:val="nil"/>
          <w:lang w:val="mk-MK"/>
        </w:rPr>
      </w:pPr>
      <w:r>
        <w:rPr>
          <w:noProof/>
        </w:rPr>
        <w:drawing>
          <wp:inline distT="0" distB="0" distL="0" distR="0" wp14:anchorId="3D839828" wp14:editId="7C711204">
            <wp:extent cx="5734050" cy="4394200"/>
            <wp:effectExtent l="0" t="0" r="0" b="6350"/>
            <wp:docPr id="2066982359"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83135" name="Picture 5" descr="A screenshot of a computer scree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0" cy="4394200"/>
                    </a:xfrm>
                    <a:prstGeom prst="rect">
                      <a:avLst/>
                    </a:prstGeom>
                    <a:noFill/>
                    <a:ln>
                      <a:noFill/>
                    </a:ln>
                  </pic:spPr>
                </pic:pic>
              </a:graphicData>
            </a:graphic>
          </wp:inline>
        </w:drawing>
      </w:r>
    </w:p>
    <w:p w14:paraId="04975AD0" w14:textId="77777777" w:rsidR="003E5DF1" w:rsidRPr="00D52194" w:rsidRDefault="003E5DF1" w:rsidP="003E5DF1">
      <w:pPr>
        <w:ind w:left="-810" w:firstLine="810"/>
        <w:jc w:val="center"/>
        <w:rPr>
          <w:i/>
          <w:iCs/>
          <w:sz w:val="24"/>
          <w:szCs w:val="24"/>
          <w:lang w:val="mk-MK"/>
        </w:rPr>
      </w:pPr>
      <w:r w:rsidRPr="00D52194">
        <w:rPr>
          <w:i/>
          <w:iCs/>
          <w:sz w:val="24"/>
          <w:szCs w:val="24"/>
          <w:lang w:val="mk-MK"/>
        </w:rPr>
        <w:t xml:space="preserve">Извор: истражувањето и податоците изнесени во докторската дисертација. </w:t>
      </w:r>
    </w:p>
    <w:p w14:paraId="6E15ED8F" w14:textId="6AC822B2" w:rsidR="003E5DF1" w:rsidRDefault="004B02F2" w:rsidP="000D34F8">
      <w:pPr>
        <w:pStyle w:val="BodyText"/>
        <w:spacing w:before="240" w:after="240"/>
        <w:ind w:firstLine="720"/>
        <w:jc w:val="both"/>
        <w:rPr>
          <w:lang w:val="mk-MK"/>
        </w:rPr>
      </w:pPr>
      <w:r w:rsidRPr="004B02F2">
        <w:rPr>
          <w:lang w:val="mk-MK"/>
        </w:rPr>
        <w:t xml:space="preserve">Еден од најзначајните наоди од истражувањето е воздржаноста на актерите да се позиционираат јавно или во формален институционален капацитет. Ова укажува на ограничен простор за артикулација на интереси, ниско ниво на институционална доверба и изразени асиметрии во односите на моќ. Во таков контекст, политиката на фидбек не е само економски или правен феномен, туку и демократски индикатор. Отсуството на активен фидбек од страна на вработените и пошироката јавност значи </w:t>
      </w:r>
      <w:r w:rsidRPr="004B02F2">
        <w:rPr>
          <w:lang w:val="mk-MK"/>
        </w:rPr>
        <w:lastRenderedPageBreak/>
        <w:t>дека институциите не се подложени на доволен притисок за реформа, а процесите на промена се одвиваат бавно, селективно и често реактивно. Оттука, институционалната трансформација е неразделно поврзана со квалитетот на демократските процеси и со капацитетот на системот да овозможи легитимна и ефективна артикулација на интереси.</w:t>
      </w:r>
    </w:p>
    <w:p w14:paraId="10722541" w14:textId="2E2CB7D4" w:rsidR="00BE7C3E" w:rsidRDefault="006908EC" w:rsidP="000D34F8">
      <w:pPr>
        <w:pStyle w:val="BodyText"/>
        <w:spacing w:before="240" w:after="240"/>
        <w:ind w:firstLine="720"/>
        <w:jc w:val="both"/>
        <w:rPr>
          <w:lang w:val="mk-MK"/>
        </w:rPr>
      </w:pPr>
      <w:r w:rsidRPr="006908EC">
        <w:rPr>
          <w:lang w:val="mk-MK"/>
        </w:rPr>
        <w:t xml:space="preserve">Политиката на фидбек, во тој поглед, претставува клучен аналитички инструмент за разбирање на институционалната трансформација во Македонија. Таа покажува дека постојните институции </w:t>
      </w:r>
      <w:r w:rsidR="00BB5338">
        <w:rPr>
          <w:lang w:val="mk-MK"/>
        </w:rPr>
        <w:t>се</w:t>
      </w:r>
      <w:r w:rsidRPr="006908EC">
        <w:rPr>
          <w:lang w:val="mk-MK"/>
        </w:rPr>
        <w:t xml:space="preserve"> активен фактор кој ги обликува можностите за промена. Во областа на корпоративното управување, фидбек механизмите создаваат стабилен, но ограничувачки систем во кој компаниите ја задржуваат контролата, вработените имаат ограничено влијание, а институциите функционираат со намален капацитет.</w:t>
      </w:r>
    </w:p>
    <w:p w14:paraId="14FC3088" w14:textId="36BDDFC6" w:rsidR="00BC6232" w:rsidRPr="00CA517F" w:rsidRDefault="00CA517F" w:rsidP="00CA517F">
      <w:pPr>
        <w:pStyle w:val="BodyText"/>
        <w:spacing w:before="240" w:after="240"/>
        <w:ind w:firstLine="720"/>
        <w:jc w:val="both"/>
        <w:rPr>
          <w:lang w:val="mk-MK"/>
        </w:rPr>
      </w:pPr>
      <w:r w:rsidRPr="00CA517F">
        <w:rPr>
          <w:lang w:val="mk-MK"/>
        </w:rPr>
        <w:t>Сепак, истите овие механизми можат да се искористат како основа за постепена трансформација, доколку реформите се дизајнираат како процес на градење доверба и создавање нови институционални очекувања. Во тој поглед, корпоративното управување станува огледало на институционалната зрелост, а политиката на фидбек клучен механизам преку кој се мери способноста на системот да се менува. Во тој поглед, успешната европеизација е мерлива не само преку формално усогласување, туку преку создавање на одржливи фидбек циклуси кои ја зајакнуваат легитимноста, ефективноста и инклузивноста на институциите.</w:t>
      </w:r>
    </w:p>
    <w:p w14:paraId="2C11FEBB" w14:textId="07D3660C" w:rsidR="001F6E4C" w:rsidRPr="00976A2C" w:rsidRDefault="00245081" w:rsidP="001F6E4C">
      <w:pPr>
        <w:pStyle w:val="Heading1"/>
        <w:numPr>
          <w:ilvl w:val="0"/>
          <w:numId w:val="14"/>
        </w:numPr>
        <w:jc w:val="both"/>
      </w:pPr>
      <w:bookmarkStart w:id="87" w:name="_Toc230523940"/>
      <w:r w:rsidRPr="00245081">
        <w:rPr>
          <w:lang w:val="mk-MK"/>
        </w:rPr>
        <w:t>Европската интеграција како катализатор на реформата</w:t>
      </w:r>
      <w:bookmarkEnd w:id="87"/>
    </w:p>
    <w:p w14:paraId="7D945766" w14:textId="19917D95" w:rsidR="001F6E4C" w:rsidRDefault="00217E26" w:rsidP="00217E26">
      <w:pPr>
        <w:pStyle w:val="BodyText"/>
        <w:spacing w:before="240"/>
        <w:ind w:firstLine="720"/>
        <w:jc w:val="both"/>
        <w:rPr>
          <w:lang w:val="mk-MK"/>
        </w:rPr>
      </w:pPr>
      <w:r w:rsidRPr="00217E26">
        <w:rPr>
          <w:lang w:val="mk-MK"/>
        </w:rPr>
        <w:t xml:space="preserve">Традицијата на политичките повратни врски </w:t>
      </w:r>
      <w:r w:rsidR="00106EFB">
        <w:rPr>
          <w:lang w:val="mk-MK"/>
        </w:rPr>
        <w:t>ја</w:t>
      </w:r>
      <w:r w:rsidRPr="00217E26">
        <w:rPr>
          <w:lang w:val="mk-MK"/>
        </w:rPr>
        <w:t xml:space="preserve"> продлабочува </w:t>
      </w:r>
      <w:r>
        <w:rPr>
          <w:lang w:val="mk-MK"/>
        </w:rPr>
        <w:t>досега поставен</w:t>
      </w:r>
      <w:r w:rsidR="00106EFB">
        <w:rPr>
          <w:lang w:val="mk-MK"/>
        </w:rPr>
        <w:t>ата</w:t>
      </w:r>
      <w:r w:rsidRPr="00217E26">
        <w:rPr>
          <w:lang w:val="mk-MK"/>
        </w:rPr>
        <w:t xml:space="preserve"> теоретск</w:t>
      </w:r>
      <w:r w:rsidR="00106EFB">
        <w:rPr>
          <w:lang w:val="mk-MK"/>
        </w:rPr>
        <w:t>а рамка</w:t>
      </w:r>
      <w:r w:rsidRPr="00217E26">
        <w:rPr>
          <w:lang w:val="mk-MK"/>
        </w:rPr>
        <w:t xml:space="preserve"> со тоа што покажува како политиките ги преобликуваат самите политички контексти од кои произлегуваат</w:t>
      </w:r>
      <w:r w:rsidR="0062554C">
        <w:rPr>
          <w:lang w:val="mk-MK"/>
        </w:rPr>
        <w:t>.</w:t>
      </w:r>
      <w:r w:rsidR="0062554C">
        <w:rPr>
          <w:rStyle w:val="FootnoteReference"/>
          <w:lang w:val="mk-MK"/>
        </w:rPr>
        <w:footnoteReference w:id="757"/>
      </w:r>
      <w:r w:rsidR="0062554C">
        <w:rPr>
          <w:lang w:val="mk-MK"/>
        </w:rPr>
        <w:t xml:space="preserve"> </w:t>
      </w:r>
      <w:r w:rsidRPr="00217E26">
        <w:rPr>
          <w:lang w:val="mk-MK"/>
        </w:rPr>
        <w:t>Наместо да бидат крајни точки на одлучувањето, политиките стануваат конститутивни сили кои создаваат нови интереси, поттици и ограничувања, со тоа структурирајќи ги идните реформски траектории. Во транзициските економии, како Македонија, раните политики на приватизација и либерализација создадоа моќни повратни ефекти. Тие ги зацврстија новоформираните менаџерски елити, ја фрагментираа сопственоста и го ослабија организираниот труд, поставувајќи ги параметрите за понатамошните реформи. Овие политики не само што одговараа на економските услови</w:t>
      </w:r>
      <w:r w:rsidR="00480AAF">
        <w:rPr>
          <w:lang w:val="mk-MK"/>
        </w:rPr>
        <w:t>,</w:t>
      </w:r>
      <w:r w:rsidRPr="00217E26">
        <w:rPr>
          <w:lang w:val="mk-MK"/>
        </w:rPr>
        <w:t xml:space="preserve"> тие ги создадоа актерите и интересите кои денес го доминираат политичкото поле.</w:t>
      </w:r>
      <w:r w:rsidR="00480AAF">
        <w:rPr>
          <w:rStyle w:val="FootnoteReference"/>
          <w:lang w:val="mk-MK"/>
        </w:rPr>
        <w:footnoteReference w:id="758"/>
      </w:r>
      <w:r w:rsidR="00130914">
        <w:rPr>
          <w:lang w:val="mk-MK"/>
        </w:rPr>
        <w:t xml:space="preserve"> Иако од денешна перспектива е јасно дека најголем дел од политиките беа штетни и по трговските друштва и по вработените, што може да се процени во однос на параметрите и перформансите на македонската економија денес и тогаш, </w:t>
      </w:r>
      <w:r w:rsidR="005B0722">
        <w:rPr>
          <w:lang w:val="mk-MK"/>
        </w:rPr>
        <w:t xml:space="preserve">истражувањето ги зема овие факти како почетни точки за анализа. </w:t>
      </w:r>
    </w:p>
    <w:p w14:paraId="6D20514D" w14:textId="18AAF668" w:rsidR="005B0722" w:rsidRDefault="005B0722" w:rsidP="00217E26">
      <w:pPr>
        <w:pStyle w:val="BodyText"/>
        <w:spacing w:before="240"/>
        <w:ind w:firstLine="720"/>
        <w:jc w:val="both"/>
        <w:rPr>
          <w:lang w:val="mk-MK"/>
        </w:rPr>
      </w:pPr>
      <w:r w:rsidRPr="005B0722">
        <w:rPr>
          <w:lang w:val="mk-MK"/>
        </w:rPr>
        <w:t>Оваа рекурзивна динамика го илустрира она што Хакер и Пирсон го нарекуваат „политика на повратни врски".</w:t>
      </w:r>
      <w:r w:rsidR="004879A2">
        <w:rPr>
          <w:rStyle w:val="FootnoteReference"/>
          <w:lang w:val="mk-MK"/>
        </w:rPr>
        <w:footnoteReference w:id="759"/>
      </w:r>
      <w:r w:rsidRPr="005B0722">
        <w:rPr>
          <w:lang w:val="mk-MK"/>
        </w:rPr>
        <w:t xml:space="preserve"> Институциите го обликуваат учеството</w:t>
      </w:r>
      <w:r w:rsidR="00D30394">
        <w:rPr>
          <w:lang w:val="mk-MK"/>
        </w:rPr>
        <w:t xml:space="preserve"> и</w:t>
      </w:r>
      <w:r w:rsidRPr="005B0722">
        <w:rPr>
          <w:lang w:val="mk-MK"/>
        </w:rPr>
        <w:t xml:space="preserve"> правилата на управување определуваат кој има глас, а кој останува исклучен. Постојаната маргинализација на трудот во македонското корпоративно управување не одразува само нормативна пристрасност, туку </w:t>
      </w:r>
      <w:r w:rsidR="00D30394">
        <w:rPr>
          <w:lang w:val="mk-MK"/>
        </w:rPr>
        <w:t>создава и</w:t>
      </w:r>
      <w:r w:rsidRPr="005B0722">
        <w:rPr>
          <w:lang w:val="mk-MK"/>
        </w:rPr>
        <w:t xml:space="preserve"> патно-зависен исход на поранешните неолиберални реформи. Откако ќе се институционализираат, овие аранжмани создаваат самоодржувачки механизми кои го </w:t>
      </w:r>
      <w:r w:rsidR="00882E84">
        <w:rPr>
          <w:lang w:val="mk-MK"/>
        </w:rPr>
        <w:t>перпетуираат</w:t>
      </w:r>
      <w:r w:rsidRPr="005B0722">
        <w:rPr>
          <w:lang w:val="mk-MK"/>
        </w:rPr>
        <w:t xml:space="preserve"> ограниченото учество и слабата отчетност.</w:t>
      </w:r>
    </w:p>
    <w:p w14:paraId="470980C7" w14:textId="641F053E" w:rsidR="00882E84" w:rsidRDefault="00882E84" w:rsidP="00217E26">
      <w:pPr>
        <w:pStyle w:val="BodyText"/>
        <w:spacing w:before="240"/>
        <w:ind w:firstLine="720"/>
        <w:jc w:val="both"/>
        <w:rPr>
          <w:lang w:val="mk-MK"/>
        </w:rPr>
      </w:pPr>
      <w:r w:rsidRPr="00882E84">
        <w:rPr>
          <w:lang w:val="mk-MK"/>
        </w:rPr>
        <w:lastRenderedPageBreak/>
        <w:t>Рамката за повеќе</w:t>
      </w:r>
      <w:r>
        <w:rPr>
          <w:lang w:val="mk-MK"/>
        </w:rPr>
        <w:t>слојно</w:t>
      </w:r>
      <w:r w:rsidRPr="00882E84">
        <w:rPr>
          <w:lang w:val="mk-MK"/>
        </w:rPr>
        <w:t xml:space="preserve"> управување на Европската унија додава уште една димензија.</w:t>
      </w:r>
      <w:r w:rsidR="00F8563C">
        <w:rPr>
          <w:rStyle w:val="FootnoteReference"/>
          <w:lang w:val="mk-MK"/>
        </w:rPr>
        <w:footnoteReference w:id="760"/>
      </w:r>
      <w:r w:rsidRPr="00882E84">
        <w:rPr>
          <w:lang w:val="mk-MK"/>
        </w:rPr>
        <w:t xml:space="preserve"> Пристапувањето кон ЕУ ги дифузира регулаторните норми кои ја привилегираат транспарентноста, заштитата на акционерите и независноста на одборите. Иако овие стандарди ја зајакнуваат формалната усогласеност, тие истовремено можат да ја зацврстат доминација</w:t>
      </w:r>
      <w:r w:rsidR="0029543C">
        <w:rPr>
          <w:lang w:val="mk-MK"/>
        </w:rPr>
        <w:t>та на елитите</w:t>
      </w:r>
      <w:r w:rsidRPr="00882E84">
        <w:rPr>
          <w:lang w:val="mk-MK"/>
        </w:rPr>
        <w:t xml:space="preserve"> кога се имплементираат без контрабалансирачки механизми за зајакнување на работниците.</w:t>
      </w:r>
      <w:r w:rsidR="0029543C">
        <w:rPr>
          <w:rStyle w:val="FootnoteReference"/>
          <w:lang w:val="mk-MK"/>
        </w:rPr>
        <w:footnoteReference w:id="761"/>
      </w:r>
      <w:r w:rsidRPr="00882E84">
        <w:rPr>
          <w:lang w:val="mk-MK"/>
        </w:rPr>
        <w:t xml:space="preserve"> Резултатот е хибриден институционален поредок</w:t>
      </w:r>
      <w:r w:rsidR="00090C98">
        <w:rPr>
          <w:lang w:val="mk-MK"/>
        </w:rPr>
        <w:t xml:space="preserve"> кој е</w:t>
      </w:r>
      <w:r w:rsidRPr="00882E84">
        <w:rPr>
          <w:lang w:val="mk-MK"/>
        </w:rPr>
        <w:t xml:space="preserve"> формално конвергентен со нормите на ЕУ, но суштински дивергентен во дистрибутивните исходи. Концептот на патна зависност на Пирсон разјаснува зошто ваквите хибридни аранжмани опстојуваат </w:t>
      </w:r>
      <w:r w:rsidR="00090C98">
        <w:rPr>
          <w:lang w:val="mk-MK"/>
        </w:rPr>
        <w:t>и како</w:t>
      </w:r>
      <w:r w:rsidRPr="00882E84">
        <w:rPr>
          <w:lang w:val="mk-MK"/>
        </w:rPr>
        <w:t xml:space="preserve"> </w:t>
      </w:r>
      <w:r w:rsidR="00090C98">
        <w:rPr>
          <w:lang w:val="mk-MK"/>
        </w:rPr>
        <w:t>и</w:t>
      </w:r>
      <w:r w:rsidRPr="00882E84">
        <w:rPr>
          <w:lang w:val="mk-MK"/>
        </w:rPr>
        <w:t xml:space="preserve">нституционални наследства </w:t>
      </w:r>
      <w:r w:rsidR="00090C98">
        <w:rPr>
          <w:lang w:val="mk-MK"/>
        </w:rPr>
        <w:t>ги наведува</w:t>
      </w:r>
      <w:r w:rsidRPr="00882E84">
        <w:rPr>
          <w:lang w:val="mk-MK"/>
        </w:rPr>
        <w:t xml:space="preserve"> закони</w:t>
      </w:r>
      <w:r w:rsidR="00090C98">
        <w:rPr>
          <w:lang w:val="mk-MK"/>
        </w:rPr>
        <w:t>те</w:t>
      </w:r>
      <w:r w:rsidRPr="00882E84">
        <w:rPr>
          <w:lang w:val="mk-MK"/>
        </w:rPr>
        <w:t xml:space="preserve"> за приватизација, слаби</w:t>
      </w:r>
      <w:r w:rsidR="00134214">
        <w:rPr>
          <w:lang w:val="mk-MK"/>
        </w:rPr>
        <w:t>те</w:t>
      </w:r>
      <w:r w:rsidRPr="00882E84">
        <w:rPr>
          <w:lang w:val="mk-MK"/>
        </w:rPr>
        <w:t xml:space="preserve"> синдикати, </w:t>
      </w:r>
      <w:r w:rsidR="00134214">
        <w:rPr>
          <w:lang w:val="mk-MK"/>
        </w:rPr>
        <w:t xml:space="preserve">и </w:t>
      </w:r>
      <w:r w:rsidRPr="00882E84">
        <w:rPr>
          <w:lang w:val="mk-MK"/>
        </w:rPr>
        <w:t>ограничен</w:t>
      </w:r>
      <w:r w:rsidR="00134214">
        <w:rPr>
          <w:lang w:val="mk-MK"/>
        </w:rPr>
        <w:t>иот</w:t>
      </w:r>
      <w:r w:rsidRPr="00882E84">
        <w:rPr>
          <w:lang w:val="mk-MK"/>
        </w:rPr>
        <w:t xml:space="preserve"> административен капацитет</w:t>
      </w:r>
      <w:r w:rsidR="00134214">
        <w:rPr>
          <w:lang w:val="mk-MK"/>
        </w:rPr>
        <w:t>, кои</w:t>
      </w:r>
      <w:r w:rsidRPr="00882E84">
        <w:rPr>
          <w:lang w:val="mk-MK"/>
        </w:rPr>
        <w:t xml:space="preserve"> создаваат високи трошоци на промена, кои ги прават радикалните реформи политички и економски скапи. Дури и кога се усвојуваат прогресивни рамки, тие остануваат симболични доколку не создадат нови коалиции способни да ги бранат.</w:t>
      </w:r>
    </w:p>
    <w:p w14:paraId="1F4F608D" w14:textId="7F6E25F2" w:rsidR="00C52A0A" w:rsidRDefault="00C52A0A" w:rsidP="00217E26">
      <w:pPr>
        <w:pStyle w:val="BodyText"/>
        <w:spacing w:before="240"/>
        <w:ind w:firstLine="720"/>
        <w:jc w:val="both"/>
        <w:rPr>
          <w:lang w:val="mk-MK"/>
        </w:rPr>
      </w:pPr>
      <w:r w:rsidRPr="00C52A0A">
        <w:rPr>
          <w:lang w:val="mk-MK"/>
        </w:rPr>
        <w:t xml:space="preserve">Политичките повратни врски, значи, дејствуваат на повеќе нивоа. Ги обликуваат поттиците на актерите преку стекнати интереси, институционалната еволуција преку патната зависност и јавната перцепција преку политичкото лизгање. Во Македонија, ова лизгање се манифестира преку растечката дисјункција помеѓу формалното законодавство усогласено со ЕУ и постојаното исклучување на работниците од управувањето. Статичните институции создаваат динамична нееднаквост. На крајот на краиштата, анализата на политичките повратни врски открива дека реформата е подеднакво прашање на раскинување на повратните јамки, колку и на осмислување нови правила. За Македонија, изградбата на инклузивно управување бара создавање политики кои не само што ги регулираат пазарите, туку генерираат нови поддржувачки коалиции за учество. Модел кој ги вградува работничките претставувања во корпоративното одлучување би можел да ги трансформира повратните динамики, правејќи </w:t>
      </w:r>
      <w:r w:rsidR="00317551">
        <w:rPr>
          <w:lang w:val="mk-MK"/>
        </w:rPr>
        <w:t>ја</w:t>
      </w:r>
      <w:r w:rsidRPr="00C52A0A">
        <w:rPr>
          <w:lang w:val="mk-MK"/>
        </w:rPr>
        <w:t xml:space="preserve"> инклузивноста самоодржувачка, наместо вечно аспирациска. Накратко, политиките ја следат политиката</w:t>
      </w:r>
      <w:r w:rsidR="000D2669">
        <w:rPr>
          <w:lang w:val="mk-MK"/>
        </w:rPr>
        <w:t>, но истовремено</w:t>
      </w:r>
      <w:r w:rsidRPr="00C52A0A">
        <w:rPr>
          <w:lang w:val="mk-MK"/>
        </w:rPr>
        <w:t xml:space="preserve"> ја создаваат</w:t>
      </w:r>
      <w:r w:rsidR="000D2669">
        <w:rPr>
          <w:lang w:val="mk-MK"/>
        </w:rPr>
        <w:t>.</w:t>
      </w:r>
      <w:r w:rsidR="000D2669">
        <w:rPr>
          <w:rStyle w:val="FootnoteReference"/>
          <w:lang w:val="mk-MK"/>
        </w:rPr>
        <w:footnoteReference w:id="762"/>
      </w:r>
    </w:p>
    <w:p w14:paraId="4DC7BDD2" w14:textId="0A49F585" w:rsidR="002B50A9" w:rsidRDefault="002B50A9" w:rsidP="00217E26">
      <w:pPr>
        <w:pStyle w:val="BodyText"/>
        <w:spacing w:before="240"/>
        <w:ind w:firstLine="720"/>
        <w:jc w:val="both"/>
        <w:rPr>
          <w:lang w:val="mk-MK"/>
        </w:rPr>
      </w:pPr>
      <w:r w:rsidRPr="002B50A9">
        <w:rPr>
          <w:lang w:val="mk-MK"/>
        </w:rPr>
        <w:t>Џорџ Цебелис и Фриц Шарпф нудат комплементарни објаснувања за структурната инертност на сложените системи</w:t>
      </w:r>
      <w:r w:rsidR="00502550">
        <w:rPr>
          <w:lang w:val="mk-MK"/>
        </w:rPr>
        <w:t>.</w:t>
      </w:r>
      <w:r w:rsidRPr="002B50A9">
        <w:rPr>
          <w:lang w:val="mk-MK"/>
        </w:rPr>
        <w:t xml:space="preserve"> Цебелис преку неговата теорија за играчите </w:t>
      </w:r>
      <w:r w:rsidR="004315B2">
        <w:rPr>
          <w:lang w:val="mk-MK"/>
        </w:rPr>
        <w:t>со моќ на</w:t>
      </w:r>
      <w:r w:rsidRPr="002B50A9">
        <w:rPr>
          <w:lang w:val="mk-MK"/>
        </w:rPr>
        <w:t xml:space="preserve"> вето,</w:t>
      </w:r>
      <w:r w:rsidR="00502550">
        <w:rPr>
          <w:rStyle w:val="FootnoteReference"/>
          <w:lang w:val="mk-MK"/>
        </w:rPr>
        <w:footnoteReference w:id="763"/>
      </w:r>
      <w:r w:rsidRPr="002B50A9">
        <w:rPr>
          <w:lang w:val="mk-MK"/>
        </w:rPr>
        <w:t xml:space="preserve"> а Шарпф преку неговата анализа на замките на заедничкото одлучување,</w:t>
      </w:r>
      <w:r w:rsidR="00055659">
        <w:rPr>
          <w:rStyle w:val="FootnoteReference"/>
          <w:lang w:val="mk-MK"/>
        </w:rPr>
        <w:footnoteReference w:id="764"/>
      </w:r>
      <w:r w:rsidRPr="002B50A9">
        <w:rPr>
          <w:lang w:val="mk-MK"/>
        </w:rPr>
        <w:t xml:space="preserve"> ги продолжуваат овие увиди со тоа </w:t>
      </w:r>
      <w:r w:rsidR="008F5EB4">
        <w:rPr>
          <w:lang w:val="mk-MK"/>
        </w:rPr>
        <w:t>што</w:t>
      </w:r>
      <w:r w:rsidRPr="002B50A9">
        <w:rPr>
          <w:lang w:val="mk-MK"/>
        </w:rPr>
        <w:t xml:space="preserve"> објаснуваат зошто, дури и кога актерите бараат реформа, самиот институционален дизајн може да ја оневозможи промената. Цебелис ги преведува институционалните и партиските конфигурации во геометрија на остварливи промени. Реформата на политиките е можна само кога сите играчи на вето</w:t>
      </w:r>
      <w:r w:rsidR="008F5EB4">
        <w:rPr>
          <w:lang w:val="mk-MK"/>
        </w:rPr>
        <w:t>,</w:t>
      </w:r>
      <w:r w:rsidRPr="002B50A9">
        <w:rPr>
          <w:lang w:val="mk-MK"/>
        </w:rPr>
        <w:t xml:space="preserve"> оние чија согласност е потребна за законодавство</w:t>
      </w:r>
      <w:r w:rsidR="008F5EB4">
        <w:rPr>
          <w:lang w:val="mk-MK"/>
        </w:rPr>
        <w:t>то да смени и применува,</w:t>
      </w:r>
      <w:r w:rsidRPr="002B50A9">
        <w:rPr>
          <w:lang w:val="mk-MK"/>
        </w:rPr>
        <w:t xml:space="preserve"> ќе се согласат. Малите „win-set"-и или големите јадра на едногласност го создаваат рамнотежното стабилност</w:t>
      </w:r>
      <w:r w:rsidR="00EF36F0">
        <w:rPr>
          <w:lang w:val="mk-MK"/>
        </w:rPr>
        <w:t xml:space="preserve"> што значи дека</w:t>
      </w:r>
      <w:r w:rsidRPr="002B50A9">
        <w:rPr>
          <w:lang w:val="mk-MK"/>
        </w:rPr>
        <w:t xml:space="preserve"> неактивноста не е неуспех, туку логичен исход на институционалната структура. Оваа логика ги разјаснува порано дискутираните концепти на ограничена рационалност и инкрементализам</w:t>
      </w:r>
      <w:r w:rsidR="00EF36F0">
        <w:rPr>
          <w:lang w:val="mk-MK"/>
        </w:rPr>
        <w:t xml:space="preserve"> затоа што</w:t>
      </w:r>
      <w:r w:rsidRPr="002B50A9">
        <w:rPr>
          <w:lang w:val="mk-MK"/>
        </w:rPr>
        <w:t xml:space="preserve"> актерите можат да имаат намера за промена, но конфигурациите на вето го прават инкрементализмот единствен остварлив пат. Таму каде Линдблом го </w:t>
      </w:r>
      <w:r w:rsidR="006B15F8">
        <w:rPr>
          <w:lang w:val="mk-MK"/>
        </w:rPr>
        <w:t xml:space="preserve">објаснуваше </w:t>
      </w:r>
      <w:r w:rsidRPr="002B50A9">
        <w:rPr>
          <w:lang w:val="mk-MK"/>
        </w:rPr>
        <w:lastRenderedPageBreak/>
        <w:t xml:space="preserve">инкрементализмот како бихевиорален процес, Цебелис го </w:t>
      </w:r>
      <w:r w:rsidR="006B15F8">
        <w:rPr>
          <w:lang w:val="mk-MK"/>
        </w:rPr>
        <w:t>објаснуваше</w:t>
      </w:r>
      <w:r w:rsidRPr="002B50A9">
        <w:rPr>
          <w:lang w:val="mk-MK"/>
        </w:rPr>
        <w:t xml:space="preserve"> како структурен услов.</w:t>
      </w:r>
    </w:p>
    <w:p w14:paraId="2EECBCED" w14:textId="1D671614" w:rsidR="00E04D7D" w:rsidRDefault="00C136F8" w:rsidP="00217E26">
      <w:pPr>
        <w:pStyle w:val="BodyText"/>
        <w:spacing w:before="240"/>
        <w:ind w:firstLine="720"/>
        <w:jc w:val="both"/>
        <w:rPr>
          <w:lang w:val="mk-MK"/>
        </w:rPr>
      </w:pPr>
      <w:r w:rsidRPr="00C136F8">
        <w:rPr>
          <w:lang w:val="mk-MK"/>
        </w:rPr>
        <w:t>Цебелис, исто така, го разгледува проблемот на колективните актери</w:t>
      </w:r>
      <w:r w:rsidR="00686D04">
        <w:rPr>
          <w:lang w:val="en-US"/>
        </w:rPr>
        <w:t>,</w:t>
      </w:r>
      <w:r w:rsidRPr="00C136F8">
        <w:rPr>
          <w:lang w:val="mk-MK"/>
        </w:rPr>
        <w:t xml:space="preserve"> законодавните тела, коалициите и партиите. Нивната внатрешна кохезија го определува обемот на остварливиот „win-set"</w:t>
      </w:r>
      <w:r w:rsidR="00EF0A5F">
        <w:rPr>
          <w:lang w:val="en-US"/>
        </w:rPr>
        <w:t xml:space="preserve"> </w:t>
      </w:r>
      <w:r w:rsidR="00EF0A5F">
        <w:rPr>
          <w:lang w:val="mk-MK"/>
        </w:rPr>
        <w:t>затоа што</w:t>
      </w:r>
      <w:r w:rsidRPr="00C136F8">
        <w:rPr>
          <w:lang w:val="mk-MK"/>
        </w:rPr>
        <w:t xml:space="preserve"> кохезивните актери го намалуваат, зголемувајќи ја стабилноста</w:t>
      </w:r>
      <w:r w:rsidR="00DB2139">
        <w:rPr>
          <w:lang w:val="mk-MK"/>
        </w:rPr>
        <w:t>, а</w:t>
      </w:r>
      <w:r w:rsidRPr="00C136F8">
        <w:rPr>
          <w:lang w:val="mk-MK"/>
        </w:rPr>
        <w:t xml:space="preserve"> фрагментираните го зголемуваат, предизвикувајќи политичка нестабилност. За емпириското истражување, ова значи дека кохезијата и идеолошкиот опсег треба да се третираат како клучни независни варијабли кои ги обликуваат политичките исходи. Шарпф ја дополнува оваа анализа со идентификување на начините на управување кои определуваат како вето-ограничувањата функционираат во практиката. Во режимот на заедничко одлучување </w:t>
      </w:r>
      <w:r w:rsidR="00F562DF">
        <w:rPr>
          <w:lang w:val="mk-MK"/>
        </w:rPr>
        <w:t xml:space="preserve">како </w:t>
      </w:r>
      <w:r w:rsidRPr="00C136F8">
        <w:rPr>
          <w:lang w:val="mk-MK"/>
        </w:rPr>
        <w:t>на пример во ЕУ, барањата за едногласност и повеќето точки на вето честопати предизвикуваат парализа</w:t>
      </w:r>
      <w:r w:rsidR="00F562DF">
        <w:rPr>
          <w:lang w:val="mk-MK"/>
        </w:rPr>
        <w:t>, односно создаваат</w:t>
      </w:r>
      <w:r w:rsidRPr="00C136F8">
        <w:rPr>
          <w:lang w:val="mk-MK"/>
        </w:rPr>
        <w:t xml:space="preserve"> замка на заедничко одлучување.</w:t>
      </w:r>
      <w:r w:rsidR="00F562DF">
        <w:rPr>
          <w:rStyle w:val="FootnoteReference"/>
          <w:lang w:val="mk-MK"/>
        </w:rPr>
        <w:footnoteReference w:id="765"/>
      </w:r>
      <w:r w:rsidRPr="00C136F8">
        <w:rPr>
          <w:lang w:val="mk-MK"/>
        </w:rPr>
        <w:t xml:space="preserve"> Сепак, Шарпф идентификува и делумни излезни патишта</w:t>
      </w:r>
      <w:r w:rsidR="008A01AA">
        <w:rPr>
          <w:lang w:val="mk-MK"/>
        </w:rPr>
        <w:t xml:space="preserve"> како што се</w:t>
      </w:r>
      <w:r w:rsidRPr="00C136F8">
        <w:rPr>
          <w:lang w:val="mk-MK"/>
        </w:rPr>
        <w:t xml:space="preserve"> централизираните поставувачи на агенда </w:t>
      </w:r>
      <w:r w:rsidR="008A01AA">
        <w:rPr>
          <w:lang w:val="mk-MK"/>
        </w:rPr>
        <w:t>како на пример</w:t>
      </w:r>
      <w:r w:rsidRPr="00C136F8">
        <w:rPr>
          <w:lang w:val="mk-MK"/>
        </w:rPr>
        <w:t xml:space="preserve"> Европската комисија и наднационалните судови</w:t>
      </w:r>
      <w:r w:rsidR="008A01AA">
        <w:rPr>
          <w:lang w:val="mk-MK"/>
        </w:rPr>
        <w:t>, кои</w:t>
      </w:r>
      <w:r w:rsidRPr="00C136F8">
        <w:rPr>
          <w:lang w:val="mk-MK"/>
        </w:rPr>
        <w:t xml:space="preserve"> можат да ги реконфигурираат ограничувањата, овозможувајќи селективна, иако честопати асиметрична, политичка промена.</w:t>
      </w:r>
    </w:p>
    <w:p w14:paraId="2E7E79AB" w14:textId="79B2682F" w:rsidR="00037805" w:rsidRDefault="00B74858" w:rsidP="00037805">
      <w:pPr>
        <w:pStyle w:val="BodyText"/>
        <w:spacing w:before="240"/>
        <w:ind w:firstLine="720"/>
        <w:jc w:val="both"/>
        <w:rPr>
          <w:lang w:val="en-US"/>
        </w:rPr>
      </w:pPr>
      <w:r w:rsidRPr="00B74858">
        <w:rPr>
          <w:lang w:val="mk-MK"/>
        </w:rPr>
        <w:t>Овој увид е паралелен со концептот на политичките претприемачи на Кингдон</w:t>
      </w:r>
      <w:r w:rsidR="00767B42">
        <w:rPr>
          <w:lang w:val="mk-MK"/>
        </w:rPr>
        <w:t xml:space="preserve">, односно </w:t>
      </w:r>
      <w:r w:rsidRPr="00B74858">
        <w:rPr>
          <w:lang w:val="mk-MK"/>
        </w:rPr>
        <w:t xml:space="preserve">актери кои преку стратешко врамување или </w:t>
      </w:r>
      <w:r w:rsidR="00767B42">
        <w:rPr>
          <w:lang w:val="mk-MK"/>
        </w:rPr>
        <w:t xml:space="preserve">по </w:t>
      </w:r>
      <w:r w:rsidRPr="00B74858">
        <w:rPr>
          <w:lang w:val="mk-MK"/>
        </w:rPr>
        <w:t>институционал</w:t>
      </w:r>
      <w:r w:rsidR="00767B42">
        <w:rPr>
          <w:lang w:val="mk-MK"/>
        </w:rPr>
        <w:t>ен пат</w:t>
      </w:r>
      <w:r w:rsidRPr="00B74858">
        <w:rPr>
          <w:lang w:val="mk-MK"/>
        </w:rPr>
        <w:t>, го прошируваат остварливиот простор за одлучување.</w:t>
      </w:r>
      <w:r w:rsidR="00767B42">
        <w:rPr>
          <w:rStyle w:val="FootnoteReference"/>
          <w:lang w:val="mk-MK"/>
        </w:rPr>
        <w:footnoteReference w:id="766"/>
      </w:r>
      <w:r w:rsidRPr="00B74858">
        <w:rPr>
          <w:lang w:val="mk-MK"/>
        </w:rPr>
        <w:t xml:space="preserve"> Меѓутоа, Шарпф предупредува дека ваквите „излези" се политички скапи и чувствителни на легитимитет </w:t>
      </w:r>
      <w:r w:rsidR="00767B42">
        <w:rPr>
          <w:lang w:val="mk-MK"/>
        </w:rPr>
        <w:t>затоа што</w:t>
      </w:r>
      <w:r w:rsidRPr="00B74858">
        <w:rPr>
          <w:lang w:val="mk-MK"/>
        </w:rPr>
        <w:t xml:space="preserve"> тие го поместуваат локусот на одлучување, а не ги елиминираат ветата. Реформата на корпоративното управување во Македонија е типичен пример за систем со висок степен на вето. Расфрлани коалиции, концентрирана сопственост, ограничена партиска кохезија и условувањето на ЕУ</w:t>
      </w:r>
      <w:r w:rsidR="00767B42">
        <w:rPr>
          <w:lang w:val="mk-MK"/>
        </w:rPr>
        <w:t>,</w:t>
      </w:r>
      <w:r w:rsidRPr="00B74858">
        <w:rPr>
          <w:lang w:val="mk-MK"/>
        </w:rPr>
        <w:t xml:space="preserve"> сето ова дејствува како точк</w:t>
      </w:r>
      <w:r w:rsidR="00BE702E">
        <w:rPr>
          <w:lang w:val="mk-MK"/>
        </w:rPr>
        <w:t>а</w:t>
      </w:r>
      <w:r w:rsidRPr="00B74858">
        <w:rPr>
          <w:lang w:val="mk-MK"/>
        </w:rPr>
        <w:t xml:space="preserve"> на вето ко</w:t>
      </w:r>
      <w:r w:rsidR="00BE702E">
        <w:rPr>
          <w:lang w:val="mk-MK"/>
        </w:rPr>
        <w:t>ја</w:t>
      </w:r>
      <w:r w:rsidRPr="00B74858">
        <w:rPr>
          <w:lang w:val="mk-MK"/>
        </w:rPr>
        <w:t xml:space="preserve"> ја блокира трансформативната реформа. Затоа, картографирањето на формалните</w:t>
      </w:r>
      <w:r w:rsidR="00BE702E">
        <w:rPr>
          <w:lang w:val="mk-MK"/>
        </w:rPr>
        <w:t xml:space="preserve">, како </w:t>
      </w:r>
      <w:r w:rsidRPr="00B74858">
        <w:rPr>
          <w:lang w:val="mk-MK"/>
        </w:rPr>
        <w:t>уставни</w:t>
      </w:r>
      <w:r w:rsidR="00BE702E">
        <w:rPr>
          <w:lang w:val="mk-MK"/>
        </w:rPr>
        <w:t xml:space="preserve"> и</w:t>
      </w:r>
      <w:r w:rsidRPr="00B74858">
        <w:rPr>
          <w:lang w:val="mk-MK"/>
        </w:rPr>
        <w:t xml:space="preserve"> законодавни</w:t>
      </w:r>
      <w:r w:rsidR="00BE702E">
        <w:rPr>
          <w:lang w:val="mk-MK"/>
        </w:rPr>
        <w:t>,</w:t>
      </w:r>
      <w:r w:rsidRPr="00B74858">
        <w:rPr>
          <w:lang w:val="mk-MK"/>
        </w:rPr>
        <w:t xml:space="preserve"> и неформалните</w:t>
      </w:r>
      <w:r w:rsidR="00BE702E">
        <w:rPr>
          <w:lang w:val="mk-MK"/>
        </w:rPr>
        <w:t xml:space="preserve">, како </w:t>
      </w:r>
      <w:r w:rsidRPr="00B74858">
        <w:rPr>
          <w:lang w:val="mk-MK"/>
        </w:rPr>
        <w:t>економски</w:t>
      </w:r>
      <w:r w:rsidR="00BE702E">
        <w:rPr>
          <w:lang w:val="mk-MK"/>
        </w:rPr>
        <w:t xml:space="preserve"> и</w:t>
      </w:r>
      <w:r w:rsidRPr="00B74858">
        <w:rPr>
          <w:lang w:val="mk-MK"/>
        </w:rPr>
        <w:t xml:space="preserve"> наднационални</w:t>
      </w:r>
      <w:r w:rsidR="00BE702E">
        <w:rPr>
          <w:lang w:val="mk-MK"/>
        </w:rPr>
        <w:t>,</w:t>
      </w:r>
      <w:r w:rsidRPr="00B74858">
        <w:rPr>
          <w:lang w:val="mk-MK"/>
        </w:rPr>
        <w:t xml:space="preserve"> играчи на вето е клучно за разбирање на инертноста на системот.</w:t>
      </w:r>
      <w:r w:rsidR="00652B00">
        <w:rPr>
          <w:rStyle w:val="FootnoteReference"/>
          <w:lang w:val="mk-MK"/>
        </w:rPr>
        <w:footnoteReference w:id="767"/>
      </w:r>
      <w:r w:rsidRPr="00B74858">
        <w:rPr>
          <w:lang w:val="mk-MK"/>
        </w:rPr>
        <w:t xml:space="preserve"> Дури и кога законите се менуваат, исходите можат да останат непроменети. Слабата примена, административната фрагментација и длабоко вкоренетите приватни интереси г</w:t>
      </w:r>
      <w:r w:rsidR="00DE463B">
        <w:rPr>
          <w:lang w:val="mk-MK"/>
        </w:rPr>
        <w:t>о</w:t>
      </w:r>
      <w:r w:rsidRPr="00B74858">
        <w:rPr>
          <w:lang w:val="mk-MK"/>
        </w:rPr>
        <w:t xml:space="preserve"> одвојуваат статутарниот дизајн од практиката. Затоа, двојниот пристап кон зависната варијабла</w:t>
      </w:r>
      <w:r w:rsidR="00DE463B">
        <w:rPr>
          <w:lang w:val="mk-MK"/>
        </w:rPr>
        <w:t>,</w:t>
      </w:r>
      <w:r w:rsidRPr="00B74858">
        <w:rPr>
          <w:lang w:val="mk-MK"/>
        </w:rPr>
        <w:t xml:space="preserve"> испитување и на формалното усвојување и на суштинската имплементација</w:t>
      </w:r>
      <w:r w:rsidR="00DE463B">
        <w:rPr>
          <w:lang w:val="mk-MK"/>
        </w:rPr>
        <w:t>,</w:t>
      </w:r>
      <w:r w:rsidRPr="00B74858">
        <w:rPr>
          <w:lang w:val="mk-MK"/>
        </w:rPr>
        <w:t xml:space="preserve"> е неопходен.</w:t>
      </w:r>
    </w:p>
    <w:p w14:paraId="207157A4" w14:textId="2AA82F77" w:rsidR="005501E3" w:rsidRDefault="005501E3" w:rsidP="00037805">
      <w:pPr>
        <w:pStyle w:val="BodyText"/>
        <w:spacing w:before="240"/>
        <w:ind w:firstLine="720"/>
        <w:jc w:val="both"/>
        <w:rPr>
          <w:lang w:val="mk-MK"/>
        </w:rPr>
      </w:pPr>
      <w:r w:rsidRPr="005501E3">
        <w:rPr>
          <w:lang w:val="mk-MK"/>
        </w:rPr>
        <w:t>Конечно, кризите и надворешните интервенции</w:t>
      </w:r>
      <w:r w:rsidR="00F94F9E">
        <w:rPr>
          <w:lang w:val="mk-MK"/>
        </w:rPr>
        <w:t xml:space="preserve">, </w:t>
      </w:r>
      <w:r w:rsidRPr="005501E3">
        <w:rPr>
          <w:lang w:val="mk-MK"/>
        </w:rPr>
        <w:t>какво што е условувањето на ЕУ</w:t>
      </w:r>
      <w:r w:rsidR="00F94F9E">
        <w:rPr>
          <w:lang w:val="mk-MK"/>
        </w:rPr>
        <w:t>,</w:t>
      </w:r>
      <w:r w:rsidRPr="005501E3">
        <w:rPr>
          <w:lang w:val="mk-MK"/>
        </w:rPr>
        <w:t xml:space="preserve"> мож</w:t>
      </w:r>
      <w:r w:rsidR="00F94F9E">
        <w:rPr>
          <w:lang w:val="mk-MK"/>
        </w:rPr>
        <w:t>ат</w:t>
      </w:r>
      <w:r w:rsidRPr="005501E3">
        <w:rPr>
          <w:lang w:val="mk-MK"/>
        </w:rPr>
        <w:t xml:space="preserve"> привремено да го прошират политичкиот „win-set", создавајќи кратки можности за реформа</w:t>
      </w:r>
      <w:r w:rsidR="005820C3">
        <w:rPr>
          <w:lang w:val="mk-MK"/>
        </w:rPr>
        <w:t>,</w:t>
      </w:r>
      <w:r w:rsidRPr="005501E3">
        <w:rPr>
          <w:lang w:val="mk-MK"/>
        </w:rPr>
        <w:t xml:space="preserve"> слично на концептите на „политичките прозорци" на Кингдон и кризно-водената координација на Шарпф. Сепак, без институционални механизми кои ги одржуваат овие отвори, системот брзо се враќа </w:t>
      </w:r>
      <w:r w:rsidR="00152804">
        <w:rPr>
          <w:lang w:val="mk-MK"/>
        </w:rPr>
        <w:t>во својата</w:t>
      </w:r>
      <w:r w:rsidRPr="005501E3">
        <w:rPr>
          <w:lang w:val="mk-MK"/>
        </w:rPr>
        <w:t xml:space="preserve"> рамнотежа. Теоријата за играчите на вето и акторски-центрираниот институционализам ја обезбедуваат аналитичката граматика за разбирање кога и зошто е можна политичката промена. Заедно со ограничената рационалност, инкрементализмот и политичките повратни врски, тие ја комплетираат кумулативната теоретска архитектура, која е крајно потребна за оваа земја. За Македонија, оваа синтеза нуди остроумен увид</w:t>
      </w:r>
      <w:r w:rsidR="00C53995">
        <w:rPr>
          <w:lang w:val="mk-MK"/>
        </w:rPr>
        <w:t xml:space="preserve"> затоа што</w:t>
      </w:r>
      <w:r w:rsidRPr="005501E3">
        <w:rPr>
          <w:lang w:val="mk-MK"/>
        </w:rPr>
        <w:t xml:space="preserve"> институционалната форма не само што ги условува исходите</w:t>
      </w:r>
      <w:r w:rsidR="00C53995">
        <w:rPr>
          <w:lang w:val="mk-MK"/>
        </w:rPr>
        <w:t>,</w:t>
      </w:r>
      <w:r w:rsidRPr="005501E3">
        <w:rPr>
          <w:lang w:val="mk-MK"/>
        </w:rPr>
        <w:t xml:space="preserve"> таа го дефинира самиот </w:t>
      </w:r>
      <w:r w:rsidRPr="005501E3">
        <w:rPr>
          <w:lang w:val="mk-MK"/>
        </w:rPr>
        <w:lastRenderedPageBreak/>
        <w:t>простор на можностите за реформа. Отклучувањето на значајна промена во корпоративното управување, затоа, бара не само нови идеи или политичка волја, туку и намерно преобликување на институционалните геометрии кои долго го правеа инкрементализмот единствен остварлив пат.</w:t>
      </w:r>
    </w:p>
    <w:p w14:paraId="38D8AD49" w14:textId="5771456E" w:rsidR="00C53995" w:rsidRDefault="00E47F1E" w:rsidP="00037805">
      <w:pPr>
        <w:pStyle w:val="BodyText"/>
        <w:spacing w:before="240"/>
        <w:ind w:firstLine="720"/>
        <w:jc w:val="both"/>
        <w:rPr>
          <w:lang w:val="mk-MK"/>
        </w:rPr>
      </w:pPr>
      <w:r w:rsidRPr="00E47F1E">
        <w:rPr>
          <w:lang w:val="mk-MK"/>
        </w:rPr>
        <w:t>Покрај јавната согласност</w:t>
      </w:r>
      <w:r>
        <w:rPr>
          <w:lang w:val="mk-MK"/>
        </w:rPr>
        <w:t xml:space="preserve"> во однос на пристапните преговори со ЕУ</w:t>
      </w:r>
      <w:r w:rsidRPr="00E47F1E">
        <w:rPr>
          <w:lang w:val="mk-MK"/>
        </w:rPr>
        <w:t>, последната клучна димензија во аналитичка</w:t>
      </w:r>
      <w:r>
        <w:rPr>
          <w:lang w:val="mk-MK"/>
        </w:rPr>
        <w:t>та</w:t>
      </w:r>
      <w:r w:rsidRPr="00E47F1E">
        <w:rPr>
          <w:lang w:val="mk-MK"/>
        </w:rPr>
        <w:t xml:space="preserve"> рамка</w:t>
      </w:r>
      <w:r>
        <w:rPr>
          <w:lang w:val="mk-MK"/>
        </w:rPr>
        <w:t xml:space="preserve"> на ова истражување</w:t>
      </w:r>
      <w:r w:rsidRPr="00E47F1E">
        <w:rPr>
          <w:lang w:val="mk-MK"/>
        </w:rPr>
        <w:t xml:space="preserve"> се однесува на уставната валидност на политиките. </w:t>
      </w:r>
      <w:r w:rsidR="00AA46D4" w:rsidRPr="00AA46D4">
        <w:rPr>
          <w:lang w:val="mk-MK"/>
        </w:rPr>
        <w:t xml:space="preserve">Клучната разлика помеѓу уставната валидност и професионалниот интегритет </w:t>
      </w:r>
      <w:r w:rsidR="00AA46D4">
        <w:rPr>
          <w:lang w:val="mk-MK"/>
        </w:rPr>
        <w:t xml:space="preserve">во овој поглед </w:t>
      </w:r>
      <w:r w:rsidR="00AA46D4" w:rsidRPr="00AA46D4">
        <w:rPr>
          <w:lang w:val="mk-MK"/>
        </w:rPr>
        <w:t>лежи во фактот дека уставната валидност се однесува на компатибилноста на политиката со уставните норми и формалните правни правила. Поради ова, уставот претставува „повисоко право“ кое не може лесно да се измени преку стандардните демократски процедури, туку бара квалификувано мнозинство или потврда преку референдум.</w:t>
      </w:r>
      <w:r w:rsidR="000B0366">
        <w:rPr>
          <w:lang w:val="mk-MK"/>
        </w:rPr>
        <w:t xml:space="preserve"> Сепак, во конкретниот случај тоа не претставува никаков проблем затоа што македонскиот Устав не забранува ваква реформа и не содржи никакви одредби што би можеле да го блокираат процесот. </w:t>
      </w:r>
    </w:p>
    <w:p w14:paraId="750D379F" w14:textId="77777777" w:rsidR="00CE71DC" w:rsidRDefault="0043311C" w:rsidP="00037805">
      <w:pPr>
        <w:pStyle w:val="BodyText"/>
        <w:spacing w:before="240"/>
        <w:ind w:firstLine="720"/>
        <w:jc w:val="both"/>
        <w:rPr>
          <w:lang w:val="en-US"/>
        </w:rPr>
      </w:pPr>
      <w:r w:rsidRPr="0043311C">
        <w:rPr>
          <w:lang w:val="mk-MK"/>
        </w:rPr>
        <w:t xml:space="preserve">Важен увид кој произлегува од компаративната анализа на Холандија и Германија е дека политичките промени најчесто се иницирани токму од институционални и политички фрикции. Со текот на времето, одредени проблеми стануваат сè поочигледни, што ги поттикнува политичките актери да ги истражуваат нивните причини, додека одговорните политички лидери ја користат таа ситуација како можност за иницирање реформи. Успешните реформи, според тоа, зависат од способноста на политичките актери вешто да ги искористат и материјалните проблеми и институционалните ограничувања. Во одредени случаи, ограничувањата кои на почетокот изгледаат како сериозна пречка можат да се трансформираат во неочекувана можност за институционална иновација. </w:t>
      </w:r>
    </w:p>
    <w:p w14:paraId="1414E3D8" w14:textId="571F65ED" w:rsidR="000B0366" w:rsidRDefault="0043311C" w:rsidP="00037805">
      <w:pPr>
        <w:pStyle w:val="BodyText"/>
        <w:spacing w:before="240"/>
        <w:ind w:firstLine="720"/>
        <w:jc w:val="both"/>
        <w:rPr>
          <w:lang w:val="mk-MK"/>
        </w:rPr>
      </w:pPr>
      <w:r w:rsidRPr="0043311C">
        <w:rPr>
          <w:lang w:val="mk-MK"/>
        </w:rPr>
        <w:t>Токму таква динамика може да се забележи во холандскиот и германскиот случај. Тешките фискални услови ги принуди</w:t>
      </w:r>
      <w:r w:rsidR="002F7C8E">
        <w:rPr>
          <w:lang w:val="mk-MK"/>
        </w:rPr>
        <w:t>ле</w:t>
      </w:r>
      <w:r w:rsidRPr="0043311C">
        <w:rPr>
          <w:lang w:val="mk-MK"/>
        </w:rPr>
        <w:t xml:space="preserve"> политичките елити во двете земји да прибегнат кон политички ризични стратегии на намалување на социјалните трошоци и либерализација на пазарот на труд. Но, свесни дека целосното демонтирање на социјалната држава би било политички и општествено неприфатливо, тие постепено започна</w:t>
      </w:r>
      <w:r w:rsidR="00591CCF">
        <w:rPr>
          <w:lang w:val="mk-MK"/>
        </w:rPr>
        <w:t>ле</w:t>
      </w:r>
      <w:r w:rsidRPr="0043311C">
        <w:rPr>
          <w:lang w:val="mk-MK"/>
        </w:rPr>
        <w:t xml:space="preserve"> да експериментираат со нови политики насочени кон зголемување на вработеноста и стимулирање на економскиот раст преку проширување на политиките кои го поддржуваат моделот на двојни заработувачи во семејството. На тој начин, традиционалните би</w:t>
      </w:r>
      <w:r w:rsidR="00690D67">
        <w:rPr>
          <w:lang w:val="mk-MK"/>
        </w:rPr>
        <w:t>з</w:t>
      </w:r>
      <w:r w:rsidRPr="0043311C">
        <w:rPr>
          <w:lang w:val="mk-MK"/>
        </w:rPr>
        <w:t>марковски социјални држави, историски засновани на моделот на машки хранител на семејството, постепено б</w:t>
      </w:r>
      <w:r w:rsidR="00690D67">
        <w:rPr>
          <w:lang w:val="mk-MK"/>
        </w:rPr>
        <w:t>иле</w:t>
      </w:r>
      <w:r w:rsidRPr="0043311C">
        <w:rPr>
          <w:lang w:val="mk-MK"/>
        </w:rPr>
        <w:t xml:space="preserve"> трансформирани во социјални држави ориентирани кон инвестиции во човечкиот капитал и учество на пазарот на труд.</w:t>
      </w:r>
      <w:r w:rsidR="00690D67">
        <w:rPr>
          <w:rStyle w:val="FootnoteReference"/>
          <w:lang w:val="mk-MK"/>
        </w:rPr>
        <w:footnoteReference w:id="768"/>
      </w:r>
    </w:p>
    <w:p w14:paraId="77DD8D4B" w14:textId="2D5A03A2" w:rsidR="004B13E3" w:rsidRDefault="004B13E3" w:rsidP="00037805">
      <w:pPr>
        <w:pStyle w:val="BodyText"/>
        <w:spacing w:before="240"/>
        <w:ind w:firstLine="720"/>
        <w:jc w:val="both"/>
        <w:rPr>
          <w:lang w:val="mk-MK"/>
        </w:rPr>
      </w:pPr>
      <w:r w:rsidRPr="004B13E3">
        <w:rPr>
          <w:lang w:val="mk-MK"/>
        </w:rPr>
        <w:t xml:space="preserve">Гледајќи кон иднината, новите политички и економски предизвици повторно го отвораат прашањето за структурните реформи во Европа. По пандемијата на COVID-19, која доведе до краткотраен период на фискална експанзија, војната во Украина, растечката инфлација и геополитичките тензии </w:t>
      </w:r>
      <w:r w:rsidR="0094319D">
        <w:rPr>
          <w:lang w:val="mk-MK"/>
        </w:rPr>
        <w:t>по</w:t>
      </w:r>
      <w:r w:rsidRPr="004B13E3">
        <w:rPr>
          <w:lang w:val="mk-MK"/>
        </w:rPr>
        <w:t xml:space="preserve">меѓу големите сили повторно создаваат притисок врз економските перспективи на Европската унија. Овие процеси истовремено придонесуваат за зајакнување на популистичките политички реакции и незадоволството на дел од граѓаните. Сепак, постојат причини да се очекува дека новиот бран структурни реформи нема да биде насочен кон радикално демонтирање на социјалната држава, како што беше случај со реформските агенди инспирирани од </w:t>
      </w:r>
      <w:r w:rsidRPr="004B13E3">
        <w:rPr>
          <w:lang w:val="mk-MK"/>
        </w:rPr>
        <w:lastRenderedPageBreak/>
        <w:t xml:space="preserve">политиките на </w:t>
      </w:r>
      <w:r w:rsidR="002E00E0">
        <w:rPr>
          <w:lang w:val="mk-MK"/>
        </w:rPr>
        <w:t>Маргарет Тачер</w:t>
      </w:r>
      <w:r w:rsidRPr="004B13E3">
        <w:rPr>
          <w:lang w:val="mk-MK"/>
        </w:rPr>
        <w:t xml:space="preserve"> во 1980-тите години. Современите реформатори можат да ги засноваат своите аргументи врз значително посилна емпириска основа за ефективноста на социјално-инвестициските политики, основа која во голема мера недостасуваше во јавнополитичките дебати пред крајот на 1990-тите.</w:t>
      </w:r>
      <w:r w:rsidR="002E00E0">
        <w:rPr>
          <w:lang w:val="mk-MK"/>
        </w:rPr>
        <w:t xml:space="preserve"> Тоа значи дека Македонија може</w:t>
      </w:r>
      <w:r w:rsidR="0056473A">
        <w:rPr>
          <w:lang w:val="mk-MK"/>
        </w:rPr>
        <w:t xml:space="preserve"> безбедно да се потпре на фактот дека реформскиот процес ќе ужива доволно голема доза на стабилност. </w:t>
      </w:r>
    </w:p>
    <w:p w14:paraId="6AC69A0C" w14:textId="5E49FD73" w:rsidR="004B13E3" w:rsidRDefault="004B13E3" w:rsidP="00037805">
      <w:pPr>
        <w:pStyle w:val="BodyText"/>
        <w:spacing w:before="240"/>
        <w:ind w:firstLine="720"/>
        <w:jc w:val="both"/>
        <w:rPr>
          <w:lang w:val="mk-MK"/>
        </w:rPr>
      </w:pPr>
      <w:r w:rsidRPr="004B13E3">
        <w:rPr>
          <w:lang w:val="mk-MK"/>
        </w:rPr>
        <w:t>Истовремено, политичките барања за колективно решавање на комплексни општествени проблеми</w:t>
      </w:r>
      <w:r w:rsidR="00D520B2">
        <w:rPr>
          <w:lang w:val="mk-MK"/>
        </w:rPr>
        <w:t xml:space="preserve">, </w:t>
      </w:r>
      <w:r w:rsidRPr="004B13E3">
        <w:rPr>
          <w:lang w:val="mk-MK"/>
        </w:rPr>
        <w:t>особено во однос на климатските промени</w:t>
      </w:r>
      <w:r w:rsidR="00D520B2">
        <w:rPr>
          <w:lang w:val="mk-MK"/>
        </w:rPr>
        <w:t>,</w:t>
      </w:r>
      <w:r w:rsidRPr="004B13E3">
        <w:rPr>
          <w:lang w:val="mk-MK"/>
        </w:rPr>
        <w:t xml:space="preserve"> веројатно ќе продолжат да растат. </w:t>
      </w:r>
      <w:r w:rsidR="00D520B2">
        <w:rPr>
          <w:lang w:val="mk-MK"/>
        </w:rPr>
        <w:t>Б</w:t>
      </w:r>
      <w:r w:rsidRPr="004B13E3">
        <w:rPr>
          <w:lang w:val="mk-MK"/>
        </w:rPr>
        <w:t>ез оглед на овие нови предизвици, амбициозните политички реформатори ќе мора да дејствуваат во институционален простор дефиниран од основните либерално-демократски ограничувања. Сè додека претставничката демократија останува доминантен модел на владеење, реформските агенди ќе мора да бидат артикулирани и оправдани во рамките на комплексна политичка архитектура која ги вклучува барањата за ефикасност на политиката, политичка изводливост, административен капацитет, професионална експертиза и интегритет, јавна согласност и уставна валидност. Токму во интеракцијата помеѓу овие димензии се обликуваат можностите, ограничувањата и конечните исходи на структурните реформи во современите социјални држави</w:t>
      </w:r>
      <w:r w:rsidR="00C400EE">
        <w:rPr>
          <w:lang w:val="mk-MK"/>
        </w:rPr>
        <w:t>, вклучително и Македонија.</w:t>
      </w:r>
    </w:p>
    <w:p w14:paraId="4F2A0F7C" w14:textId="241B783C" w:rsidR="00801032" w:rsidRDefault="00801032" w:rsidP="00037805">
      <w:pPr>
        <w:pStyle w:val="BodyText"/>
        <w:spacing w:before="240"/>
        <w:ind w:firstLine="720"/>
        <w:jc w:val="both"/>
        <w:rPr>
          <w:lang w:val="mk-MK"/>
        </w:rPr>
      </w:pPr>
      <w:r>
        <w:rPr>
          <w:lang w:val="mk-MK"/>
        </w:rPr>
        <w:t xml:space="preserve">Заклучно, </w:t>
      </w:r>
      <w:r w:rsidR="00EC1EDC">
        <w:rPr>
          <w:lang w:val="mk-MK"/>
        </w:rPr>
        <w:t>е</w:t>
      </w:r>
      <w:r w:rsidRPr="00801032">
        <w:rPr>
          <w:lang w:val="mk-MK"/>
        </w:rPr>
        <w:t xml:space="preserve">вропската интеграција претставува еден од најсилните надворешни катализатори за институционална трансформација, особено во доменот на корпоративното управување и пазарната регулација. Преку процесот на условеност, кој е суштински елемент на политиката на проширување на </w:t>
      </w:r>
      <w:r w:rsidR="005D6077">
        <w:rPr>
          <w:lang w:val="mk-MK"/>
        </w:rPr>
        <w:t>Европската Унија</w:t>
      </w:r>
      <w:r w:rsidRPr="00801032">
        <w:rPr>
          <w:lang w:val="mk-MK"/>
        </w:rPr>
        <w:t xml:space="preserve">, државите кандидати се поттикнуваат да имплементираат длабоки структурни реформи што надминуваат формално усогласување со </w:t>
      </w:r>
      <w:r w:rsidRPr="004535D6">
        <w:rPr>
          <w:i/>
          <w:iCs/>
          <w:lang w:val="mk-MK"/>
        </w:rPr>
        <w:t>acquis communautaire</w:t>
      </w:r>
      <w:r w:rsidRPr="00801032">
        <w:rPr>
          <w:lang w:val="mk-MK"/>
        </w:rPr>
        <w:t xml:space="preserve"> и навлегуваат во сферата на ефективна примена, институционален капацитет и владеење на правото. Во тој контекст, европеизацијата функционира како механизам на „вградување“ на норми, стандарди и практики кои постепено ја редефинираат односната рамнотежа помеѓу државата, пазарот и трудот. Особено во транзициските економии, таа создава прозорец за надминување на вкоренетите </w:t>
      </w:r>
      <w:r w:rsidR="00386B43">
        <w:rPr>
          <w:lang w:val="mk-MK"/>
        </w:rPr>
        <w:t xml:space="preserve">меѓусебни </w:t>
      </w:r>
      <w:r w:rsidRPr="00801032">
        <w:rPr>
          <w:lang w:val="mk-MK"/>
        </w:rPr>
        <w:t>зависности и отвора простор за иновативни модели на управување, вклучително и зајакнување на учеството на вработените, транспарентноста и отчетноста. Во тој поглед, успешната европеизација е мерлива не само преку степенот на нормативна усогласеност, туку и преку трансформацијата на практиките, институционалната култура и реалната дистрибуција на моќта во рамките на економските субјекти.</w:t>
      </w:r>
      <w:r w:rsidR="009F3B9E">
        <w:rPr>
          <w:rStyle w:val="FootnoteReference"/>
          <w:lang w:val="mk-MK"/>
        </w:rPr>
        <w:footnoteReference w:id="769"/>
      </w:r>
    </w:p>
    <w:p w14:paraId="00611B34" w14:textId="5FCB31F0" w:rsidR="00046010" w:rsidRPr="005501E3" w:rsidRDefault="001F560E" w:rsidP="00633FD7">
      <w:pPr>
        <w:pStyle w:val="BodyText"/>
        <w:spacing w:before="240"/>
        <w:ind w:firstLine="720"/>
        <w:jc w:val="both"/>
        <w:rPr>
          <w:lang w:val="mk-MK"/>
        </w:rPr>
      </w:pPr>
      <w:r w:rsidRPr="001F560E">
        <w:rPr>
          <w:lang w:val="mk-MK"/>
        </w:rPr>
        <w:t xml:space="preserve">Во таа насока, процесот на пристапување на </w:t>
      </w:r>
      <w:r w:rsidR="00D80C83">
        <w:rPr>
          <w:lang w:val="mk-MK"/>
        </w:rPr>
        <w:t>Македонија кон Европската Унија</w:t>
      </w:r>
      <w:r w:rsidRPr="001F560E">
        <w:rPr>
          <w:lang w:val="mk-MK"/>
        </w:rPr>
        <w:t xml:space="preserve"> претставува конкретна операционализација на овие трансформативни притисоци, при што правното усогласување со </w:t>
      </w:r>
      <w:r w:rsidRPr="00041018">
        <w:rPr>
          <w:i/>
          <w:iCs/>
          <w:lang w:val="mk-MK"/>
        </w:rPr>
        <w:t>acquis communautaire</w:t>
      </w:r>
      <w:r w:rsidRPr="001F560E">
        <w:rPr>
          <w:lang w:val="mk-MK"/>
        </w:rPr>
        <w:t xml:space="preserve"> се јавува како централна, но не и единствена оска на реформата. Динамиката на преговорите, особено во рамките на поглавјата поврзани со внатрешниот пазар, </w:t>
      </w:r>
      <w:r w:rsidR="00041018">
        <w:rPr>
          <w:lang w:val="mk-MK"/>
        </w:rPr>
        <w:t>деловното</w:t>
      </w:r>
      <w:r w:rsidRPr="001F560E">
        <w:rPr>
          <w:lang w:val="mk-MK"/>
        </w:rPr>
        <w:t xml:space="preserve"> право и социјалната политика, ја артикулира потребата од системско прилагодување на националниот правен и институционален поредок, што отвора прашања за транспозиција на европските директиви и за нивна ефективна имплементација во специфичниот македонски контекст.</w:t>
      </w:r>
    </w:p>
    <w:p w14:paraId="450E66A5" w14:textId="22171B11" w:rsidR="00037805" w:rsidRPr="00A702A9" w:rsidRDefault="00037805" w:rsidP="00037805">
      <w:pPr>
        <w:pStyle w:val="Heading2"/>
        <w:numPr>
          <w:ilvl w:val="1"/>
          <w:numId w:val="14"/>
        </w:numPr>
        <w:rPr>
          <w:rFonts w:ascii="Times New Roman" w:hAnsi="Times New Roman" w:cs="Times New Roman"/>
          <w:b w:val="0"/>
          <w:bCs w:val="0"/>
          <w:sz w:val="24"/>
          <w:szCs w:val="24"/>
        </w:rPr>
      </w:pPr>
      <w:r>
        <w:rPr>
          <w:lang w:val="mk-MK"/>
        </w:rPr>
        <w:lastRenderedPageBreak/>
        <w:t xml:space="preserve"> </w:t>
      </w:r>
      <w:bookmarkStart w:id="88" w:name="_Toc230523941"/>
      <w:r w:rsidR="00D73E63" w:rsidRPr="00D73E63">
        <w:rPr>
          <w:rFonts w:ascii="Times New Roman" w:hAnsi="Times New Roman" w:cs="Times New Roman"/>
          <w:b w:val="0"/>
          <w:bCs w:val="0"/>
          <w:color w:val="000000" w:themeColor="text1"/>
          <w:sz w:val="24"/>
          <w:szCs w:val="24"/>
          <w:lang w:val="mk-MK"/>
        </w:rPr>
        <w:t>Процесот на пристапување на Македонија кон ЕУ и правното усогласување</w:t>
      </w:r>
      <w:bookmarkEnd w:id="88"/>
    </w:p>
    <w:p w14:paraId="21B81807" w14:textId="1EA54F7B" w:rsidR="00037805" w:rsidRDefault="002D2ED0" w:rsidP="0004441F">
      <w:pPr>
        <w:pStyle w:val="BodyText"/>
        <w:spacing w:before="240"/>
        <w:ind w:firstLine="720"/>
        <w:jc w:val="both"/>
        <w:rPr>
          <w:lang w:val="mk-MK"/>
        </w:rPr>
      </w:pPr>
      <w:r w:rsidRPr="002D2ED0">
        <w:rPr>
          <w:lang w:val="mk-MK"/>
        </w:rPr>
        <w:t xml:space="preserve">Процесот на пристапување </w:t>
      </w:r>
      <w:r>
        <w:rPr>
          <w:lang w:val="mk-MK"/>
        </w:rPr>
        <w:t xml:space="preserve">во моментов </w:t>
      </w:r>
      <w:r w:rsidRPr="002D2ED0">
        <w:rPr>
          <w:lang w:val="mk-MK"/>
        </w:rPr>
        <w:t>се одвива како комплексна правна и институционална трансформациј</w:t>
      </w:r>
      <w:r w:rsidR="0004704F">
        <w:rPr>
          <w:lang w:val="mk-MK"/>
        </w:rPr>
        <w:t xml:space="preserve">а, која привремено е блокирана, но </w:t>
      </w:r>
      <w:r w:rsidR="0004704F" w:rsidRPr="0004704F">
        <w:rPr>
          <w:lang w:val="mk-MK"/>
        </w:rPr>
        <w:t>сè уште</w:t>
      </w:r>
      <w:r w:rsidR="0004704F">
        <w:rPr>
          <w:lang w:val="mk-MK"/>
        </w:rPr>
        <w:t xml:space="preserve"> активна</w:t>
      </w:r>
      <w:r w:rsidRPr="002D2ED0">
        <w:rPr>
          <w:lang w:val="mk-MK"/>
        </w:rPr>
        <w:t xml:space="preserve">. Во областа на корпоративното управување, ова усогласување подразбира постепено приближување кон европските стандарди на транспарентност, отчетност и балансирано учество на засегнатите страни. Особено релевантни се инструментите и практиките што произлегуваат од правото на </w:t>
      </w:r>
      <w:r w:rsidR="00AA0A26">
        <w:rPr>
          <w:lang w:val="mk-MK"/>
        </w:rPr>
        <w:t>ЕУ</w:t>
      </w:r>
      <w:r w:rsidRPr="002D2ED0">
        <w:rPr>
          <w:lang w:val="mk-MK"/>
        </w:rPr>
        <w:t xml:space="preserve"> во доменот на информирање, консултирање и вклучување на вработените, кои ја редефинираат традиционалната дихотомија помеѓу сопственоста и управувањето. Во тој контекст, европскиот модел постепено ја надминува исклучиво акционерската логика и се движи кон поширок пристап</w:t>
      </w:r>
      <w:r w:rsidR="001560DA">
        <w:rPr>
          <w:lang w:val="mk-MK"/>
        </w:rPr>
        <w:t xml:space="preserve"> на засегнати страни</w:t>
      </w:r>
      <w:r w:rsidRPr="002D2ED0">
        <w:rPr>
          <w:lang w:val="mk-MK"/>
        </w:rPr>
        <w:t>, каде вработените се препознаваат како релевантни носители на интереси во рамките на корпоративното одлучување.</w:t>
      </w:r>
      <w:r w:rsidR="009F3B9E">
        <w:rPr>
          <w:rStyle w:val="FootnoteReference"/>
          <w:lang w:val="mk-MK"/>
        </w:rPr>
        <w:footnoteReference w:id="770"/>
      </w:r>
    </w:p>
    <w:p w14:paraId="2840BAF4" w14:textId="383DBB09" w:rsidR="00E371DD" w:rsidRDefault="00E371DD" w:rsidP="0004441F">
      <w:pPr>
        <w:pStyle w:val="BodyText"/>
        <w:spacing w:before="240"/>
        <w:ind w:firstLine="720"/>
        <w:jc w:val="both"/>
        <w:rPr>
          <w:lang w:val="mk-MK"/>
        </w:rPr>
      </w:pPr>
      <w:r w:rsidRPr="00E371DD">
        <w:rPr>
          <w:lang w:val="mk-MK"/>
        </w:rPr>
        <w:t>Во македонскиот правен поредок, ова отвора простор за преиспитување и надградба на постојните модели на корпоративно управување преку воведување или зајакнување на механизми за вклученост на вработените. Два клучни правци на таква трансформација се издвојуваат како особено релевантни. Првиот се однесува на институционализирано учество на вработените во органите на друштвото, особено во управните и надзорните структури, по примерот на континенталните модели на кодетерминација. Овој пристап овозможува директно влијание врз стратешките одлуки, ја зголемува транспарентноста и придонесува кон долгорочна ориентација на компаниите, истовремено намалувајќи ги ризиците од краткорочен опортунизам. Вториот правец се однесува на економската партиципација преку распределба на акции или други форми на сопственички удел на вработените, со што тие се позиционираат не само како носители на труд, туку и како ко-сопственици со директен интерес во перформансите на друштвото. Овие модели, познати во компаративната пракса како employee share ownership schemes, имаат потенцијал да ја зајакнат мотивацијата, продуктивноста и чувството на припадност, но и да придонесат кон порамномерна дистрибуција на економската моќ.</w:t>
      </w:r>
    </w:p>
    <w:p w14:paraId="5DDF4C8E" w14:textId="7220ACAA" w:rsidR="009F3B9E" w:rsidRDefault="00BF6CC3" w:rsidP="007F4D17">
      <w:pPr>
        <w:pStyle w:val="BodyText"/>
        <w:spacing w:before="240"/>
        <w:ind w:firstLine="720"/>
        <w:jc w:val="both"/>
        <w:rPr>
          <w:lang w:val="en-US"/>
        </w:rPr>
      </w:pPr>
      <w:r w:rsidRPr="00BF6CC3">
        <w:rPr>
          <w:lang w:val="mk-MK"/>
        </w:rPr>
        <w:t>Сепак, нивната имплементација останува условена од повеќе фактори</w:t>
      </w:r>
      <w:r w:rsidR="002C1E0F">
        <w:rPr>
          <w:lang w:val="mk-MK"/>
        </w:rPr>
        <w:t xml:space="preserve"> како</w:t>
      </w:r>
      <w:r w:rsidRPr="00BF6CC3">
        <w:rPr>
          <w:lang w:val="mk-MK"/>
        </w:rPr>
        <w:t xml:space="preserve"> постојната правна рамка, нивото на развој на пазарот на капитал, корпоративната култура и подготвеноста на сопствениците да прифатат поделба на контролата. Оттука, процесот на правно усогласување со </w:t>
      </w:r>
      <w:r w:rsidR="00B33AF8">
        <w:rPr>
          <w:lang w:val="mk-MK"/>
        </w:rPr>
        <w:t>ЕУ</w:t>
      </w:r>
      <w:r w:rsidRPr="00BF6CC3">
        <w:rPr>
          <w:lang w:val="mk-MK"/>
        </w:rPr>
        <w:t xml:space="preserve"> треба да се разбере како можност за внимателно дизајнирана институционална иновација, во која европските модели на учество на вработените се адаптираат кон домашниот контекст. Во тој поглед, корпоративното управување станува огледало на институционалната зрелост, а степенот на вклученост на вработените индикатор за длабочината на европеизацијата и за реалниот капацитет на правниот систем да интегрира комплексни, но социјално инклузивни модели на економско управување.</w:t>
      </w:r>
    </w:p>
    <w:p w14:paraId="5D31D837" w14:textId="32327CEA" w:rsidR="007F4D17" w:rsidRDefault="0081491F" w:rsidP="007F4D17">
      <w:pPr>
        <w:pStyle w:val="BodyText"/>
        <w:spacing w:before="240"/>
        <w:ind w:firstLine="720"/>
        <w:jc w:val="both"/>
        <w:rPr>
          <w:lang w:val="mk-MK"/>
        </w:rPr>
      </w:pPr>
      <w:r w:rsidRPr="0081491F">
        <w:rPr>
          <w:lang w:val="mk-MK"/>
        </w:rPr>
        <w:t xml:space="preserve">Емпирискиот дизајн, составен од три комплементарни прашалници насочени кон </w:t>
      </w:r>
      <w:r w:rsidR="005670C7">
        <w:rPr>
          <w:lang w:val="mk-MK"/>
        </w:rPr>
        <w:t>трговски друштва</w:t>
      </w:r>
      <w:r w:rsidRPr="0081491F">
        <w:rPr>
          <w:lang w:val="mk-MK"/>
        </w:rPr>
        <w:t xml:space="preserve">, вработени и експерти, овозможува повеќеслојна анализа на потенцијалот за воведување модели на учество на вработените во корпоративното управување во Македонија. Наместо да се задржи на класичен дескриптивен пристап, истражувањето е конципирано така што овозможува идентификација на перцепциски јазови, институционални ограничувања и потенцијални реформски прозорци. </w:t>
      </w:r>
      <w:r w:rsidRPr="0081491F">
        <w:rPr>
          <w:lang w:val="mk-MK"/>
        </w:rPr>
        <w:lastRenderedPageBreak/>
        <w:t>Аналитичката логика се темели на вкрстена анализа на три нивоа: перцептивно, кое се однесува на начинот на кој различните актери ја разбираат релевантноста, придобивките и ризиците; институционално, кое ја опфаќа оценката на правната рамка и изводливоста; и нормативно, кое се однесува на тоа какви модели се сметаат за посакувани и легитимни. Овој пристап овозможува не само мерење на ставови, туку и реконструкција на структурната логика на отпор и поддршка кон реформите.</w:t>
      </w:r>
      <w:r w:rsidR="00D21C84">
        <w:rPr>
          <w:rStyle w:val="FootnoteReference"/>
          <w:lang w:val="mk-MK"/>
        </w:rPr>
        <w:footnoteReference w:id="771"/>
      </w:r>
    </w:p>
    <w:p w14:paraId="4467FB2A" w14:textId="16A3C712" w:rsidR="006D71DE" w:rsidRDefault="00281D9F" w:rsidP="007F4D17">
      <w:pPr>
        <w:pStyle w:val="BodyText"/>
        <w:spacing w:before="240"/>
        <w:ind w:firstLine="720"/>
        <w:jc w:val="both"/>
        <w:rPr>
          <w:lang w:val="mk-MK"/>
        </w:rPr>
      </w:pPr>
      <w:r w:rsidRPr="00281D9F">
        <w:rPr>
          <w:lang w:val="mk-MK"/>
        </w:rPr>
        <w:t xml:space="preserve">Очекуваните резултати кај </w:t>
      </w:r>
      <w:r w:rsidR="00D223D5">
        <w:rPr>
          <w:lang w:val="mk-MK"/>
        </w:rPr>
        <w:t xml:space="preserve">трговските друштва </w:t>
      </w:r>
      <w:r w:rsidRPr="00281D9F">
        <w:rPr>
          <w:lang w:val="mk-MK"/>
        </w:rPr>
        <w:t>упатуваат на умерено до ниско ниво на поддршка за подлабоки форми на учество на вработените. Во однос на свесноста, се очекува ограничено познавање на комплексни модели како ESOP или кодетерминација, при што нивната релевантност најчесто се препознава во контекст на европската интеграција, а не како внатрешна развојна потреба. Перцепираните придобивки се претежно инструментални и се поврзуваат со зголемување на мотивацијата, задржување на квалификуван кадар и подобрување на перформансите, додека аспектите на демократска легитимност и работнички права остануваат во втор план. Во однос на ризиците, доминира загриженоста за губење на управувачка контрола, заедно со стравот од забавено донесување одлуки и зголемен административен товар, додека правната неизвесност се јавува како дополнителен ограничувачки фактор. Подготвеноста за имплементација е насочена кон ограничени и контролирани модели, како што се акции без право на глас или шеми ограничени на клучни вработени, додека застапеноста во органите на управување се прифаќа претежно во симболична или советодавна форма. Овие обрасци укажуваат дека компаниите оперираат во рамка на рационална заштита на контролните права, што е конзистентно со концентрираните сопственички структури и слабата традиција на колективно управување.</w:t>
      </w:r>
    </w:p>
    <w:p w14:paraId="39240D34" w14:textId="3AC141FA" w:rsidR="00D21C84" w:rsidRDefault="00D21C84" w:rsidP="007F4D17">
      <w:pPr>
        <w:pStyle w:val="BodyText"/>
        <w:spacing w:before="240"/>
        <w:ind w:firstLine="720"/>
        <w:jc w:val="both"/>
        <w:rPr>
          <w:lang w:val="en-US"/>
        </w:rPr>
      </w:pPr>
      <w:r w:rsidRPr="00D21C84">
        <w:rPr>
          <w:lang w:val="mk-MK"/>
        </w:rPr>
        <w:t>Кај вработените се очекува повисоко ниво на нормативна поддршка за моделите на учество, но истовремено и изразена доза на скепса. Свесноста за специфичните инструменти е ограничена, а постојните механизми за претставување се перципираат како ниско или умерено ефективни. Перцепираните придобивки се фокусираат на економска сигурност, подобри работни услови и засилен глас во процесите на одлучување. Сепак, овие очекувања се придружени со значајни грижи, пред сè во однос на недовербата во реалната имплементација, стравот од симболично учество без суштинско влијание и перцепцијата за нееднаква распределба на придобивките. Иако постои висока декларативна поддршка за сопственост на акции и застапеност во управувањето, таа е јасно условена со постоење на јасни правила, заштита од ризик и еднаков пристап. Ова укажува дека вработените покажуваат нормативна отвореност, но институционална недоверба, што директно упатува на структурен дефицит на легитимност во постојните модели на корпоративно управување.</w:t>
      </w:r>
    </w:p>
    <w:p w14:paraId="6854DCD0" w14:textId="0C76B691" w:rsidR="000700B6" w:rsidRDefault="00F445D6" w:rsidP="007F4D17">
      <w:pPr>
        <w:pStyle w:val="BodyText"/>
        <w:spacing w:before="240"/>
        <w:ind w:firstLine="720"/>
        <w:jc w:val="both"/>
        <w:rPr>
          <w:lang w:val="mk-MK"/>
        </w:rPr>
      </w:pPr>
      <w:r w:rsidRPr="00F445D6">
        <w:rPr>
          <w:lang w:val="mk-MK"/>
        </w:rPr>
        <w:t xml:space="preserve">Експертските одговори се очекува да бидат најконзистентни и аналитички кохерентни. Во однос на правната и институционалната рамка, доминира перцепцијата за нејзина делумна или целосна несоодветност, при што се нагласуваат правната нејасност, ограничениот институционален капацитет и слабата имплементација. Истовремено, постои висока согласност дека моделите на учество се економски оправдани, политички релевантни и неопходни во контекст на европската интеграција. Во однос на конкретните решенија, се очекува поддршка за постепени и хибридни модели, придружена со скепса кон директна трансплантација на напредни системи како германската кодетерминација. Реформската стратегија што се преферира е базирана на </w:t>
      </w:r>
      <w:r w:rsidRPr="00F445D6">
        <w:rPr>
          <w:lang w:val="mk-MK"/>
        </w:rPr>
        <w:lastRenderedPageBreak/>
        <w:t>постепени реформи, пилот-проекти и институционално градење. Во таа смисла, експертите функционираат како нормативен и аналитички медијатор, кој го осветлува јазот помеѓу посакуваните и изводливите решенија.</w:t>
      </w:r>
    </w:p>
    <w:p w14:paraId="27B580C8" w14:textId="0B0DFD0E" w:rsidR="00CA30E7" w:rsidRDefault="0075077C" w:rsidP="007F4D17">
      <w:pPr>
        <w:pStyle w:val="BodyText"/>
        <w:spacing w:before="240"/>
        <w:ind w:firstLine="720"/>
        <w:jc w:val="both"/>
        <w:rPr>
          <w:lang w:val="mk-MK"/>
        </w:rPr>
      </w:pPr>
      <w:r w:rsidRPr="0075077C">
        <w:rPr>
          <w:lang w:val="mk-MK"/>
        </w:rPr>
        <w:t xml:space="preserve">Клучниот аналитички придонес на истражувањето се очекува да произлезе од идентификацијата на перцепциските јазови помеѓу трите групи актери. Прво, се појавува јаз на доверба, каде </w:t>
      </w:r>
      <w:r w:rsidR="0064384F">
        <w:rPr>
          <w:lang w:val="mk-MK"/>
        </w:rPr>
        <w:t>трговските друштва</w:t>
      </w:r>
      <w:r w:rsidRPr="0075077C">
        <w:rPr>
          <w:lang w:val="mk-MK"/>
        </w:rPr>
        <w:t xml:space="preserve"> стравуваат од губење контрола, додека вработените стравуваат од симболично учество без реално влијание. Второ, се јавува јаз на изводливост, при што компаниите ја нагласуваат правната и административната неизвесност, додека експертите го идентификуваат институционалниот капацитет како клучен проблем. Трето, постои јаз на очекувања, каде вработените тежнеат кон суштинско учество, додека компаниите преферираат ограничени и контролирани форми. Овие јазови укажуваат дека основниот проблем не е во недостиг на интерес за реформи, туку во недостиг на доверба и институционална кохерентност.</w:t>
      </w:r>
    </w:p>
    <w:p w14:paraId="1EE55158" w14:textId="0D5E3A4F" w:rsidR="00E83302" w:rsidRDefault="00E83302" w:rsidP="007F4D17">
      <w:pPr>
        <w:pStyle w:val="BodyText"/>
        <w:spacing w:before="240"/>
        <w:ind w:firstLine="720"/>
        <w:jc w:val="both"/>
        <w:rPr>
          <w:lang w:val="mk-MK"/>
        </w:rPr>
      </w:pPr>
      <w:r w:rsidRPr="00E83302">
        <w:rPr>
          <w:lang w:val="mk-MK"/>
        </w:rPr>
        <w:t xml:space="preserve">И покрај аналитичката вредност на истражувањето, неопходно е да се нагласи дека тоа не претставува репрезентативен примерок во статистичка смисла. Примерокот е резултат на целно, односно </w:t>
      </w:r>
      <w:r w:rsidR="00F56573">
        <w:rPr>
          <w:lang w:val="mk-MK"/>
        </w:rPr>
        <w:t xml:space="preserve">таканаречено </w:t>
      </w:r>
      <w:r w:rsidRPr="00E83302">
        <w:rPr>
          <w:lang w:val="mk-MK"/>
        </w:rPr>
        <w:t>purposive примерување, насочено кон релевантни актери, што подразбира ограничен опфат во однос на сектори и големина на компании, како и присуство на самоселекција кај испитаниците. Дополнително, значаен аспект е неофицијалниот карактер на одговорите. Компаниите ретко одговараат во формален институционален капацитет, вработените претпочитаат анонимност, а експертите често даваат ставови во личен, наместо институционален контекст. Ова не претставува само методолошко ограничување, туку и важен емпириски наод кој укажува на пошироки институционални динамики.</w:t>
      </w:r>
      <w:r w:rsidR="002D6943">
        <w:rPr>
          <w:rStyle w:val="FootnoteReference"/>
          <w:lang w:val="mk-MK"/>
        </w:rPr>
        <w:footnoteReference w:id="772"/>
      </w:r>
    </w:p>
    <w:p w14:paraId="36617F8C" w14:textId="10D588AC" w:rsidR="00306184" w:rsidRDefault="00306184" w:rsidP="007F4D17">
      <w:pPr>
        <w:pStyle w:val="BodyText"/>
        <w:spacing w:before="240"/>
        <w:ind w:firstLine="720"/>
        <w:jc w:val="both"/>
        <w:rPr>
          <w:lang w:val="mk-MK"/>
        </w:rPr>
      </w:pPr>
      <w:r w:rsidRPr="00306184">
        <w:rPr>
          <w:lang w:val="mk-MK"/>
        </w:rPr>
        <w:t xml:space="preserve">Во таа насока, воздржаноста на испитаниците да се позиционираат јавно или формално има значајна демократска импликација. Таа упатува на ограничен простор за артикулација на интереси, ниско ниво на институционална доверба и асиметрични односи на моќ. Истражувањето индиректно покажува дека корпоративното управување во Северна Македонија останува релативно затворен систем со ограничена транспарентност, каде учеството на вработените </w:t>
      </w:r>
      <w:r w:rsidR="00D46670">
        <w:rPr>
          <w:lang w:val="mk-MK"/>
        </w:rPr>
        <w:t>е и</w:t>
      </w:r>
      <w:r w:rsidRPr="00306184">
        <w:rPr>
          <w:lang w:val="mk-MK"/>
        </w:rPr>
        <w:t xml:space="preserve"> прашање на демократска култура. Јавниот простор за артикулација на интереси се појавува како ограничен и асиметричен, што ја намалува веројатноста за колективно дејствување и структурни реформи. Оттука, воздржаноста на испитаниците не треба да се интерпретира како слабост на истражувањето, туку како индикатор за состојбата на институционалната демократија.</w:t>
      </w:r>
    </w:p>
    <w:p w14:paraId="428E36F5" w14:textId="336DD7FF" w:rsidR="0000314B" w:rsidRDefault="0000314B" w:rsidP="007F4D17">
      <w:pPr>
        <w:pStyle w:val="BodyText"/>
        <w:spacing w:before="240"/>
        <w:ind w:firstLine="720"/>
        <w:jc w:val="both"/>
        <w:rPr>
          <w:lang w:val="en-US"/>
        </w:rPr>
      </w:pPr>
      <w:r w:rsidRPr="0000314B">
        <w:rPr>
          <w:lang w:val="mk-MK"/>
        </w:rPr>
        <w:t xml:space="preserve">Севкупно, очекуваните резултати укажуваат на постоење на структурна отвореност кон реформи, но истовремено и на длабоко вкоренета институционална претпазливост. Компаниите остануваат фокусирани на зачувување на контролата, вработените ја условуваат својата поддршка со доверба и заштита, додека експертите инсистираат на постепен и внимателно дизајниран реформски пристап. Во таков контекст, клучниот предизвик не е изборот на конкретен модел, туку создавањето услови за негова легитимна и функционална имплементација, каде економската рационалност, правната сигурност и демократската легитимност се појавуваат како меѓусебно поврзани столбови на реформата. Во тој поглед, корпоративното управување станува огледало на институционалната зрелост, а воведувањето на учество на вработените претставува тест за способноста на системот да интегрира нови форми на </w:t>
      </w:r>
      <w:r w:rsidRPr="0000314B">
        <w:rPr>
          <w:lang w:val="mk-MK"/>
        </w:rPr>
        <w:lastRenderedPageBreak/>
        <w:t>распределба на моќта. Успешната европеизација, во таа смисла, е мерлива не само преку формално усогласување, туку преку реална трансформација на односите помеѓу трудот и капиталот. Оттука, реформите се можни, но само доколку се дизајнираат како процес на градење доверба, а не како едноставна правна трансплантација.</w:t>
      </w:r>
    </w:p>
    <w:p w14:paraId="71024568" w14:textId="6D72C2AC" w:rsidR="008E216C" w:rsidRDefault="008E216C" w:rsidP="007F4D17">
      <w:pPr>
        <w:pStyle w:val="BodyText"/>
        <w:spacing w:before="240"/>
        <w:ind w:firstLine="720"/>
        <w:jc w:val="both"/>
        <w:rPr>
          <w:lang w:val="mk-MK"/>
        </w:rPr>
      </w:pPr>
      <w:r>
        <w:rPr>
          <w:lang w:val="mk-MK"/>
        </w:rPr>
        <w:t xml:space="preserve">Македонија го започна процесот на пристапување </w:t>
      </w:r>
      <w:r w:rsidR="00873200">
        <w:rPr>
          <w:lang w:val="mk-MK"/>
        </w:rPr>
        <w:t xml:space="preserve">кон </w:t>
      </w:r>
      <w:r w:rsidR="00873200" w:rsidRPr="00873200">
        <w:rPr>
          <w:lang w:val="mk-MK"/>
        </w:rPr>
        <w:t xml:space="preserve">ЕУ уште во 2000 година и стана прва земја </w:t>
      </w:r>
      <w:r w:rsidR="00873200">
        <w:rPr>
          <w:lang w:val="mk-MK"/>
        </w:rPr>
        <w:t>од</w:t>
      </w:r>
      <w:r w:rsidR="00873200" w:rsidRPr="00873200">
        <w:rPr>
          <w:lang w:val="mk-MK"/>
        </w:rPr>
        <w:t xml:space="preserve"> Западен Балкан која потпишa Спогодба за стабилизација и асоцијација (ССА), на 9 април 2001 година во Луксембург</w:t>
      </w:r>
      <w:r w:rsidR="00505EA1">
        <w:rPr>
          <w:lang w:val="mk-MK"/>
        </w:rPr>
        <w:t xml:space="preserve"> </w:t>
      </w:r>
      <w:r w:rsidR="00505EA1" w:rsidRPr="00505EA1">
        <w:rPr>
          <w:lang w:val="mk-MK"/>
        </w:rPr>
        <w:t>и по нејзината ратификација од сите потписници, стапи во сила на 1 април 2004 година</w:t>
      </w:r>
      <w:r w:rsidR="00873200">
        <w:rPr>
          <w:lang w:val="mk-MK"/>
        </w:rPr>
        <w:t>.</w:t>
      </w:r>
      <w:r w:rsidR="00873200">
        <w:rPr>
          <w:rStyle w:val="FootnoteReference"/>
          <w:lang w:val="mk-MK"/>
        </w:rPr>
        <w:footnoteReference w:id="773"/>
      </w:r>
      <w:r w:rsidR="005F457E">
        <w:rPr>
          <w:lang w:val="mk-MK"/>
        </w:rPr>
        <w:t xml:space="preserve"> </w:t>
      </w:r>
      <w:r w:rsidR="005F457E" w:rsidRPr="005F457E">
        <w:rPr>
          <w:lang w:val="mk-MK"/>
        </w:rPr>
        <w:t>Спогодбата за стабилизација и асоцијација со Европските заедници и нивните земји-членки е постојната правна рамка која ги регулира односите на Република Македонија со Европската унија.</w:t>
      </w:r>
      <w:r w:rsidR="00522538">
        <w:rPr>
          <w:lang w:val="en-US"/>
        </w:rPr>
        <w:t xml:space="preserve"> </w:t>
      </w:r>
      <w:r w:rsidR="00522538">
        <w:rPr>
          <w:lang w:val="mk-MK"/>
        </w:rPr>
        <w:t>И</w:t>
      </w:r>
      <w:r w:rsidR="00522538" w:rsidRPr="00522538">
        <w:rPr>
          <w:lang w:val="mk-MK"/>
        </w:rPr>
        <w:t xml:space="preserve">ако ССА стапи во сила во 2004 година, деловите од ССА кои ги регулираат трговијата и трговските прашања стапија во сила на 1 јуни 2001 година со посебната Времена спогодба за трговија и трговски прашања </w:t>
      </w:r>
      <w:r w:rsidR="007C7016">
        <w:rPr>
          <w:lang w:val="mk-MK"/>
        </w:rPr>
        <w:t>по</w:t>
      </w:r>
      <w:r w:rsidR="00522538" w:rsidRPr="00522538">
        <w:rPr>
          <w:lang w:val="mk-MK"/>
        </w:rPr>
        <w:t>меѓу Република Македонија и Европската заедница.</w:t>
      </w:r>
    </w:p>
    <w:p w14:paraId="1DCAAAB9" w14:textId="4E574D41" w:rsidR="007C7016" w:rsidRDefault="007C7016" w:rsidP="007F4D17">
      <w:pPr>
        <w:pStyle w:val="BodyText"/>
        <w:spacing w:before="240"/>
        <w:ind w:firstLine="720"/>
        <w:jc w:val="both"/>
        <w:rPr>
          <w:lang w:val="en-US"/>
        </w:rPr>
      </w:pPr>
      <w:r w:rsidRPr="007C7016">
        <w:rPr>
          <w:lang w:val="mk-MK"/>
        </w:rPr>
        <w:t>ССА овозможува рамка за политички дијалог и ја зајакнува регионалната соработка, го унапредува проширувањето на пазарите и економските односи помеѓу страните и ги воспоставува основите за техничката и финансиската помош</w:t>
      </w:r>
      <w:r w:rsidR="00EF6F17">
        <w:rPr>
          <w:lang w:val="mk-MK"/>
        </w:rPr>
        <w:t xml:space="preserve">. </w:t>
      </w:r>
      <w:r w:rsidRPr="007C7016">
        <w:rPr>
          <w:lang w:val="mk-MK"/>
        </w:rPr>
        <w:t>Институционалната рамка на ССА овозможува механизам за спроведување, управување и следење на односите во сите области опфатени со ССА.</w:t>
      </w:r>
      <w:r w:rsidR="00EF6F17">
        <w:rPr>
          <w:lang w:val="mk-MK"/>
        </w:rPr>
        <w:t xml:space="preserve"> </w:t>
      </w:r>
      <w:r w:rsidR="00FD335B" w:rsidRPr="00FD335B">
        <w:rPr>
          <w:lang w:val="mk-MK"/>
        </w:rPr>
        <w:t>Во март 2020 година, Европскиот совет ги одобри преговорите за пристапување, а во јули 2022 година се одржа Меѓувладина конференција. Скрининг-процесот беше завршен во декември 2023 година</w:t>
      </w:r>
      <w:r w:rsidR="00FD335B">
        <w:rPr>
          <w:lang w:val="mk-MK"/>
        </w:rPr>
        <w:t xml:space="preserve">. </w:t>
      </w:r>
      <w:r w:rsidR="00FD335B" w:rsidRPr="00FD335B">
        <w:rPr>
          <w:lang w:val="mk-MK"/>
        </w:rPr>
        <w:t xml:space="preserve">Македонија е обврзана да ги почитува барањата на новата зајакната методологија за пристапување од 2020 година, која ставя акцент на владеењето на правото и демократските реформи. Скрининг-процесот инициран во октомври 2022 година ја оценува усогласеноста со правото на ЕУ </w:t>
      </w:r>
      <w:r w:rsidR="00FD335B" w:rsidRPr="00955DD1">
        <w:rPr>
          <w:i/>
          <w:iCs/>
          <w:lang w:val="mk-MK"/>
        </w:rPr>
        <w:t>acquis communautaire</w:t>
      </w:r>
      <w:r w:rsidR="00FD335B" w:rsidRPr="00FD335B">
        <w:rPr>
          <w:lang w:val="mk-MK"/>
        </w:rPr>
        <w:t xml:space="preserve"> низ преговарачките поглавја</w:t>
      </w:r>
      <w:r w:rsidR="00955DD1">
        <w:rPr>
          <w:lang w:val="mk-MK"/>
        </w:rPr>
        <w:t xml:space="preserve">. Во овој момент, Македонија </w:t>
      </w:r>
      <w:r w:rsidR="009D1E1C">
        <w:rPr>
          <w:lang w:val="mk-MK"/>
        </w:rPr>
        <w:t>се соочува со</w:t>
      </w:r>
      <w:r w:rsidR="00570323">
        <w:rPr>
          <w:lang w:val="en-US"/>
        </w:rPr>
        <w:t xml:space="preserve"> </w:t>
      </w:r>
      <w:r w:rsidR="00570323">
        <w:rPr>
          <w:lang w:val="mk-MK"/>
        </w:rPr>
        <w:t>серио</w:t>
      </w:r>
      <w:r w:rsidR="00936409">
        <w:rPr>
          <w:lang w:val="mk-MK"/>
        </w:rPr>
        <w:t>зната задача</w:t>
      </w:r>
      <w:r w:rsidR="00955DD1" w:rsidRPr="00955DD1">
        <w:rPr>
          <w:lang w:val="mk-MK"/>
        </w:rPr>
        <w:t xml:space="preserve"> на усогласување на правниот систем со повеќе од 4.000 правни акти на ЕУ.</w:t>
      </w:r>
    </w:p>
    <w:p w14:paraId="32406FDC" w14:textId="77777777" w:rsidR="003B32B6" w:rsidRDefault="00607DBA" w:rsidP="00407142">
      <w:pPr>
        <w:pStyle w:val="BodyText"/>
        <w:spacing w:before="240"/>
        <w:ind w:firstLine="720"/>
        <w:jc w:val="both"/>
        <w:rPr>
          <w:lang w:val="mk-MK"/>
        </w:rPr>
      </w:pPr>
      <w:r w:rsidRPr="00607DBA">
        <w:rPr>
          <w:lang w:val="mk-MK"/>
        </w:rPr>
        <w:t>Кога станува збор за конкретната тема на вклученост на вработените во компаниите</w:t>
      </w:r>
      <w:r>
        <w:rPr>
          <w:lang w:val="mk-MK"/>
        </w:rPr>
        <w:t>,</w:t>
      </w:r>
      <w:r w:rsidRPr="00607DBA">
        <w:rPr>
          <w:lang w:val="mk-MK"/>
        </w:rPr>
        <w:t xml:space="preserve"> преку учество во корпоративните органи и преку распределба на добивка и акции</w:t>
      </w:r>
      <w:r w:rsidR="00237B8D">
        <w:rPr>
          <w:lang w:val="mk-MK"/>
        </w:rPr>
        <w:t>,</w:t>
      </w:r>
      <w:r w:rsidRPr="00607DBA">
        <w:rPr>
          <w:lang w:val="mk-MK"/>
        </w:rPr>
        <w:t xml:space="preserve"> работата на Македонија во процесот на пристапување засега неколку меѓусебно поврзани преговарачки поглавја, при што разбирањето зошто секое од нив е важно е подеднакво значајно колку и знаењето кои се тие.</w:t>
      </w:r>
      <w:r w:rsidR="00237B8D">
        <w:rPr>
          <w:lang w:val="mk-MK"/>
        </w:rPr>
        <w:t xml:space="preserve"> </w:t>
      </w:r>
      <w:r w:rsidR="00237B8D" w:rsidRPr="00237B8D">
        <w:rPr>
          <w:lang w:val="mk-MK"/>
        </w:rPr>
        <w:t>Најдиректно релевантното поглавје е Поглавје 6 – Право на трговски друштва, кое спаѓа во Кластер 2 (Внатрешен пазар). Извештаите од скринингот за Кластер 2 беа презентирани пред Советот во мај 2024 година, што значи дека овој кластер е веќе предмет на активно разгледување.</w:t>
      </w:r>
      <w:r w:rsidR="00A83B52">
        <w:rPr>
          <w:rStyle w:val="FootnoteReference"/>
          <w:lang w:val="mk-MK"/>
        </w:rPr>
        <w:footnoteReference w:id="774"/>
      </w:r>
      <w:r w:rsidR="00237B8D" w:rsidRPr="00237B8D">
        <w:rPr>
          <w:lang w:val="mk-MK"/>
        </w:rPr>
        <w:t xml:space="preserve"> Поглавје 6 ја опфаќа целокупната архитектура на </w:t>
      </w:r>
      <w:r w:rsidR="00355542">
        <w:rPr>
          <w:lang w:val="mk-MK"/>
        </w:rPr>
        <w:t>деловното</w:t>
      </w:r>
      <w:r w:rsidR="00237B8D" w:rsidRPr="00237B8D">
        <w:rPr>
          <w:lang w:val="mk-MK"/>
        </w:rPr>
        <w:t xml:space="preserve"> право, вклучувајќи ги правилата за тоа како се структурираат компаниите, како се донесуваат одлуки внатре во нив и како можат да се спојуваат или трансформираат преку граници. </w:t>
      </w:r>
    </w:p>
    <w:p w14:paraId="42DE19A4" w14:textId="156E17A3" w:rsidR="00237B8D" w:rsidRPr="00607DBA" w:rsidRDefault="00237B8D" w:rsidP="00407142">
      <w:pPr>
        <w:pStyle w:val="BodyText"/>
        <w:spacing w:before="240"/>
        <w:ind w:firstLine="720"/>
        <w:jc w:val="both"/>
        <w:rPr>
          <w:lang w:val="mk-MK"/>
        </w:rPr>
      </w:pPr>
      <w:r w:rsidRPr="00237B8D">
        <w:rPr>
          <w:lang w:val="mk-MK"/>
        </w:rPr>
        <w:t>Причината поради која ова поглавје е толку централно за темата на вклученост на вработените е тоа што најважните инструменти на ЕУ во оваа област</w:t>
      </w:r>
      <w:r w:rsidR="003B32B6">
        <w:rPr>
          <w:lang w:val="mk-MK"/>
        </w:rPr>
        <w:t>, како</w:t>
      </w:r>
      <w:r w:rsidRPr="00237B8D">
        <w:rPr>
          <w:lang w:val="mk-MK"/>
        </w:rPr>
        <w:t xml:space="preserve"> Статутот на Европско друштво (Регулатива 2157/2001), SE Директивата (2001/86/ЕЗ) и Директивата 2019/2121 за прекугранични конверзии, спојувања и поделби</w:t>
      </w:r>
      <w:r w:rsidR="003B32B6">
        <w:rPr>
          <w:lang w:val="mk-MK"/>
        </w:rPr>
        <w:t>,</w:t>
      </w:r>
      <w:r w:rsidRPr="00237B8D">
        <w:rPr>
          <w:lang w:val="mk-MK"/>
        </w:rPr>
        <w:t xml:space="preserve"> сите спаѓаат </w:t>
      </w:r>
      <w:r w:rsidRPr="00237B8D">
        <w:rPr>
          <w:lang w:val="mk-MK"/>
        </w:rPr>
        <w:lastRenderedPageBreak/>
        <w:t>во рамките на ова поглавје. SE Директивата цели кон тоа да обезбеди дека основањето на Европско друштво (Societas Europaea) нема да значи исчезнување или намалување на постојните аранжмани за вклученост на вработените, барајќи правилата да се утврдат по можност преку договор помеѓу работодавачот и претставниците на вработените, при што супсидијарни правила ќе се применуваат во отсуство на таков договор. За Македонија, целосната транспозиција на овие инструменти сè уште е идна обврска, а предизвикот е значаен бидејќи овие правила претпоставуваат функционална правна култура на претставеност на вработените на ниво на одбор</w:t>
      </w:r>
      <w:r w:rsidR="009561EA">
        <w:rPr>
          <w:lang w:val="mk-MK"/>
        </w:rPr>
        <w:t>,</w:t>
      </w:r>
      <w:r w:rsidRPr="00237B8D">
        <w:rPr>
          <w:lang w:val="mk-MK"/>
        </w:rPr>
        <w:t xml:space="preserve"> нешто што сè уште не постои во македонското </w:t>
      </w:r>
      <w:r w:rsidR="009561EA">
        <w:rPr>
          <w:lang w:val="mk-MK"/>
        </w:rPr>
        <w:t>трговско</w:t>
      </w:r>
      <w:r w:rsidRPr="00237B8D">
        <w:rPr>
          <w:lang w:val="mk-MK"/>
        </w:rPr>
        <w:t xml:space="preserve"> право во никаква систематска форма.</w:t>
      </w:r>
      <w:r w:rsidR="009561EA">
        <w:rPr>
          <w:lang w:val="mk-MK"/>
        </w:rPr>
        <w:t xml:space="preserve"> Токму затоа, тајмингот целосно одговара на </w:t>
      </w:r>
      <w:r w:rsidR="00703034">
        <w:rPr>
          <w:lang w:val="mk-MK"/>
        </w:rPr>
        <w:t xml:space="preserve">предвидениот реформски период. </w:t>
      </w:r>
    </w:p>
    <w:p w14:paraId="369A3E62" w14:textId="4E3A23D3" w:rsidR="00936409" w:rsidRDefault="00C942DD" w:rsidP="007F4D17">
      <w:pPr>
        <w:pStyle w:val="BodyText"/>
        <w:spacing w:before="240"/>
        <w:ind w:firstLine="720"/>
        <w:jc w:val="both"/>
        <w:rPr>
          <w:lang w:val="mk-MK"/>
        </w:rPr>
      </w:pPr>
      <w:r w:rsidRPr="00C942DD">
        <w:rPr>
          <w:lang w:val="mk-MK"/>
        </w:rPr>
        <w:t xml:space="preserve">Подеднакво важно е и Поглавје 19 – Социјална политика и вработување, кое спаѓа во Кластер 3 (Конкурентност и инклузивен раст). Подобластите опфатени со Поглавје 19 </w:t>
      </w:r>
      <w:r w:rsidR="00722D96">
        <w:rPr>
          <w:lang w:val="mk-MK"/>
        </w:rPr>
        <w:t xml:space="preserve">ги </w:t>
      </w:r>
      <w:r w:rsidRPr="00C942DD">
        <w:rPr>
          <w:lang w:val="mk-MK"/>
        </w:rPr>
        <w:t xml:space="preserve">вклучуваат </w:t>
      </w:r>
      <w:r w:rsidR="00722D96">
        <w:rPr>
          <w:lang w:val="mk-MK"/>
        </w:rPr>
        <w:t>трудовото</w:t>
      </w:r>
      <w:r w:rsidRPr="00C942DD">
        <w:rPr>
          <w:lang w:val="mk-MK"/>
        </w:rPr>
        <w:t xml:space="preserve"> право, здравје</w:t>
      </w:r>
      <w:r w:rsidR="00722D96">
        <w:rPr>
          <w:lang w:val="mk-MK"/>
        </w:rPr>
        <w:t>то</w:t>
      </w:r>
      <w:r w:rsidRPr="00C942DD">
        <w:rPr>
          <w:lang w:val="mk-MK"/>
        </w:rPr>
        <w:t xml:space="preserve"> и безбедност</w:t>
      </w:r>
      <w:r w:rsidR="00722D96">
        <w:rPr>
          <w:lang w:val="mk-MK"/>
        </w:rPr>
        <w:t>а</w:t>
      </w:r>
      <w:r w:rsidRPr="00C942DD">
        <w:rPr>
          <w:lang w:val="mk-MK"/>
        </w:rPr>
        <w:t xml:space="preserve"> при работа, социјал</w:t>
      </w:r>
      <w:r w:rsidR="00722D96">
        <w:rPr>
          <w:lang w:val="mk-MK"/>
        </w:rPr>
        <w:t>ниот</w:t>
      </w:r>
      <w:r w:rsidRPr="00C942DD">
        <w:rPr>
          <w:lang w:val="mk-MK"/>
        </w:rPr>
        <w:t xml:space="preserve"> дијалог, политика</w:t>
      </w:r>
      <w:r w:rsidR="00722D96">
        <w:rPr>
          <w:lang w:val="mk-MK"/>
        </w:rPr>
        <w:t>та</w:t>
      </w:r>
      <w:r w:rsidRPr="00C942DD">
        <w:rPr>
          <w:lang w:val="mk-MK"/>
        </w:rPr>
        <w:t xml:space="preserve"> за вработување, Европски</w:t>
      </w:r>
      <w:r w:rsidR="00722D96">
        <w:rPr>
          <w:lang w:val="mk-MK"/>
        </w:rPr>
        <w:t>от</w:t>
      </w:r>
      <w:r w:rsidRPr="00C942DD">
        <w:rPr>
          <w:lang w:val="mk-MK"/>
        </w:rPr>
        <w:t xml:space="preserve"> социјален фонд, социјална</w:t>
      </w:r>
      <w:r w:rsidR="00722D96">
        <w:rPr>
          <w:lang w:val="mk-MK"/>
        </w:rPr>
        <w:t>та</w:t>
      </w:r>
      <w:r w:rsidRPr="00C942DD">
        <w:rPr>
          <w:lang w:val="mk-MK"/>
        </w:rPr>
        <w:t xml:space="preserve"> инклузија и заштита, антидискриминација</w:t>
      </w:r>
      <w:r w:rsidR="00722D96">
        <w:rPr>
          <w:lang w:val="mk-MK"/>
        </w:rPr>
        <w:t>та</w:t>
      </w:r>
      <w:r w:rsidRPr="00C942DD">
        <w:rPr>
          <w:lang w:val="mk-MK"/>
        </w:rPr>
        <w:t xml:space="preserve"> и еднакви</w:t>
      </w:r>
      <w:r w:rsidR="00722D96">
        <w:rPr>
          <w:lang w:val="mk-MK"/>
        </w:rPr>
        <w:t>те</w:t>
      </w:r>
      <w:r w:rsidRPr="00C942DD">
        <w:rPr>
          <w:lang w:val="mk-MK"/>
        </w:rPr>
        <w:t xml:space="preserve"> можности.</w:t>
      </w:r>
      <w:r w:rsidR="00BC37DE">
        <w:rPr>
          <w:rStyle w:val="FootnoteReference"/>
          <w:lang w:val="mk-MK"/>
        </w:rPr>
        <w:footnoteReference w:id="775"/>
      </w:r>
      <w:r w:rsidRPr="00C942DD">
        <w:rPr>
          <w:lang w:val="mk-MK"/>
        </w:rPr>
        <w:t xml:space="preserve"> Токму во ова поглавје се засновани правата на вработените на информирање и консултирање на национално ниво. Директивата 2002/14/ЕЗ</w:t>
      </w:r>
      <w:r w:rsidR="000615F4">
        <w:rPr>
          <w:lang w:val="mk-MK"/>
        </w:rPr>
        <w:t>,</w:t>
      </w:r>
      <w:r w:rsidRPr="00C942DD">
        <w:rPr>
          <w:lang w:val="mk-MK"/>
        </w:rPr>
        <w:t xml:space="preserve"> која воспоставува општа рамка за информирање и консултирање на вработените</w:t>
      </w:r>
      <w:r w:rsidR="000615F4">
        <w:rPr>
          <w:lang w:val="mk-MK"/>
        </w:rPr>
        <w:t>,</w:t>
      </w:r>
      <w:r w:rsidRPr="00C942DD">
        <w:rPr>
          <w:lang w:val="mk-MK"/>
        </w:rPr>
        <w:t xml:space="preserve"> мора да биде транспонирана во рамките на Поглавје 19 и претставува основа за секакво значајно учество на вработените во корпоративното одлучување. Без солидна домашна рамка за права на информирање и консултирање, понапредните правила за учество на ниво на одбор предвидени во Поглавје 6 стануваат суштински неприменливи. Македонија мора да ги третира овие две поглавја како комплементарни</w:t>
      </w:r>
      <w:r w:rsidR="00EC5377">
        <w:rPr>
          <w:lang w:val="mk-MK"/>
        </w:rPr>
        <w:t xml:space="preserve"> затоа што </w:t>
      </w:r>
      <w:r w:rsidRPr="00C942DD">
        <w:rPr>
          <w:lang w:val="mk-MK"/>
        </w:rPr>
        <w:t>едното ја обезбедува правната структура на компанијата, а другото ги обезбедува правата на луѓето кои работат во неа.</w:t>
      </w:r>
    </w:p>
    <w:p w14:paraId="502292A6" w14:textId="765AB185" w:rsidR="00BF6223" w:rsidRDefault="00BF6223" w:rsidP="007F4D17">
      <w:pPr>
        <w:pStyle w:val="BodyText"/>
        <w:spacing w:before="240"/>
        <w:ind w:firstLine="720"/>
        <w:jc w:val="both"/>
        <w:rPr>
          <w:lang w:val="mk-MK"/>
        </w:rPr>
      </w:pPr>
      <w:r w:rsidRPr="00BF6223">
        <w:rPr>
          <w:lang w:val="mk-MK"/>
        </w:rPr>
        <w:t>Трето поглавје од голема практична важност е димензијата на Европските совети на работници, исто така засидрена во Поглавје 19. Европските совети на работници се воспоставуваат согласно Директивата 2009/38/ЕЗ, која се применува на компании или групи со најмалку 1.000 вработени во ЕУ и ЕЕА кога во секоја од</w:t>
      </w:r>
      <w:r w:rsidR="004E5CD3">
        <w:rPr>
          <w:lang w:val="en-US"/>
        </w:rPr>
        <w:t xml:space="preserve"> </w:t>
      </w:r>
      <w:r w:rsidR="004E5CD3">
        <w:rPr>
          <w:lang w:val="mk-MK"/>
        </w:rPr>
        <w:t>најмалку</w:t>
      </w:r>
      <w:r w:rsidRPr="00BF6223">
        <w:rPr>
          <w:lang w:val="mk-MK"/>
        </w:rPr>
        <w:t xml:space="preserve"> две земји-членки има најмалку 150 вработени. По пристапувањето, македонските вработени во мултинационални компании кои ги исполнуваат овие прагови ќе стекнат право на застапеност во Европските совети на работници. Во 2024 година, Комисијата предложи ажурирање на EWC Директивата со цел да се олесни основањето на европски совети на работници, да се подобри родовата рамнотежа и да се промовира ефикасна примена, со клучни подобрувања кои вклучуваат навремено и смислено консултирање на вработените и јасна дефиниција на транснационални прашања. Македонија ќе треба да располага со имплементирачко законодавство кое ја одразува не само тековната Директива, туку и оваа ревидирана верзија, што додава дополнителна итност и сложеност на задачата на транспозиција.</w:t>
      </w:r>
    </w:p>
    <w:p w14:paraId="6E910A32" w14:textId="01C67572" w:rsidR="0004441F" w:rsidRDefault="00B773CF" w:rsidP="00B773CF">
      <w:pPr>
        <w:pStyle w:val="BodyText"/>
        <w:spacing w:before="240"/>
        <w:ind w:firstLine="720"/>
        <w:jc w:val="both"/>
        <w:rPr>
          <w:lang w:val="mk-MK"/>
        </w:rPr>
      </w:pPr>
      <w:r w:rsidRPr="00B773CF">
        <w:rPr>
          <w:lang w:val="mk-MK"/>
        </w:rPr>
        <w:t xml:space="preserve">Поглавје 23 – Правосудство и темелни права, иако примарно се занимава со владеењето на правото, е исто така индиректно клучно. Судскиот систем на Македонија се наоѓа помеѓу делумна и умерена подготвеност и </w:t>
      </w:r>
      <w:r w:rsidR="00B32AF8">
        <w:rPr>
          <w:lang w:val="mk-MK"/>
        </w:rPr>
        <w:t>има постигнато</w:t>
      </w:r>
      <w:r w:rsidRPr="00B773CF">
        <w:rPr>
          <w:lang w:val="mk-MK"/>
        </w:rPr>
        <w:t xml:space="preserve"> ограничен напредок во оваа област, а тоа е важно затоа што правата за учество на вработените</w:t>
      </w:r>
      <w:r w:rsidR="00805092">
        <w:rPr>
          <w:lang w:val="mk-MK"/>
        </w:rPr>
        <w:t>,</w:t>
      </w:r>
      <w:r w:rsidRPr="00B773CF">
        <w:rPr>
          <w:lang w:val="mk-MK"/>
        </w:rPr>
        <w:t xml:space="preserve"> без разлика дали во одборите или преку акциски шеми</w:t>
      </w:r>
      <w:r w:rsidR="00805092">
        <w:rPr>
          <w:lang w:val="mk-MK"/>
        </w:rPr>
        <w:t>,</w:t>
      </w:r>
      <w:r w:rsidRPr="00B773CF">
        <w:rPr>
          <w:lang w:val="mk-MK"/>
        </w:rPr>
        <w:t xml:space="preserve"> се бесмислени без достапно и независно судство способно да ги спроведе. Доколку претставникот на вработените во надзорниот одбор биде незаконски надгласан, или доколку ESOP договорот биде прекршен, мора да </w:t>
      </w:r>
      <w:r w:rsidRPr="00B773CF">
        <w:rPr>
          <w:lang w:val="mk-MK"/>
        </w:rPr>
        <w:lastRenderedPageBreak/>
        <w:t>постои ефикасна судска заштита. Слабоста на македонскиот правосуден систем затоа не е само политички проблем</w:t>
      </w:r>
      <w:r w:rsidR="004221F9">
        <w:rPr>
          <w:lang w:val="mk-MK"/>
        </w:rPr>
        <w:t>, туку и</w:t>
      </w:r>
      <w:r w:rsidRPr="00B773CF">
        <w:rPr>
          <w:lang w:val="mk-MK"/>
        </w:rPr>
        <w:t xml:space="preserve"> структурна пречка за реформата на корпоративното управување да биде суштинска</w:t>
      </w:r>
      <w:r w:rsidR="004221F9">
        <w:rPr>
          <w:lang w:val="mk-MK"/>
        </w:rPr>
        <w:t xml:space="preserve"> наместо уште една</w:t>
      </w:r>
      <w:r w:rsidRPr="00B773CF">
        <w:rPr>
          <w:lang w:val="mk-MK"/>
        </w:rPr>
        <w:t xml:space="preserve"> козметичка</w:t>
      </w:r>
      <w:r w:rsidR="004221F9">
        <w:rPr>
          <w:lang w:val="mk-MK"/>
        </w:rPr>
        <w:t xml:space="preserve"> интервенција</w:t>
      </w:r>
      <w:r w:rsidRPr="00B773CF">
        <w:rPr>
          <w:lang w:val="mk-MK"/>
        </w:rPr>
        <w:t>.</w:t>
      </w:r>
    </w:p>
    <w:p w14:paraId="173BEA7E" w14:textId="11614693" w:rsidR="004221F9" w:rsidRDefault="000B10FE" w:rsidP="00B773CF">
      <w:pPr>
        <w:pStyle w:val="BodyText"/>
        <w:spacing w:before="240"/>
        <w:ind w:firstLine="720"/>
        <w:jc w:val="both"/>
        <w:rPr>
          <w:lang w:val="mk-MK"/>
        </w:rPr>
      </w:pPr>
      <w:r w:rsidRPr="000B10FE">
        <w:rPr>
          <w:lang w:val="mk-MK"/>
        </w:rPr>
        <w:t xml:space="preserve">Конечно, иако помалку очигледно, Поглавје 3 – </w:t>
      </w:r>
      <w:r w:rsidR="00D552B5" w:rsidRPr="00D552B5">
        <w:rPr>
          <w:lang w:val="mk-MK"/>
        </w:rPr>
        <w:t xml:space="preserve">право на основање и слобода на обезбедување услуги </w:t>
      </w:r>
      <w:r w:rsidR="008A3502">
        <w:rPr>
          <w:lang w:val="mk-MK"/>
        </w:rPr>
        <w:t>е</w:t>
      </w:r>
      <w:r w:rsidRPr="000B10FE">
        <w:rPr>
          <w:lang w:val="mk-MK"/>
        </w:rPr>
        <w:t xml:space="preserve"> исто така релевантн</w:t>
      </w:r>
      <w:r w:rsidR="008A3502">
        <w:rPr>
          <w:lang w:val="mk-MK"/>
        </w:rPr>
        <w:t>о</w:t>
      </w:r>
      <w:r w:rsidRPr="000B10FE">
        <w:rPr>
          <w:lang w:val="mk-MK"/>
        </w:rPr>
        <w:t xml:space="preserve">, бидејќи </w:t>
      </w:r>
      <w:r w:rsidR="00224783">
        <w:rPr>
          <w:lang w:val="mk-MK"/>
        </w:rPr>
        <w:t>ја</w:t>
      </w:r>
      <w:r w:rsidRPr="000B10FE">
        <w:rPr>
          <w:lang w:val="mk-MK"/>
        </w:rPr>
        <w:t xml:space="preserve"> поткрепува прекуграничната мобилност на компаниите, а тоа е токму контекстот во кој се применуваат SE Директивата и правилата за прекугранично спојување. Скрининг-сесиите за сите шест кластери беа завршени до 7 декември 2023 година, а земјата ќе може да премине во следната фаза на преговори откако ќе бидат усвоени уставните измени.</w:t>
      </w:r>
      <w:r w:rsidR="000F3332">
        <w:rPr>
          <w:rStyle w:val="FootnoteReference"/>
          <w:lang w:val="mk-MK"/>
        </w:rPr>
        <w:footnoteReference w:id="776"/>
      </w:r>
      <w:r w:rsidRPr="000B10FE">
        <w:rPr>
          <w:lang w:val="mk-MK"/>
        </w:rPr>
        <w:t xml:space="preserve"> Ова значи дека иако скринингот е технички завршен, вистинската законодавна и институционална работа на усогласување на овие поглавја е сè уште пред нас, и Македонија мора да даде приоритет на изградбата на законите, институциите, административните капацитети и судската култура потребни за да функционираат во практиката.</w:t>
      </w:r>
      <w:r>
        <w:rPr>
          <w:lang w:val="mk-MK"/>
        </w:rPr>
        <w:t xml:space="preserve"> </w:t>
      </w:r>
    </w:p>
    <w:p w14:paraId="1DE812CA" w14:textId="36EFC307" w:rsidR="0004441F" w:rsidRPr="00A702A9" w:rsidRDefault="0004441F" w:rsidP="0004441F">
      <w:pPr>
        <w:pStyle w:val="Heading2"/>
        <w:numPr>
          <w:ilvl w:val="1"/>
          <w:numId w:val="14"/>
        </w:numPr>
        <w:rPr>
          <w:rFonts w:ascii="Times New Roman" w:hAnsi="Times New Roman" w:cs="Times New Roman"/>
          <w:b w:val="0"/>
          <w:bCs w:val="0"/>
          <w:sz w:val="24"/>
          <w:szCs w:val="24"/>
        </w:rPr>
      </w:pPr>
      <w:bookmarkStart w:id="89" w:name="_Toc230523942"/>
      <w:r w:rsidRPr="0004441F">
        <w:rPr>
          <w:rFonts w:ascii="Times New Roman" w:hAnsi="Times New Roman" w:cs="Times New Roman"/>
          <w:b w:val="0"/>
          <w:bCs w:val="0"/>
          <w:color w:val="000000" w:themeColor="text1"/>
          <w:sz w:val="24"/>
          <w:szCs w:val="24"/>
          <w:lang w:val="mk-MK"/>
        </w:rPr>
        <w:t>Скрининг</w:t>
      </w:r>
      <w:r w:rsidR="000402EF">
        <w:rPr>
          <w:rFonts w:ascii="Times New Roman" w:hAnsi="Times New Roman" w:cs="Times New Roman"/>
          <w:b w:val="0"/>
          <w:bCs w:val="0"/>
          <w:color w:val="000000" w:themeColor="text1"/>
          <w:sz w:val="24"/>
          <w:szCs w:val="24"/>
          <w:lang w:val="mk-MK"/>
        </w:rPr>
        <w:t xml:space="preserve"> и</w:t>
      </w:r>
      <w:r w:rsidRPr="0004441F">
        <w:rPr>
          <w:rFonts w:ascii="Times New Roman" w:hAnsi="Times New Roman" w:cs="Times New Roman"/>
          <w:b w:val="0"/>
          <w:bCs w:val="0"/>
          <w:color w:val="000000" w:themeColor="text1"/>
          <w:sz w:val="24"/>
          <w:szCs w:val="24"/>
          <w:lang w:val="mk-MK"/>
        </w:rPr>
        <w:t xml:space="preserve"> поглавј</w:t>
      </w:r>
      <w:r w:rsidR="00967ADE">
        <w:rPr>
          <w:rFonts w:ascii="Times New Roman" w:hAnsi="Times New Roman" w:cs="Times New Roman"/>
          <w:b w:val="0"/>
          <w:bCs w:val="0"/>
          <w:color w:val="000000" w:themeColor="text1"/>
          <w:sz w:val="24"/>
          <w:szCs w:val="24"/>
          <w:lang w:val="mk-MK"/>
        </w:rPr>
        <w:t>а</w:t>
      </w:r>
      <w:r w:rsidR="00950F14">
        <w:rPr>
          <w:rFonts w:ascii="Times New Roman" w:hAnsi="Times New Roman" w:cs="Times New Roman"/>
          <w:b w:val="0"/>
          <w:bCs w:val="0"/>
          <w:color w:val="000000" w:themeColor="text1"/>
          <w:sz w:val="24"/>
          <w:szCs w:val="24"/>
          <w:lang w:val="mk-MK"/>
        </w:rPr>
        <w:t xml:space="preserve"> 3-</w:t>
      </w:r>
      <w:r w:rsidR="00B32AF8">
        <w:rPr>
          <w:rFonts w:ascii="Times New Roman" w:hAnsi="Times New Roman" w:cs="Times New Roman"/>
          <w:b w:val="0"/>
          <w:bCs w:val="0"/>
          <w:color w:val="000000" w:themeColor="text1"/>
          <w:sz w:val="24"/>
          <w:szCs w:val="24"/>
          <w:lang w:val="mk-MK"/>
        </w:rPr>
        <w:t>п</w:t>
      </w:r>
      <w:r w:rsidR="001D3D4E" w:rsidRPr="001D3D4E">
        <w:rPr>
          <w:rFonts w:ascii="Times New Roman" w:hAnsi="Times New Roman" w:cs="Times New Roman"/>
          <w:b w:val="0"/>
          <w:bCs w:val="0"/>
          <w:color w:val="000000" w:themeColor="text1"/>
          <w:sz w:val="24"/>
          <w:szCs w:val="24"/>
          <w:lang w:val="mk-MK"/>
        </w:rPr>
        <w:t>раво на основање и слобода на обезбедување услуги</w:t>
      </w:r>
      <w:r w:rsidR="001D3D4E">
        <w:rPr>
          <w:rFonts w:ascii="Times New Roman" w:hAnsi="Times New Roman" w:cs="Times New Roman"/>
          <w:b w:val="0"/>
          <w:bCs w:val="0"/>
          <w:color w:val="000000" w:themeColor="text1"/>
          <w:sz w:val="24"/>
          <w:szCs w:val="24"/>
          <w:lang w:val="en-US"/>
        </w:rPr>
        <w:t>,</w:t>
      </w:r>
      <w:r w:rsidR="00967ADE">
        <w:rPr>
          <w:rFonts w:ascii="Times New Roman" w:hAnsi="Times New Roman" w:cs="Times New Roman"/>
          <w:b w:val="0"/>
          <w:bCs w:val="0"/>
          <w:color w:val="000000" w:themeColor="text1"/>
          <w:sz w:val="24"/>
          <w:szCs w:val="24"/>
          <w:lang w:val="mk-MK"/>
        </w:rPr>
        <w:t xml:space="preserve"> 6</w:t>
      </w:r>
      <w:r w:rsidR="00F65F3A">
        <w:rPr>
          <w:rFonts w:ascii="Times New Roman" w:hAnsi="Times New Roman" w:cs="Times New Roman"/>
          <w:b w:val="0"/>
          <w:bCs w:val="0"/>
          <w:color w:val="000000" w:themeColor="text1"/>
          <w:sz w:val="24"/>
          <w:szCs w:val="24"/>
          <w:lang w:val="mk-MK"/>
        </w:rPr>
        <w:t>-право на трговски друштва</w:t>
      </w:r>
      <w:r w:rsidR="00967ADE">
        <w:rPr>
          <w:rFonts w:ascii="Times New Roman" w:hAnsi="Times New Roman" w:cs="Times New Roman"/>
          <w:b w:val="0"/>
          <w:bCs w:val="0"/>
          <w:color w:val="000000" w:themeColor="text1"/>
          <w:sz w:val="24"/>
          <w:szCs w:val="24"/>
          <w:lang w:val="mk-MK"/>
        </w:rPr>
        <w:t>, 19</w:t>
      </w:r>
      <w:r w:rsidR="00F65F3A">
        <w:rPr>
          <w:rFonts w:ascii="Times New Roman" w:hAnsi="Times New Roman" w:cs="Times New Roman"/>
          <w:b w:val="0"/>
          <w:bCs w:val="0"/>
          <w:color w:val="000000" w:themeColor="text1"/>
          <w:sz w:val="24"/>
          <w:szCs w:val="24"/>
          <w:lang w:val="mk-MK"/>
        </w:rPr>
        <w:t>-социјална политика и вработување</w:t>
      </w:r>
      <w:r w:rsidR="00967ADE">
        <w:rPr>
          <w:rFonts w:ascii="Times New Roman" w:hAnsi="Times New Roman" w:cs="Times New Roman"/>
          <w:b w:val="0"/>
          <w:bCs w:val="0"/>
          <w:color w:val="000000" w:themeColor="text1"/>
          <w:sz w:val="24"/>
          <w:szCs w:val="24"/>
          <w:lang w:val="mk-MK"/>
        </w:rPr>
        <w:t xml:space="preserve"> и 26</w:t>
      </w:r>
      <w:r w:rsidR="00F65F3A">
        <w:rPr>
          <w:rFonts w:ascii="Times New Roman" w:hAnsi="Times New Roman" w:cs="Times New Roman"/>
          <w:b w:val="0"/>
          <w:bCs w:val="0"/>
          <w:color w:val="000000" w:themeColor="text1"/>
          <w:sz w:val="24"/>
          <w:szCs w:val="24"/>
          <w:lang w:val="mk-MK"/>
        </w:rPr>
        <w:t>-</w:t>
      </w:r>
      <w:r w:rsidR="00B32AF8">
        <w:rPr>
          <w:rFonts w:ascii="Times New Roman" w:hAnsi="Times New Roman" w:cs="Times New Roman"/>
          <w:b w:val="0"/>
          <w:bCs w:val="0"/>
          <w:color w:val="000000" w:themeColor="text1"/>
          <w:sz w:val="24"/>
          <w:szCs w:val="24"/>
          <w:lang w:val="mk-MK"/>
        </w:rPr>
        <w:t>правосудство и темелни права</w:t>
      </w:r>
      <w:bookmarkEnd w:id="89"/>
    </w:p>
    <w:p w14:paraId="67AA7246" w14:textId="04E8478B" w:rsidR="00323229" w:rsidRDefault="00671906" w:rsidP="00671906">
      <w:pPr>
        <w:pStyle w:val="BodyText"/>
        <w:spacing w:before="240"/>
        <w:ind w:firstLine="720"/>
        <w:jc w:val="both"/>
        <w:rPr>
          <w:lang w:val="mk-MK"/>
        </w:rPr>
      </w:pPr>
      <w:r w:rsidRPr="00671906">
        <w:rPr>
          <w:lang w:val="mk-MK"/>
        </w:rPr>
        <w:t xml:space="preserve">Скрининг процесот претставува аналитичка фаза на пристапните преговори во текот на која Европската комисија, заедно со државата-кандидат, методолошки го прегледува целокупното </w:t>
      </w:r>
      <w:r w:rsidRPr="00170948">
        <w:rPr>
          <w:i/>
          <w:iCs/>
          <w:lang w:val="mk-MK"/>
        </w:rPr>
        <w:t>acquis communautaire</w:t>
      </w:r>
      <w:r w:rsidRPr="00671906">
        <w:rPr>
          <w:lang w:val="mk-MK"/>
        </w:rPr>
        <w:t xml:space="preserve"> со цел да</w:t>
      </w:r>
      <w:r w:rsidR="00170948">
        <w:rPr>
          <w:lang w:val="mk-MK"/>
        </w:rPr>
        <w:t xml:space="preserve"> го</w:t>
      </w:r>
      <w:r w:rsidRPr="00671906">
        <w:rPr>
          <w:lang w:val="mk-MK"/>
        </w:rPr>
        <w:t xml:space="preserve"> утврди степенот на усогласеност на националното законодавство со правото на ЕУ, да ги идентификува клучните недостатоци и да постави параметри за идните реформски приоритети. Во контекст на темата за вклученост на вработените во трговските друштва преку учество во органите и распределба на акции, четири преговарачки поглавја добиваат особена научна и практична тежина: Поглавје 3, Поглавје 6, Поглавје 19 и Поглавје 26. Разбирањето на нивниот меѓусебен однос, поединечниот обем и тековната состојба на усогласеност на Македонија е од фундаментална важност за секоја сериозна анализа на процесот.</w:t>
      </w:r>
    </w:p>
    <w:p w14:paraId="5FBC827C" w14:textId="22447876" w:rsidR="00C94993" w:rsidRDefault="00E653CA" w:rsidP="00671906">
      <w:pPr>
        <w:pStyle w:val="BodyText"/>
        <w:spacing w:before="240"/>
        <w:ind w:firstLine="720"/>
        <w:jc w:val="both"/>
        <w:rPr>
          <w:lang w:val="mk-MK"/>
        </w:rPr>
      </w:pPr>
      <w:r>
        <w:rPr>
          <w:lang w:val="mk-MK"/>
        </w:rPr>
        <w:t xml:space="preserve">На почетокот, значајно е </w:t>
      </w:r>
      <w:r w:rsidR="00C94993">
        <w:rPr>
          <w:lang w:val="mk-MK"/>
        </w:rPr>
        <w:t xml:space="preserve">повторно </w:t>
      </w:r>
      <w:r>
        <w:rPr>
          <w:lang w:val="mk-MK"/>
        </w:rPr>
        <w:t xml:space="preserve">да се напомене дека </w:t>
      </w:r>
      <w:r w:rsidRPr="00E653CA">
        <w:rPr>
          <w:lang w:val="mk-MK"/>
        </w:rPr>
        <w:t>правото</w:t>
      </w:r>
      <w:r w:rsidR="00D50D65">
        <w:rPr>
          <w:lang w:val="mk-MK"/>
        </w:rPr>
        <w:t xml:space="preserve"> на ЕУ</w:t>
      </w:r>
      <w:r w:rsidRPr="00E653CA">
        <w:rPr>
          <w:lang w:val="mk-MK"/>
        </w:rPr>
        <w:t xml:space="preserve"> </w:t>
      </w:r>
      <w:r>
        <w:rPr>
          <w:lang w:val="mk-MK"/>
        </w:rPr>
        <w:t>пре</w:t>
      </w:r>
      <w:r w:rsidRPr="00E653CA">
        <w:rPr>
          <w:lang w:val="mk-MK"/>
        </w:rPr>
        <w:t>познава два главни столба на вклученост на вработените во трговски друштва</w:t>
      </w:r>
      <w:r w:rsidR="00D1460E">
        <w:rPr>
          <w:lang w:val="mk-MK"/>
        </w:rPr>
        <w:t>. Првиот столб е учеството во органите на друштвото.</w:t>
      </w:r>
      <w:r w:rsidR="006E0BAE">
        <w:rPr>
          <w:lang w:val="mk-MK"/>
        </w:rPr>
        <w:t xml:space="preserve"> </w:t>
      </w:r>
      <w:r w:rsidR="006E0BAE" w:rsidRPr="006E0BAE">
        <w:rPr>
          <w:lang w:val="mk-MK"/>
        </w:rPr>
        <w:t xml:space="preserve">Ова подразбира застапеност на вработените во управните или надзорните тела на друштвото. </w:t>
      </w:r>
      <w:r w:rsidR="00BC53F9">
        <w:rPr>
          <w:lang w:val="mk-MK"/>
        </w:rPr>
        <w:t>ЕУ ова</w:t>
      </w:r>
      <w:r w:rsidR="006E0BAE" w:rsidRPr="006E0BAE">
        <w:rPr>
          <w:lang w:val="mk-MK"/>
        </w:rPr>
        <w:t xml:space="preserve"> го уредува преку неколку инструменти</w:t>
      </w:r>
      <w:r w:rsidR="00BC53F9">
        <w:rPr>
          <w:lang w:val="mk-MK"/>
        </w:rPr>
        <w:t xml:space="preserve"> како </w:t>
      </w:r>
      <w:r w:rsidR="006E0BAE" w:rsidRPr="006E0BAE">
        <w:rPr>
          <w:lang w:val="mk-MK"/>
        </w:rPr>
        <w:t>Директива</w:t>
      </w:r>
      <w:r w:rsidR="00BC53F9">
        <w:rPr>
          <w:lang w:val="mk-MK"/>
        </w:rPr>
        <w:t>та</w:t>
      </w:r>
      <w:r w:rsidR="006E0BAE" w:rsidRPr="006E0BAE">
        <w:rPr>
          <w:lang w:val="mk-MK"/>
        </w:rPr>
        <w:t xml:space="preserve"> 2002/14/ЕЗ</w:t>
      </w:r>
      <w:r w:rsidR="00BC53F9">
        <w:rPr>
          <w:lang w:val="mk-MK"/>
        </w:rPr>
        <w:t>, која е своевидна о</w:t>
      </w:r>
      <w:r w:rsidR="006E0BAE" w:rsidRPr="006E0BAE">
        <w:rPr>
          <w:lang w:val="mk-MK"/>
        </w:rPr>
        <w:t>пшта рамка за информирање и консултирање</w:t>
      </w:r>
      <w:r w:rsidR="00043416">
        <w:rPr>
          <w:lang w:val="mk-MK"/>
        </w:rPr>
        <w:t xml:space="preserve"> и </w:t>
      </w:r>
      <w:r w:rsidR="006E0BAE" w:rsidRPr="006E0BAE">
        <w:rPr>
          <w:lang w:val="mk-MK"/>
        </w:rPr>
        <w:t xml:space="preserve">има за цел засилување на дијалогот во претпријатијата и обезбедување вклученост на вработените во процесот на одлучување, со поглед кон подобра антиципација на проблемите и превенција на кризи. </w:t>
      </w:r>
      <w:r w:rsidR="00043416">
        <w:rPr>
          <w:lang w:val="mk-MK"/>
        </w:rPr>
        <w:t>Понатаму,</w:t>
      </w:r>
      <w:r w:rsidR="006E0BAE" w:rsidRPr="006E0BAE">
        <w:rPr>
          <w:lang w:val="mk-MK"/>
        </w:rPr>
        <w:t xml:space="preserve"> Директива</w:t>
      </w:r>
      <w:r w:rsidR="00043416">
        <w:rPr>
          <w:lang w:val="mk-MK"/>
        </w:rPr>
        <w:t>та</w:t>
      </w:r>
      <w:r w:rsidR="006E0BAE" w:rsidRPr="006E0BAE">
        <w:rPr>
          <w:lang w:val="mk-MK"/>
        </w:rPr>
        <w:t xml:space="preserve"> 2009/38/ЕЗ </w:t>
      </w:r>
      <w:r w:rsidR="00B042AA">
        <w:rPr>
          <w:lang w:val="mk-MK"/>
        </w:rPr>
        <w:t>за</w:t>
      </w:r>
      <w:r w:rsidR="006E0BAE" w:rsidRPr="006E0BAE">
        <w:rPr>
          <w:lang w:val="mk-MK"/>
        </w:rPr>
        <w:t xml:space="preserve"> Европски совет на работници (EWC) се применува на претпријатија или групи со минимум 1.000 вработени и најмалку 150 вработени во секоја од</w:t>
      </w:r>
      <w:r w:rsidR="00B042AA">
        <w:rPr>
          <w:lang w:val="mk-MK"/>
        </w:rPr>
        <w:t xml:space="preserve"> најмалку</w:t>
      </w:r>
      <w:r w:rsidR="006E0BAE" w:rsidRPr="006E0BAE">
        <w:rPr>
          <w:lang w:val="mk-MK"/>
        </w:rPr>
        <w:t xml:space="preserve"> две држави-членки. </w:t>
      </w:r>
    </w:p>
    <w:p w14:paraId="40742949" w14:textId="32420622" w:rsidR="007F2E7C" w:rsidRDefault="00B042AA" w:rsidP="00671906">
      <w:pPr>
        <w:pStyle w:val="BodyText"/>
        <w:spacing w:before="240"/>
        <w:ind w:firstLine="720"/>
        <w:jc w:val="both"/>
        <w:rPr>
          <w:lang w:val="mk-MK"/>
        </w:rPr>
      </w:pPr>
      <w:r>
        <w:rPr>
          <w:lang w:val="mk-MK"/>
        </w:rPr>
        <w:t>Трето,</w:t>
      </w:r>
      <w:r w:rsidR="006E0BAE" w:rsidRPr="006E0BAE">
        <w:rPr>
          <w:lang w:val="mk-MK"/>
        </w:rPr>
        <w:t xml:space="preserve"> Директива</w:t>
      </w:r>
      <w:r>
        <w:rPr>
          <w:lang w:val="mk-MK"/>
        </w:rPr>
        <w:t>та</w:t>
      </w:r>
      <w:r w:rsidR="006E0BAE" w:rsidRPr="006E0BAE">
        <w:rPr>
          <w:lang w:val="mk-MK"/>
        </w:rPr>
        <w:t xml:space="preserve"> 2001/86/ЕЗ </w:t>
      </w:r>
      <w:r>
        <w:rPr>
          <w:lang w:val="mk-MK"/>
        </w:rPr>
        <w:t xml:space="preserve">за </w:t>
      </w:r>
      <w:r w:rsidR="006E0BAE" w:rsidRPr="006E0BAE">
        <w:rPr>
          <w:lang w:val="mk-MK"/>
        </w:rPr>
        <w:t>Европско друштво (SE) и учество на вработените овозможува повеќе модели на учество по договор, при што најваж</w:t>
      </w:r>
      <w:r w:rsidR="00C94993">
        <w:rPr>
          <w:lang w:val="mk-MK"/>
        </w:rPr>
        <w:t>но е</w:t>
      </w:r>
      <w:r w:rsidR="006E0BAE" w:rsidRPr="006E0BAE">
        <w:rPr>
          <w:lang w:val="mk-MK"/>
        </w:rPr>
        <w:t xml:space="preserve"> застапувањето на вработените на ниво на управниот или надзорниот одбор.</w:t>
      </w:r>
      <w:r w:rsidR="00C94993">
        <w:rPr>
          <w:lang w:val="mk-MK"/>
        </w:rPr>
        <w:t xml:space="preserve"> </w:t>
      </w:r>
      <w:r w:rsidR="006E0BAE" w:rsidRPr="006E0BAE">
        <w:rPr>
          <w:lang w:val="mk-MK"/>
        </w:rPr>
        <w:t xml:space="preserve">Суштината на оваа Директива е да обезбеди дека воспоставувањето на Европско друштво нема да предизвика намалување или исчезнување на постојните практики на вклученост на </w:t>
      </w:r>
      <w:r w:rsidR="006E0BAE" w:rsidRPr="006E0BAE">
        <w:rPr>
          <w:lang w:val="mk-MK"/>
        </w:rPr>
        <w:lastRenderedPageBreak/>
        <w:t>вработените. Таму каде страните не</w:t>
      </w:r>
      <w:r w:rsidR="001B6D0D">
        <w:rPr>
          <w:lang w:val="mk-MK"/>
        </w:rPr>
        <w:t>ма да</w:t>
      </w:r>
      <w:r w:rsidR="006E0BAE" w:rsidRPr="006E0BAE">
        <w:rPr>
          <w:lang w:val="mk-MK"/>
        </w:rPr>
        <w:t xml:space="preserve"> постигнат договор, се применуваат стандардни принципи утврдени во Анексот на Директивата. </w:t>
      </w:r>
      <w:r w:rsidR="001B6D0D">
        <w:rPr>
          <w:lang w:val="mk-MK"/>
        </w:rPr>
        <w:t xml:space="preserve">Последно, </w:t>
      </w:r>
      <w:r w:rsidR="006E0BAE" w:rsidRPr="006E0BAE">
        <w:rPr>
          <w:lang w:val="mk-MK"/>
        </w:rPr>
        <w:t>Директива</w:t>
      </w:r>
      <w:r w:rsidR="00FD3D27">
        <w:rPr>
          <w:lang w:val="mk-MK"/>
        </w:rPr>
        <w:t>та</w:t>
      </w:r>
      <w:r w:rsidR="006E0BAE" w:rsidRPr="006E0BAE">
        <w:rPr>
          <w:lang w:val="mk-MK"/>
        </w:rPr>
        <w:t xml:space="preserve"> 2019/2121/ЕУ</w:t>
      </w:r>
      <w:r w:rsidR="00FD3D27">
        <w:rPr>
          <w:lang w:val="mk-MK"/>
        </w:rPr>
        <w:t xml:space="preserve"> за п</w:t>
      </w:r>
      <w:r w:rsidR="006E0BAE" w:rsidRPr="006E0BAE">
        <w:rPr>
          <w:lang w:val="mk-MK"/>
        </w:rPr>
        <w:t>рекугранични спојувања, поделби и конверзи</w:t>
      </w:r>
      <w:r w:rsidR="00FD3D27">
        <w:rPr>
          <w:lang w:val="mk-MK"/>
        </w:rPr>
        <w:t>и</w:t>
      </w:r>
      <w:r w:rsidR="006E0BAE" w:rsidRPr="006E0BAE">
        <w:rPr>
          <w:lang w:val="mk-MK"/>
        </w:rPr>
        <w:t xml:space="preserve"> воспоставува нови правила за прекугранични конверзии и поделби и ги изменува правилата за прекугранични спојувања, при што обезбедува силни заштитни мерки за засегнатите страни, вклучувајќи ги и вработените.</w:t>
      </w:r>
    </w:p>
    <w:p w14:paraId="46F25EAF" w14:textId="733D764B" w:rsidR="00FD3D27" w:rsidRDefault="00837DFC" w:rsidP="00671906">
      <w:pPr>
        <w:pStyle w:val="BodyText"/>
        <w:spacing w:before="240"/>
        <w:ind w:firstLine="720"/>
        <w:jc w:val="both"/>
        <w:rPr>
          <w:lang w:val="mk-MK"/>
        </w:rPr>
      </w:pPr>
      <w:r>
        <w:rPr>
          <w:lang w:val="mk-MK"/>
        </w:rPr>
        <w:t xml:space="preserve">Од друга страна, ЕУ распределбата на акции на вработените ја смета за </w:t>
      </w:r>
      <w:r w:rsidRPr="00837DFC">
        <w:rPr>
          <w:lang w:val="mk-MK"/>
        </w:rPr>
        <w:t xml:space="preserve">посебен механизам преку кој вработените стануваат (ко)сопственици на друштвото. ЕУ </w:t>
      </w:r>
      <w:r>
        <w:rPr>
          <w:lang w:val="mk-MK"/>
        </w:rPr>
        <w:t xml:space="preserve">ова </w:t>
      </w:r>
      <w:r w:rsidRPr="00837DFC">
        <w:rPr>
          <w:lang w:val="mk-MK"/>
        </w:rPr>
        <w:t>го промовира преку</w:t>
      </w:r>
      <w:r w:rsidR="00C210D8">
        <w:rPr>
          <w:lang w:val="mk-MK"/>
        </w:rPr>
        <w:t xml:space="preserve"> препораки за ф</w:t>
      </w:r>
      <w:r w:rsidR="00C210D8" w:rsidRPr="00C210D8">
        <w:rPr>
          <w:lang w:val="mk-MK"/>
        </w:rPr>
        <w:t>инансиска партиципација</w:t>
      </w:r>
      <w:r w:rsidR="00EF4E4D">
        <w:rPr>
          <w:lang w:val="mk-MK"/>
        </w:rPr>
        <w:t xml:space="preserve"> и</w:t>
      </w:r>
      <w:r w:rsidR="00C210D8">
        <w:rPr>
          <w:lang w:val="mk-MK"/>
        </w:rPr>
        <w:t xml:space="preserve"> таканаречени </w:t>
      </w:r>
      <w:r w:rsidR="00C210D8" w:rsidRPr="00C210D8">
        <w:rPr>
          <w:lang w:val="mk-MK"/>
        </w:rPr>
        <w:t>„PEPPER" извештаи</w:t>
      </w:r>
      <w:r w:rsidR="00EF4E4D">
        <w:rPr>
          <w:lang w:val="mk-MK"/>
        </w:rPr>
        <w:t>.</w:t>
      </w:r>
      <w:r w:rsidR="00087397">
        <w:rPr>
          <w:lang w:val="mk-MK"/>
        </w:rPr>
        <w:t xml:space="preserve"> Генерално, овие шеми можат да се претстават на следниот начин:</w:t>
      </w:r>
    </w:p>
    <w:p w14:paraId="558A3F66" w14:textId="4DE2F598" w:rsidR="00087397" w:rsidRDefault="00087397" w:rsidP="00087397">
      <w:pPr>
        <w:pStyle w:val="BodyText"/>
        <w:spacing w:before="240"/>
        <w:jc w:val="center"/>
        <w:rPr>
          <w:lang w:val="mk-MK"/>
        </w:rPr>
      </w:pPr>
      <w:r w:rsidRPr="00087397">
        <w:rPr>
          <w:noProof/>
          <w:lang w:val="mk-MK"/>
        </w:rPr>
        <w:drawing>
          <wp:inline distT="0" distB="0" distL="0" distR="0" wp14:anchorId="16F4A176" wp14:editId="4799EAFE">
            <wp:extent cx="5734050" cy="1892300"/>
            <wp:effectExtent l="0" t="0" r="0" b="0"/>
            <wp:docPr id="123375483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3754836" name=""/>
                    <pic:cNvPicPr/>
                  </pic:nvPicPr>
                  <pic:blipFill>
                    <a:blip r:embed="rId20"/>
                    <a:stretch>
                      <a:fillRect/>
                    </a:stretch>
                  </pic:blipFill>
                  <pic:spPr>
                    <a:xfrm>
                      <a:off x="0" y="0"/>
                      <a:ext cx="5734050" cy="1892300"/>
                    </a:xfrm>
                    <a:prstGeom prst="rect">
                      <a:avLst/>
                    </a:prstGeom>
                  </pic:spPr>
                </pic:pic>
              </a:graphicData>
            </a:graphic>
          </wp:inline>
        </w:drawing>
      </w:r>
    </w:p>
    <w:p w14:paraId="35E5491A" w14:textId="4268D679" w:rsidR="00087397" w:rsidRPr="004A44FA" w:rsidRDefault="00AF1434" w:rsidP="00087397">
      <w:pPr>
        <w:pStyle w:val="BodyText"/>
        <w:spacing w:before="240"/>
        <w:jc w:val="center"/>
        <w:rPr>
          <w:i/>
          <w:iCs/>
          <w:lang w:val="en-US"/>
        </w:rPr>
      </w:pPr>
      <w:r w:rsidRPr="00AF1434">
        <w:rPr>
          <w:i/>
          <w:iCs/>
          <w:lang w:val="mk-MK"/>
        </w:rPr>
        <w:t xml:space="preserve">Извор: </w:t>
      </w:r>
      <w:r w:rsidRPr="00AF1434">
        <w:rPr>
          <w:i/>
          <w:iCs/>
          <w:lang w:val="en-US"/>
        </w:rPr>
        <w:t xml:space="preserve">Acquis Communautaire </w:t>
      </w:r>
      <w:r w:rsidRPr="00AF1434">
        <w:rPr>
          <w:i/>
          <w:iCs/>
          <w:lang w:val="mk-MK"/>
        </w:rPr>
        <w:t>на ЕУ за финансиска партиципација на вработените</w:t>
      </w:r>
      <w:r w:rsidR="004A44FA">
        <w:rPr>
          <w:i/>
          <w:iCs/>
          <w:lang w:val="en-US"/>
        </w:rPr>
        <w:t>.</w:t>
      </w:r>
    </w:p>
    <w:p w14:paraId="244459CF" w14:textId="6D361AB6" w:rsidR="00172DE5" w:rsidRDefault="00706A7E" w:rsidP="00706A7E">
      <w:pPr>
        <w:pStyle w:val="BodyText"/>
        <w:spacing w:before="240"/>
        <w:jc w:val="both"/>
        <w:rPr>
          <w:lang w:val="mk-MK"/>
        </w:rPr>
      </w:pPr>
      <w:r>
        <w:rPr>
          <w:lang w:val="mk-MK"/>
        </w:rPr>
        <w:tab/>
        <w:t>Фокусирајќи се конкретно на п</w:t>
      </w:r>
      <w:r w:rsidRPr="00706A7E">
        <w:rPr>
          <w:lang w:val="mk-MK"/>
        </w:rPr>
        <w:t>раво</w:t>
      </w:r>
      <w:r>
        <w:rPr>
          <w:lang w:val="mk-MK"/>
        </w:rPr>
        <w:t>то</w:t>
      </w:r>
      <w:r w:rsidRPr="00706A7E">
        <w:rPr>
          <w:lang w:val="mk-MK"/>
        </w:rPr>
        <w:t xml:space="preserve"> на основање и слобода</w:t>
      </w:r>
      <w:r>
        <w:rPr>
          <w:lang w:val="mk-MK"/>
        </w:rPr>
        <w:t>та</w:t>
      </w:r>
      <w:r w:rsidRPr="00706A7E">
        <w:rPr>
          <w:lang w:val="mk-MK"/>
        </w:rPr>
        <w:t xml:space="preserve"> на обезбедување услуги </w:t>
      </w:r>
      <w:r>
        <w:rPr>
          <w:lang w:val="mk-MK"/>
        </w:rPr>
        <w:t>во ЕУ, кое</w:t>
      </w:r>
      <w:r w:rsidRPr="00706A7E">
        <w:rPr>
          <w:lang w:val="mk-MK"/>
        </w:rPr>
        <w:t xml:space="preserve"> спаѓа во</w:t>
      </w:r>
      <w:r w:rsidR="00D95611">
        <w:rPr>
          <w:lang w:val="mk-MK"/>
        </w:rPr>
        <w:t xml:space="preserve"> Поглавје 3</w:t>
      </w:r>
      <w:r w:rsidRPr="00706A7E">
        <w:rPr>
          <w:lang w:val="mk-MK"/>
        </w:rPr>
        <w:t xml:space="preserve"> Кластер 2, кој е посветен на </w:t>
      </w:r>
      <w:r>
        <w:rPr>
          <w:lang w:val="mk-MK"/>
        </w:rPr>
        <w:t>в</w:t>
      </w:r>
      <w:r w:rsidRPr="00706A7E">
        <w:rPr>
          <w:lang w:val="mk-MK"/>
        </w:rPr>
        <w:t>натрешниот пазар</w:t>
      </w:r>
      <w:r w:rsidR="00D95611">
        <w:rPr>
          <w:lang w:val="mk-MK"/>
        </w:rPr>
        <w:t>, и</w:t>
      </w:r>
      <w:r w:rsidRPr="00706A7E">
        <w:rPr>
          <w:lang w:val="mk-MK"/>
        </w:rPr>
        <w:t xml:space="preserve">звештаите од скринингот беа презентирани пред Советот во мај 2024 година, со што </w:t>
      </w:r>
      <w:r w:rsidR="00D95611">
        <w:rPr>
          <w:lang w:val="mk-MK"/>
        </w:rPr>
        <w:t>оваа проблематика</w:t>
      </w:r>
      <w:r w:rsidRPr="00706A7E">
        <w:rPr>
          <w:lang w:val="mk-MK"/>
        </w:rPr>
        <w:t xml:space="preserve"> влезе во фазата на активно разгледување.</w:t>
      </w:r>
      <w:r w:rsidR="00D95611">
        <w:rPr>
          <w:rStyle w:val="FootnoteReference"/>
          <w:lang w:val="mk-MK"/>
        </w:rPr>
        <w:footnoteReference w:id="777"/>
      </w:r>
      <w:r w:rsidRPr="00706A7E">
        <w:rPr>
          <w:lang w:val="mk-MK"/>
        </w:rPr>
        <w:t xml:space="preserve"> Правната рамка на ова поглавје е изградена врз основа на членовите 49 и 56 од Договорот за функционирање на Европската унија (ДФЕУ), кои ги гарантираат слободата на основање и слободата на обезбедување услуги на единствениот пазар. Во однос на правото на основање и слободата на обезбедување услуги, Македонија е умерено подготвена и постигнала ограничен напредок во понатамошното усогласување на секторското законодавство со Директивата за услуги.</w:t>
      </w:r>
      <w:r w:rsidR="00B01515">
        <w:rPr>
          <w:rStyle w:val="FootnoteReference"/>
          <w:lang w:val="mk-MK"/>
        </w:rPr>
        <w:footnoteReference w:id="778"/>
      </w:r>
      <w:r w:rsidRPr="00706A7E">
        <w:rPr>
          <w:lang w:val="mk-MK"/>
        </w:rPr>
        <w:t xml:space="preserve"> </w:t>
      </w:r>
      <w:r w:rsidR="00172DE5">
        <w:rPr>
          <w:lang w:val="mk-MK"/>
        </w:rPr>
        <w:t xml:space="preserve"> </w:t>
      </w:r>
    </w:p>
    <w:p w14:paraId="6DE6B9B7" w14:textId="75EC7FB3" w:rsidR="00A20708" w:rsidRDefault="00706A7E" w:rsidP="00172DE5">
      <w:pPr>
        <w:pStyle w:val="BodyText"/>
        <w:spacing w:before="240"/>
        <w:ind w:firstLine="720"/>
        <w:jc w:val="both"/>
        <w:rPr>
          <w:lang w:val="mk-MK"/>
        </w:rPr>
      </w:pPr>
      <w:r w:rsidRPr="00706A7E">
        <w:rPr>
          <w:lang w:val="mk-MK"/>
        </w:rPr>
        <w:t>Академск</w:t>
      </w:r>
      <w:r w:rsidR="00172DE5">
        <w:rPr>
          <w:lang w:val="mk-MK"/>
        </w:rPr>
        <w:t>ото</w:t>
      </w:r>
      <w:r w:rsidRPr="00706A7E">
        <w:rPr>
          <w:lang w:val="mk-MK"/>
        </w:rPr>
        <w:t xml:space="preserve"> знач</w:t>
      </w:r>
      <w:r w:rsidR="00172DE5">
        <w:rPr>
          <w:lang w:val="mk-MK"/>
        </w:rPr>
        <w:t>ење</w:t>
      </w:r>
      <w:r w:rsidRPr="00706A7E">
        <w:rPr>
          <w:lang w:val="mk-MK"/>
        </w:rPr>
        <w:t xml:space="preserve"> на ова поглавје за прашањето на вклученост на вработените произлегува пред сè од неговата функционална поврзаност со режимот на прекугранично основање на трговски друштва. Имено, Регулативата за Европско друштво (SE) 2157/2001/ЕЗ и Директивата 2019/2121/ЕУ за прекугранични конверзии, спојувања и поделби директно го регулираат прашањето за застапеност на вработените кај компании кои го </w:t>
      </w:r>
      <w:r w:rsidR="006B4462">
        <w:rPr>
          <w:lang w:val="mk-MK"/>
        </w:rPr>
        <w:t>користат</w:t>
      </w:r>
      <w:r w:rsidRPr="00706A7E">
        <w:rPr>
          <w:lang w:val="mk-MK"/>
        </w:rPr>
        <w:t xml:space="preserve"> правото на слободно основање </w:t>
      </w:r>
      <w:r w:rsidR="006B4462">
        <w:rPr>
          <w:lang w:val="mk-MK"/>
        </w:rPr>
        <w:t>со</w:t>
      </w:r>
      <w:r w:rsidRPr="00706A7E">
        <w:rPr>
          <w:lang w:val="mk-MK"/>
        </w:rPr>
        <w:t xml:space="preserve"> прекугранична трансформација. Без ефикасна примена на правото на основање согласно стандардите на ЕУ, овие механизми не би можеле оперативно да функционираат на македонска територија по пристапувањето. Во наредниот период, Македонија треба особено да продолжи со имплементацијата на акциониот план 2024–2026 со кој се адресира </w:t>
      </w:r>
      <w:r w:rsidRPr="00706A7E">
        <w:rPr>
          <w:lang w:val="mk-MK"/>
        </w:rPr>
        <w:lastRenderedPageBreak/>
        <w:t>неусогласеноста на секторските закони со Законот за услуги,</w:t>
      </w:r>
      <w:r w:rsidR="008C06BE">
        <w:rPr>
          <w:rStyle w:val="FootnoteReference"/>
          <w:lang w:val="mk-MK"/>
        </w:rPr>
        <w:footnoteReference w:id="779"/>
      </w:r>
      <w:r w:rsidRPr="00706A7E">
        <w:rPr>
          <w:lang w:val="mk-MK"/>
        </w:rPr>
        <w:t xml:space="preserve"> да го финализира усогласувањето со acquis за поштенски услуги и да се усогласи со acquis за взаемно признавање на стручните квалификации. WeBalkans Уште поважно, во академскиот дискурс неретко се занемарува фактот дека слободата на обезбедување услуги не е само економска категорија</w:t>
      </w:r>
      <w:r w:rsidR="00771E38">
        <w:rPr>
          <w:lang w:val="mk-MK"/>
        </w:rPr>
        <w:t>,</w:t>
      </w:r>
      <w:r w:rsidRPr="00706A7E">
        <w:rPr>
          <w:lang w:val="mk-MK"/>
        </w:rPr>
        <w:t xml:space="preserve"> таа конституира правен простор во кој работникот-граѓанин на ЕУ ги извршува своите права преку правните лица, и секоја ограничувачка национална мерка, вклучувајќи ги и оние кои ненамерно ги попречуваат правата на претставниците на вработените во прекугранични структури, </w:t>
      </w:r>
      <w:r w:rsidR="00771E38">
        <w:rPr>
          <w:lang w:val="mk-MK"/>
        </w:rPr>
        <w:t>треба да биде преиспитана</w:t>
      </w:r>
      <w:r w:rsidRPr="00706A7E">
        <w:rPr>
          <w:lang w:val="mk-MK"/>
        </w:rPr>
        <w:t xml:space="preserve"> под ова поглавје.</w:t>
      </w:r>
    </w:p>
    <w:p w14:paraId="2A08B78A" w14:textId="77777777" w:rsidR="009E62CF" w:rsidRDefault="00B83648" w:rsidP="00172DE5">
      <w:pPr>
        <w:pStyle w:val="BodyText"/>
        <w:spacing w:before="240"/>
        <w:ind w:firstLine="720"/>
        <w:jc w:val="both"/>
        <w:rPr>
          <w:lang w:val="mk-MK"/>
        </w:rPr>
      </w:pPr>
      <w:r w:rsidRPr="00B83648">
        <w:rPr>
          <w:lang w:val="mk-MK"/>
        </w:rPr>
        <w:t>Поглавје 6</w:t>
      </w:r>
      <w:r w:rsidR="00A55192">
        <w:rPr>
          <w:lang w:val="mk-MK"/>
        </w:rPr>
        <w:t>, кое се однесува на п</w:t>
      </w:r>
      <w:r w:rsidRPr="00B83648">
        <w:rPr>
          <w:lang w:val="mk-MK"/>
        </w:rPr>
        <w:t>раво</w:t>
      </w:r>
      <w:r w:rsidR="00A55192">
        <w:rPr>
          <w:lang w:val="mk-MK"/>
        </w:rPr>
        <w:t>то</w:t>
      </w:r>
      <w:r w:rsidRPr="00B83648">
        <w:rPr>
          <w:lang w:val="mk-MK"/>
        </w:rPr>
        <w:t xml:space="preserve"> на трговски друштва</w:t>
      </w:r>
      <w:r w:rsidR="00A55192">
        <w:rPr>
          <w:lang w:val="mk-MK"/>
        </w:rPr>
        <w:t>,</w:t>
      </w:r>
      <w:r w:rsidRPr="00B83648">
        <w:rPr>
          <w:lang w:val="mk-MK"/>
        </w:rPr>
        <w:t xml:space="preserve"> претставува нормативниот столб на целата материја. Ова поглавје, исто така дел од Кластер 2, го опфаќа целокупниот корпус на компаниско право на ЕУ, вклучувајќи ги директивите за капитал, откривање информации, спојувања, поделби, друштва</w:t>
      </w:r>
      <w:r w:rsidR="007F4F80">
        <w:rPr>
          <w:lang w:val="mk-MK"/>
        </w:rPr>
        <w:t xml:space="preserve"> на лице поединец</w:t>
      </w:r>
      <w:r w:rsidRPr="00B83648">
        <w:rPr>
          <w:lang w:val="mk-MK"/>
        </w:rPr>
        <w:t xml:space="preserve">, дигитализација, прекугранично спојување и Европското друштво. Аналитичкиот фокус на скринингот во рамките на ова поглавје е насочен кон утврдување на степенот до кој националниот Закон за трговски друштва (ЗТД) ги инкорпорирал наведените инструменти на ниво на </w:t>
      </w:r>
      <w:r w:rsidRPr="00015FE9">
        <w:rPr>
          <w:i/>
          <w:iCs/>
          <w:lang w:val="mk-MK"/>
        </w:rPr>
        <w:t>acquis</w:t>
      </w:r>
      <w:r w:rsidRPr="00B83648">
        <w:rPr>
          <w:lang w:val="mk-MK"/>
        </w:rPr>
        <w:t xml:space="preserve">. Клучниот правен инструмент за учество на вработените во органите е Директивата 2001/86/ЕЗ, односно SE Директивата, која го регулира учеството на вработените во Европското акционерско друштво и е нераскинливо поврзана со Регулативата 2157/2001/ЕЗ. </w:t>
      </w:r>
    </w:p>
    <w:p w14:paraId="5377656C" w14:textId="1ACAE6C9" w:rsidR="00771E38" w:rsidRDefault="00B83648" w:rsidP="00172DE5">
      <w:pPr>
        <w:pStyle w:val="BodyText"/>
        <w:spacing w:before="240"/>
        <w:ind w:firstLine="720"/>
        <w:jc w:val="both"/>
        <w:rPr>
          <w:lang w:val="en-US"/>
        </w:rPr>
      </w:pPr>
      <w:r w:rsidRPr="00B83648">
        <w:rPr>
          <w:lang w:val="mk-MK"/>
        </w:rPr>
        <w:t xml:space="preserve">Оваа Директива промовира стандардизиран модел на преговарање помеѓу работодавачите и претставниците на вработените за начинот на нивното вклучување на ниво на одбор, при </w:t>
      </w:r>
      <w:r w:rsidR="00D75E9D">
        <w:rPr>
          <w:lang w:val="mk-MK"/>
        </w:rPr>
        <w:t>што</w:t>
      </w:r>
      <w:r w:rsidRPr="00B83648">
        <w:rPr>
          <w:lang w:val="mk-MK"/>
        </w:rPr>
        <w:t xml:space="preserve"> само во отсуство на договор важат супсидијарните правила. Од посебна важност е и Директивата 2019/2121/ЕУ, со која се реформираа правилата за прекугранични спојувања и се воведоа нови правни рамки за прекугранични конверзии и поделби, при </w:t>
      </w:r>
      <w:r w:rsidR="00D75E9D">
        <w:rPr>
          <w:lang w:val="mk-MK"/>
        </w:rPr>
        <w:t xml:space="preserve">што </w:t>
      </w:r>
      <w:r w:rsidRPr="00B83648">
        <w:rPr>
          <w:lang w:val="mk-MK"/>
        </w:rPr>
        <w:t xml:space="preserve">посебно </w:t>
      </w:r>
      <w:r w:rsidR="00D75E9D">
        <w:rPr>
          <w:lang w:val="mk-MK"/>
        </w:rPr>
        <w:t>се води</w:t>
      </w:r>
      <w:r w:rsidRPr="00B83648">
        <w:rPr>
          <w:lang w:val="mk-MK"/>
        </w:rPr>
        <w:t xml:space="preserve"> сметка за заштитата на правата на вработените во секоја фаза на трансформацијата. Македонскиот ЗТД, иако претрпе значителни измени во </w:t>
      </w:r>
      <w:r w:rsidR="00E76D00">
        <w:rPr>
          <w:lang w:val="mk-MK"/>
        </w:rPr>
        <w:t>изминатите</w:t>
      </w:r>
      <w:r w:rsidRPr="00B83648">
        <w:rPr>
          <w:lang w:val="mk-MK"/>
        </w:rPr>
        <w:t xml:space="preserve"> декад</w:t>
      </w:r>
      <w:r w:rsidR="00E76D00">
        <w:rPr>
          <w:lang w:val="mk-MK"/>
        </w:rPr>
        <w:t>и</w:t>
      </w:r>
      <w:r w:rsidRPr="00B83648">
        <w:rPr>
          <w:lang w:val="mk-MK"/>
        </w:rPr>
        <w:t xml:space="preserve">, сè уште </w:t>
      </w:r>
      <w:r w:rsidR="00E76D00">
        <w:rPr>
          <w:lang w:val="mk-MK"/>
        </w:rPr>
        <w:t xml:space="preserve">ги </w:t>
      </w:r>
      <w:r w:rsidRPr="00B83648">
        <w:rPr>
          <w:lang w:val="mk-MK"/>
        </w:rPr>
        <w:t xml:space="preserve">нема систематски транспонирано ниту SE Директивата ниту Директивата 2019/2121 во нивниот целосен опфат, а особено не ги имплементирал одредбите за застапеност на вработените во управните и надзорните тела. Ова е прашање на транспозиција на конкретни директиви </w:t>
      </w:r>
      <w:r w:rsidR="009A1BD8">
        <w:rPr>
          <w:lang w:val="mk-MK"/>
        </w:rPr>
        <w:t>и</w:t>
      </w:r>
      <w:r w:rsidRPr="00B83648">
        <w:rPr>
          <w:lang w:val="mk-MK"/>
        </w:rPr>
        <w:t xml:space="preserve"> тоа е суштинско прашање на правна култура, бидејќи домашниот правен систем сè уште не познава концепт срод</w:t>
      </w:r>
      <w:r w:rsidR="006521FA">
        <w:rPr>
          <w:lang w:val="mk-MK"/>
        </w:rPr>
        <w:t>ен</w:t>
      </w:r>
      <w:r w:rsidRPr="00B83648">
        <w:rPr>
          <w:lang w:val="mk-MK"/>
        </w:rPr>
        <w:t xml:space="preserve"> на германскиот Mitbestimmung или скандинавските модели на </w:t>
      </w:r>
      <w:r w:rsidR="006521FA">
        <w:rPr>
          <w:lang w:val="mk-MK"/>
        </w:rPr>
        <w:t>соодлучување</w:t>
      </w:r>
      <w:r w:rsidRPr="00B83648">
        <w:rPr>
          <w:lang w:val="mk-MK"/>
        </w:rPr>
        <w:t xml:space="preserve"> на ниво на одбор, а нивното инсталирање бара законодавни измени и промена на корпоративната</w:t>
      </w:r>
      <w:r w:rsidR="006521FA">
        <w:rPr>
          <w:lang w:val="mk-MK"/>
        </w:rPr>
        <w:t xml:space="preserve"> свест.</w:t>
      </w:r>
    </w:p>
    <w:p w14:paraId="3040DF66" w14:textId="77777777" w:rsidR="00706F6D" w:rsidRDefault="00F70965" w:rsidP="00172DE5">
      <w:pPr>
        <w:pStyle w:val="BodyText"/>
        <w:spacing w:before="240"/>
        <w:ind w:firstLine="720"/>
        <w:jc w:val="both"/>
        <w:rPr>
          <w:lang w:val="mk-MK"/>
        </w:rPr>
      </w:pPr>
      <w:r w:rsidRPr="00F70965">
        <w:rPr>
          <w:lang w:val="mk-MK"/>
        </w:rPr>
        <w:t>Поглавје 19</w:t>
      </w:r>
      <w:r w:rsidR="00687F83">
        <w:rPr>
          <w:lang w:val="mk-MK"/>
        </w:rPr>
        <w:t>,</w:t>
      </w:r>
      <w:r w:rsidRPr="00F70965">
        <w:rPr>
          <w:lang w:val="mk-MK"/>
        </w:rPr>
        <w:t xml:space="preserve"> </w:t>
      </w:r>
      <w:r w:rsidR="00687F83">
        <w:rPr>
          <w:lang w:val="mk-MK"/>
        </w:rPr>
        <w:t>с</w:t>
      </w:r>
      <w:r w:rsidRPr="00F70965">
        <w:rPr>
          <w:lang w:val="mk-MK"/>
        </w:rPr>
        <w:t>оцијална политика и вработување</w:t>
      </w:r>
      <w:r w:rsidR="00687F83">
        <w:rPr>
          <w:lang w:val="mk-MK"/>
        </w:rPr>
        <w:t>,</w:t>
      </w:r>
      <w:r w:rsidRPr="00F70965">
        <w:rPr>
          <w:lang w:val="mk-MK"/>
        </w:rPr>
        <w:t xml:space="preserve"> спаѓа во Кластер 3, посветен на </w:t>
      </w:r>
      <w:r w:rsidR="00687F83">
        <w:rPr>
          <w:lang w:val="mk-MK"/>
        </w:rPr>
        <w:t>к</w:t>
      </w:r>
      <w:r w:rsidRPr="00F70965">
        <w:rPr>
          <w:lang w:val="mk-MK"/>
        </w:rPr>
        <w:t xml:space="preserve">онкурентност и инклузивен раст, и претставува нужна законодавна подлога за сите аспекти на учество на вработените. Иако социјалните политики се во надлежност на државите-членки, </w:t>
      </w:r>
      <w:r w:rsidRPr="0036281B">
        <w:rPr>
          <w:i/>
          <w:iCs/>
          <w:lang w:val="mk-MK"/>
        </w:rPr>
        <w:t>acquis</w:t>
      </w:r>
      <w:r w:rsidRPr="00F70965">
        <w:rPr>
          <w:lang w:val="mk-MK"/>
        </w:rPr>
        <w:t xml:space="preserve"> на ЕУ во социјалната сфера опфаќа минимални стандарди во области како </w:t>
      </w:r>
      <w:r w:rsidR="00706F6D">
        <w:rPr>
          <w:lang w:val="mk-MK"/>
        </w:rPr>
        <w:t>трудовот</w:t>
      </w:r>
      <w:r w:rsidRPr="00F70965">
        <w:rPr>
          <w:lang w:val="mk-MK"/>
        </w:rPr>
        <w:t xml:space="preserve">о право, здравјето и безбедноста при работа, социјалниот дијалог, еднаквото постапување кон жените и мажите и антидискриминацијата, при што државите-кандидати се обврзани да го преземат ова </w:t>
      </w:r>
      <w:r w:rsidRPr="00706F6D">
        <w:rPr>
          <w:i/>
          <w:iCs/>
          <w:lang w:val="mk-MK"/>
        </w:rPr>
        <w:t>acquis</w:t>
      </w:r>
      <w:r w:rsidRPr="00F70965">
        <w:rPr>
          <w:lang w:val="mk-MK"/>
        </w:rPr>
        <w:t xml:space="preserve">, претежно изразено во форма на директиви. Централен инструмент за оваа тема е Директивата 2002/14/ЕЗ за информирање и консултирање на вработените, која ја утврдува оперативната рамка за учество на вработените во процесот на корпоративно одлучување на ниво на </w:t>
      </w:r>
      <w:r w:rsidRPr="00F70965">
        <w:rPr>
          <w:lang w:val="mk-MK"/>
        </w:rPr>
        <w:lastRenderedPageBreak/>
        <w:t>претпријатие. Без функционален и правно гарантиран систем за информирање и консултирање, секоја норма за учество во органите останува декларативна.</w:t>
      </w:r>
    </w:p>
    <w:p w14:paraId="5CC1AFC4" w14:textId="5D6E4F9A" w:rsidR="00F70965" w:rsidRDefault="00F70965" w:rsidP="00172DE5">
      <w:pPr>
        <w:pStyle w:val="BodyText"/>
        <w:spacing w:before="240"/>
        <w:ind w:firstLine="720"/>
        <w:jc w:val="both"/>
        <w:rPr>
          <w:lang w:val="mk-MK"/>
        </w:rPr>
      </w:pPr>
      <w:r w:rsidRPr="00F70965">
        <w:rPr>
          <w:lang w:val="mk-MK"/>
        </w:rPr>
        <w:t>Дополнителна тежина дава Директивата 2009/38/ЕЗ за Европски совети на работници, кои по пристапувањето ќе станат применливи за мултинационалните компании кои работат во Македонија. Состојбата со социјалниот дијалог во земјата е исто така предмет на академска загриженост</w:t>
      </w:r>
      <w:r w:rsidR="005506B2">
        <w:rPr>
          <w:lang w:val="mk-MK"/>
        </w:rPr>
        <w:t xml:space="preserve"> затоа што</w:t>
      </w:r>
      <w:r w:rsidRPr="00F70965">
        <w:rPr>
          <w:lang w:val="mk-MK"/>
        </w:rPr>
        <w:t xml:space="preserve"> не постојат официјални податоци за стапката на синдикализираност на работниците во Македонија, </w:t>
      </w:r>
      <w:r w:rsidR="005506B2">
        <w:rPr>
          <w:lang w:val="mk-MK"/>
        </w:rPr>
        <w:t>додека на пример</w:t>
      </w:r>
      <w:r w:rsidRPr="00F70965">
        <w:rPr>
          <w:lang w:val="mk-MK"/>
        </w:rPr>
        <w:t xml:space="preserve"> Федерацијата на синдикатите бр</w:t>
      </w:r>
      <w:r w:rsidR="005506B2">
        <w:rPr>
          <w:lang w:val="mk-MK"/>
        </w:rPr>
        <w:t>ои</w:t>
      </w:r>
      <w:r w:rsidRPr="00F70965">
        <w:rPr>
          <w:lang w:val="mk-MK"/>
        </w:rPr>
        <w:t xml:space="preserve"> околу 70.000 членови организирани во 19 гранкови синдикати. Во наредниот период, Македонија треба особено да преземе чекори за усогласување на националното законодавство со </w:t>
      </w:r>
      <w:r w:rsidRPr="00387434">
        <w:rPr>
          <w:i/>
          <w:iCs/>
          <w:lang w:val="mk-MK"/>
        </w:rPr>
        <w:t>acquis</w:t>
      </w:r>
      <w:r w:rsidRPr="00F70965">
        <w:rPr>
          <w:lang w:val="mk-MK"/>
        </w:rPr>
        <w:t xml:space="preserve"> и стандардите на ЕУ за еднаквост и недискриминација во вработувањето, вклучувајќи го и </w:t>
      </w:r>
      <w:r w:rsidRPr="00387434">
        <w:rPr>
          <w:i/>
          <w:iCs/>
          <w:lang w:val="mk-MK"/>
        </w:rPr>
        <w:t>acquis</w:t>
      </w:r>
      <w:r w:rsidRPr="00F70965">
        <w:rPr>
          <w:lang w:val="mk-MK"/>
        </w:rPr>
        <w:t xml:space="preserve"> за родова еднаквост во однос на Директивата за рамнотежа </w:t>
      </w:r>
      <w:r w:rsidR="00387434">
        <w:rPr>
          <w:lang w:val="mk-MK"/>
        </w:rPr>
        <w:t>помеѓу професионалниот</w:t>
      </w:r>
      <w:r w:rsidRPr="00F70965">
        <w:rPr>
          <w:lang w:val="mk-MK"/>
        </w:rPr>
        <w:t xml:space="preserve"> и приватниот живот, Директивата за транспарентност на платите и Директивата за жени во одборите.</w:t>
      </w:r>
      <w:r w:rsidR="00B1347F">
        <w:rPr>
          <w:rStyle w:val="FootnoteReference"/>
          <w:lang w:val="mk-MK"/>
        </w:rPr>
        <w:footnoteReference w:id="780"/>
      </w:r>
      <w:r w:rsidRPr="00F70965">
        <w:rPr>
          <w:lang w:val="mk-MK"/>
        </w:rPr>
        <w:t xml:space="preserve"> Упатувањето на Директивата за жени во одборите е особено теоретски </w:t>
      </w:r>
      <w:r w:rsidR="007E05F5">
        <w:rPr>
          <w:lang w:val="mk-MK"/>
        </w:rPr>
        <w:t>битно затоа што</w:t>
      </w:r>
      <w:r w:rsidRPr="00F70965">
        <w:rPr>
          <w:lang w:val="mk-MK"/>
        </w:rPr>
        <w:t xml:space="preserve"> ја покажува точката </w:t>
      </w:r>
      <w:r w:rsidR="007E05F5">
        <w:rPr>
          <w:lang w:val="mk-MK"/>
        </w:rPr>
        <w:t>на конвергенција помеѓу</w:t>
      </w:r>
      <w:r w:rsidRPr="00F70965">
        <w:rPr>
          <w:lang w:val="mk-MK"/>
        </w:rPr>
        <w:t xml:space="preserve"> Поглавје </w:t>
      </w:r>
      <w:r w:rsidR="007E05F5">
        <w:rPr>
          <w:lang w:val="mk-MK"/>
        </w:rPr>
        <w:t>6</w:t>
      </w:r>
      <w:r w:rsidRPr="00F70965">
        <w:rPr>
          <w:lang w:val="mk-MK"/>
        </w:rPr>
        <w:t xml:space="preserve"> и Поглавје </w:t>
      </w:r>
      <w:r w:rsidR="007E05F5">
        <w:rPr>
          <w:lang w:val="mk-MK"/>
        </w:rPr>
        <w:t>19</w:t>
      </w:r>
      <w:r w:rsidRPr="00F70965">
        <w:rPr>
          <w:lang w:val="mk-MK"/>
        </w:rPr>
        <w:t xml:space="preserve"> </w:t>
      </w:r>
      <w:r w:rsidR="007E05F5">
        <w:rPr>
          <w:lang w:val="mk-MK"/>
        </w:rPr>
        <w:t>во однос на</w:t>
      </w:r>
      <w:r w:rsidRPr="00F70965">
        <w:rPr>
          <w:lang w:val="mk-MK"/>
        </w:rPr>
        <w:t xml:space="preserve"> прашањето за застапеноста на вработените (и поширока застапеност) во органите на трговските друштва</w:t>
      </w:r>
      <w:r w:rsidR="00482A96">
        <w:rPr>
          <w:lang w:val="mk-MK"/>
        </w:rPr>
        <w:t xml:space="preserve"> затоа што истото</w:t>
      </w:r>
      <w:r w:rsidRPr="00F70965">
        <w:rPr>
          <w:lang w:val="mk-MK"/>
        </w:rPr>
        <w:t xml:space="preserve"> е </w:t>
      </w:r>
      <w:r w:rsidR="00482A96">
        <w:rPr>
          <w:lang w:val="mk-MK"/>
        </w:rPr>
        <w:t xml:space="preserve">и </w:t>
      </w:r>
      <w:r w:rsidRPr="00F70965">
        <w:rPr>
          <w:lang w:val="mk-MK"/>
        </w:rPr>
        <w:t>прашање на трудово</w:t>
      </w:r>
      <w:r w:rsidR="00482A96">
        <w:rPr>
          <w:lang w:val="mk-MK"/>
        </w:rPr>
        <w:t>то</w:t>
      </w:r>
      <w:r w:rsidRPr="00F70965">
        <w:rPr>
          <w:lang w:val="mk-MK"/>
        </w:rPr>
        <w:t>, антидискриминациско</w:t>
      </w:r>
      <w:r w:rsidR="00482A96">
        <w:rPr>
          <w:lang w:val="mk-MK"/>
        </w:rPr>
        <w:t>то и деловното</w:t>
      </w:r>
      <w:r w:rsidRPr="00F70965">
        <w:rPr>
          <w:lang w:val="mk-MK"/>
        </w:rPr>
        <w:t xml:space="preserve"> право.</w:t>
      </w:r>
    </w:p>
    <w:p w14:paraId="4F4B2731" w14:textId="112B59A5" w:rsidR="00455743" w:rsidRDefault="003611E6" w:rsidP="00172DE5">
      <w:pPr>
        <w:pStyle w:val="BodyText"/>
        <w:spacing w:before="240"/>
        <w:ind w:firstLine="720"/>
        <w:jc w:val="both"/>
        <w:rPr>
          <w:lang w:val="mk-MK"/>
        </w:rPr>
      </w:pPr>
      <w:r>
        <w:rPr>
          <w:lang w:val="mk-MK"/>
        </w:rPr>
        <w:t>И</w:t>
      </w:r>
      <w:r w:rsidRPr="003611E6">
        <w:rPr>
          <w:lang w:val="mk-MK"/>
        </w:rPr>
        <w:t>ако</w:t>
      </w:r>
      <w:r>
        <w:rPr>
          <w:lang w:val="mk-MK"/>
        </w:rPr>
        <w:t xml:space="preserve"> </w:t>
      </w:r>
      <w:r w:rsidRPr="003611E6">
        <w:rPr>
          <w:lang w:val="mk-MK"/>
        </w:rPr>
        <w:t>Поглавје</w:t>
      </w:r>
      <w:r>
        <w:rPr>
          <w:lang w:val="mk-MK"/>
        </w:rPr>
        <w:t>то</w:t>
      </w:r>
      <w:r w:rsidRPr="003611E6">
        <w:rPr>
          <w:lang w:val="mk-MK"/>
        </w:rPr>
        <w:t xml:space="preserve"> 26</w:t>
      </w:r>
      <w:r>
        <w:rPr>
          <w:lang w:val="mk-MK"/>
        </w:rPr>
        <w:t>, кое се однесува на п</w:t>
      </w:r>
      <w:r w:rsidRPr="003611E6">
        <w:rPr>
          <w:lang w:val="mk-MK"/>
        </w:rPr>
        <w:t>равосудство</w:t>
      </w:r>
      <w:r>
        <w:rPr>
          <w:lang w:val="mk-MK"/>
        </w:rPr>
        <w:t>то</w:t>
      </w:r>
      <w:r w:rsidRPr="003611E6">
        <w:rPr>
          <w:lang w:val="mk-MK"/>
        </w:rPr>
        <w:t xml:space="preserve"> и темелни</w:t>
      </w:r>
      <w:r>
        <w:rPr>
          <w:lang w:val="mk-MK"/>
        </w:rPr>
        <w:t>те</w:t>
      </w:r>
      <w:r w:rsidRPr="003611E6">
        <w:rPr>
          <w:lang w:val="mk-MK"/>
        </w:rPr>
        <w:t xml:space="preserve"> права</w:t>
      </w:r>
      <w:r>
        <w:rPr>
          <w:lang w:val="mk-MK"/>
        </w:rPr>
        <w:t>,</w:t>
      </w:r>
      <w:r w:rsidRPr="003611E6">
        <w:rPr>
          <w:lang w:val="mk-MK"/>
        </w:rPr>
        <w:t xml:space="preserve">  формално </w:t>
      </w:r>
      <w:r>
        <w:rPr>
          <w:lang w:val="mk-MK"/>
        </w:rPr>
        <w:t xml:space="preserve">е </w:t>
      </w:r>
      <w:r w:rsidRPr="003611E6">
        <w:rPr>
          <w:lang w:val="mk-MK"/>
        </w:rPr>
        <w:t>дел од Кластер 1 (Фундамент</w:t>
      </w:r>
      <w:r w:rsidR="000F4BC2">
        <w:rPr>
          <w:lang w:val="mk-MK"/>
        </w:rPr>
        <w:t>и</w:t>
      </w:r>
      <w:r w:rsidRPr="003611E6">
        <w:rPr>
          <w:lang w:val="mk-MK"/>
        </w:rPr>
        <w:t xml:space="preserve">) и примарно насочено кон независноста на судството и заштитата на основните права, </w:t>
      </w:r>
      <w:r w:rsidR="000F4BC2">
        <w:rPr>
          <w:lang w:val="mk-MK"/>
        </w:rPr>
        <w:t xml:space="preserve">истото </w:t>
      </w:r>
      <w:r w:rsidRPr="003611E6">
        <w:rPr>
          <w:lang w:val="mk-MK"/>
        </w:rPr>
        <w:t>врши функција на системск</w:t>
      </w:r>
      <w:r w:rsidR="000F4BC2">
        <w:rPr>
          <w:lang w:val="mk-MK"/>
        </w:rPr>
        <w:t>а</w:t>
      </w:r>
      <w:r w:rsidRPr="003611E6">
        <w:rPr>
          <w:lang w:val="mk-MK"/>
        </w:rPr>
        <w:t xml:space="preserve"> гаран</w:t>
      </w:r>
      <w:r w:rsidR="000F4BC2">
        <w:rPr>
          <w:lang w:val="mk-MK"/>
        </w:rPr>
        <w:t>ција</w:t>
      </w:r>
      <w:r w:rsidRPr="003611E6">
        <w:rPr>
          <w:lang w:val="mk-MK"/>
        </w:rPr>
        <w:t xml:space="preserve"> за сите останати поглавја. Судскиот систем на Македонија се наоѓа помеѓу делумна и умерена подготвеност и</w:t>
      </w:r>
      <w:r w:rsidR="000F4BC2">
        <w:rPr>
          <w:lang w:val="mk-MK"/>
        </w:rPr>
        <w:t xml:space="preserve"> има</w:t>
      </w:r>
      <w:r w:rsidRPr="003611E6">
        <w:rPr>
          <w:lang w:val="mk-MK"/>
        </w:rPr>
        <w:t xml:space="preserve"> постигна</w:t>
      </w:r>
      <w:r w:rsidR="000F4BC2">
        <w:rPr>
          <w:lang w:val="mk-MK"/>
        </w:rPr>
        <w:t>то</w:t>
      </w:r>
      <w:r w:rsidRPr="003611E6">
        <w:rPr>
          <w:lang w:val="mk-MK"/>
        </w:rPr>
        <w:t xml:space="preserve"> ограничен напредок,</w:t>
      </w:r>
      <w:r w:rsidR="00ED38CD">
        <w:rPr>
          <w:lang w:val="mk-MK"/>
        </w:rPr>
        <w:t xml:space="preserve"> со голем простор за дополнителна работа. </w:t>
      </w:r>
      <w:r w:rsidRPr="003611E6">
        <w:rPr>
          <w:lang w:val="mk-MK"/>
        </w:rPr>
        <w:t>Академскиот аргумент овде е директен и нераскинлив: учеството на вработените во органите на трговски друштва и во акциски шеми подразбира постоење функционална правна заштита</w:t>
      </w:r>
      <w:r w:rsidR="00ED38CD">
        <w:rPr>
          <w:lang w:val="mk-MK"/>
        </w:rPr>
        <w:t>,</w:t>
      </w:r>
      <w:r w:rsidRPr="003611E6">
        <w:rPr>
          <w:lang w:val="mk-MK"/>
        </w:rPr>
        <w:t xml:space="preserve"> и за поединечни работници и за нивните претставници</w:t>
      </w:r>
      <w:r w:rsidR="00ED38CD">
        <w:rPr>
          <w:lang w:val="mk-MK"/>
        </w:rPr>
        <w:t>,</w:t>
      </w:r>
      <w:r w:rsidRPr="003611E6">
        <w:rPr>
          <w:lang w:val="mk-MK"/>
        </w:rPr>
        <w:t xml:space="preserve"> во случај на повреда на правата. Доколку вработениот-член на надзорниот одбор биде отстранет без законска основа, или доколку ESOP договорот биде едностранo прекинат, правниот систем мора да обезбеди ефикасен, пристапен и непристрасен судски лек.</w:t>
      </w:r>
      <w:r w:rsidR="00455743">
        <w:rPr>
          <w:rStyle w:val="FootnoteReference"/>
          <w:lang w:val="mk-MK"/>
        </w:rPr>
        <w:footnoteReference w:id="781"/>
      </w:r>
      <w:r w:rsidRPr="003611E6">
        <w:rPr>
          <w:lang w:val="mk-MK"/>
        </w:rPr>
        <w:t xml:space="preserve"> </w:t>
      </w:r>
    </w:p>
    <w:p w14:paraId="0E17D9DC" w14:textId="2B005376" w:rsidR="00482A96" w:rsidRPr="00F70965" w:rsidRDefault="003611E6" w:rsidP="00C96EE7">
      <w:pPr>
        <w:pStyle w:val="BodyText"/>
        <w:spacing w:before="240"/>
        <w:ind w:firstLine="720"/>
        <w:jc w:val="both"/>
        <w:rPr>
          <w:lang w:val="mk-MK"/>
        </w:rPr>
      </w:pPr>
      <w:r w:rsidRPr="003611E6">
        <w:rPr>
          <w:lang w:val="mk-MK"/>
        </w:rPr>
        <w:t xml:space="preserve">Правната рамка за заштита на основните права е делумно усогласена со </w:t>
      </w:r>
      <w:r w:rsidRPr="00AA4820">
        <w:rPr>
          <w:i/>
          <w:iCs/>
          <w:lang w:val="mk-MK"/>
        </w:rPr>
        <w:t>acquis</w:t>
      </w:r>
      <w:r w:rsidRPr="003611E6">
        <w:rPr>
          <w:lang w:val="mk-MK"/>
        </w:rPr>
        <w:t xml:space="preserve"> на ЕУ и европските стандарди, а земјата продолжува да ги исполнува своите општи обврски во областа на основните права, но законодавството треба да се применува на систематски начин. Во академска смисла, Поглавје 26 </w:t>
      </w:r>
      <w:r w:rsidR="00AA4820">
        <w:rPr>
          <w:lang w:val="mk-MK"/>
        </w:rPr>
        <w:t>е</w:t>
      </w:r>
      <w:r w:rsidRPr="003611E6">
        <w:rPr>
          <w:lang w:val="mk-MK"/>
        </w:rPr>
        <w:t xml:space="preserve"> политичка условеност </w:t>
      </w:r>
      <w:r w:rsidR="00AA4820">
        <w:rPr>
          <w:lang w:val="mk-MK"/>
        </w:rPr>
        <w:t>и</w:t>
      </w:r>
      <w:r w:rsidRPr="003611E6">
        <w:rPr>
          <w:lang w:val="mk-MK"/>
        </w:rPr>
        <w:t xml:space="preserve"> правна претпоставка за функционирање на целокупната корпоративна правна архитектура. Без независно судство кое може да ги применува нормите на </w:t>
      </w:r>
      <w:r w:rsidR="00AA4820">
        <w:rPr>
          <w:lang w:val="mk-MK"/>
        </w:rPr>
        <w:t>деловното</w:t>
      </w:r>
      <w:r w:rsidRPr="003611E6">
        <w:rPr>
          <w:lang w:val="mk-MK"/>
        </w:rPr>
        <w:t xml:space="preserve"> и трудовото право непристрасно и ефикасно, ниедна законодавна реформа во Поглавјата 3, 6 или 19 не може да произведе</w:t>
      </w:r>
      <w:r w:rsidR="00DA5A19">
        <w:rPr>
          <w:lang w:val="mk-MK"/>
        </w:rPr>
        <w:t xml:space="preserve"> целосни</w:t>
      </w:r>
      <w:r w:rsidRPr="003611E6">
        <w:rPr>
          <w:lang w:val="mk-MK"/>
        </w:rPr>
        <w:t xml:space="preserve"> правни ефекти. Токму во оваа точка теоријата на правото на ЕУ и практиката на пристапните преговори се сретнуваат</w:t>
      </w:r>
      <w:r w:rsidR="00C96EE7">
        <w:rPr>
          <w:lang w:val="mk-MK"/>
        </w:rPr>
        <w:t xml:space="preserve"> потенцирајќи  дека </w:t>
      </w:r>
      <w:r w:rsidRPr="003611E6">
        <w:rPr>
          <w:lang w:val="mk-MK"/>
        </w:rPr>
        <w:t>правата на вработените во корпоративното управување не се само работнички права</w:t>
      </w:r>
      <w:r w:rsidR="00C96EE7">
        <w:rPr>
          <w:lang w:val="mk-MK"/>
        </w:rPr>
        <w:t>,</w:t>
      </w:r>
      <w:r w:rsidRPr="003611E6">
        <w:rPr>
          <w:lang w:val="mk-MK"/>
        </w:rPr>
        <w:t xml:space="preserve"> тие се и граѓански права гарантирани со Повелбата за основни права на ЕУ, и нивното спроведување е прашање на владеење на правото, а не само на корпоративна практика.</w:t>
      </w:r>
    </w:p>
    <w:p w14:paraId="10EEE4DD" w14:textId="192F5511" w:rsidR="00323229" w:rsidRPr="00A702A9" w:rsidRDefault="00323229" w:rsidP="00323229">
      <w:pPr>
        <w:pStyle w:val="Heading2"/>
        <w:numPr>
          <w:ilvl w:val="1"/>
          <w:numId w:val="14"/>
        </w:numPr>
        <w:rPr>
          <w:rFonts w:ascii="Times New Roman" w:hAnsi="Times New Roman" w:cs="Times New Roman"/>
          <w:b w:val="0"/>
          <w:bCs w:val="0"/>
          <w:sz w:val="24"/>
          <w:szCs w:val="24"/>
        </w:rPr>
      </w:pPr>
      <w:r>
        <w:rPr>
          <w:lang w:val="mk-MK"/>
        </w:rPr>
        <w:lastRenderedPageBreak/>
        <w:t xml:space="preserve"> </w:t>
      </w:r>
      <w:bookmarkStart w:id="90" w:name="_Toc230523943"/>
      <w:r w:rsidR="00806EC3" w:rsidRPr="00806EC3">
        <w:rPr>
          <w:rFonts w:ascii="Times New Roman" w:hAnsi="Times New Roman" w:cs="Times New Roman"/>
          <w:b w:val="0"/>
          <w:bCs w:val="0"/>
          <w:color w:val="000000" w:themeColor="text1"/>
          <w:sz w:val="24"/>
          <w:szCs w:val="24"/>
          <w:lang w:val="mk-MK"/>
        </w:rPr>
        <w:t>Притисокот на условувањето и темпото на транспонирање</w:t>
      </w:r>
      <w:bookmarkEnd w:id="90"/>
    </w:p>
    <w:p w14:paraId="379824F7" w14:textId="44E8CBA2" w:rsidR="00C87312" w:rsidRDefault="00C87312" w:rsidP="00323229">
      <w:pPr>
        <w:pStyle w:val="BodyText"/>
        <w:spacing w:before="240"/>
        <w:ind w:firstLine="720"/>
        <w:jc w:val="both"/>
        <w:rPr>
          <w:lang w:val="mk-MK"/>
        </w:rPr>
      </w:pPr>
      <w:r w:rsidRPr="00C87312">
        <w:rPr>
          <w:lang w:val="mk-MK"/>
        </w:rPr>
        <w:t>Концептот на условувањето (conditionality) претставува централен механизам преку кој Европската унија ја извршува своjата трансформативна функциjа во однос на државите-кандидати. Во академската литература, условувањето е дефинирано како стратегиjа на поврзување на надворешните стимули</w:t>
      </w:r>
      <w:r w:rsidR="00BA55BC">
        <w:rPr>
          <w:lang w:val="mk-MK"/>
        </w:rPr>
        <w:t>,</w:t>
      </w:r>
      <w:r w:rsidRPr="00C87312">
        <w:rPr>
          <w:lang w:val="mk-MK"/>
        </w:rPr>
        <w:t xml:space="preserve"> пред сè перспективата за членство</w:t>
      </w:r>
      <w:r w:rsidR="00BA55BC">
        <w:rPr>
          <w:lang w:val="mk-MK"/>
        </w:rPr>
        <w:t>,</w:t>
      </w:r>
      <w:r w:rsidRPr="00C87312">
        <w:rPr>
          <w:lang w:val="mk-MK"/>
        </w:rPr>
        <w:t xml:space="preserve"> со исполнување на одредени нормативни, институционални и законодавни услови.</w:t>
      </w:r>
      <w:r w:rsidR="00BA55BC">
        <w:rPr>
          <w:rStyle w:val="FootnoteReference"/>
          <w:lang w:val="mk-MK"/>
        </w:rPr>
        <w:footnoteReference w:id="782"/>
      </w:r>
      <w:r w:rsidRPr="00C87312">
        <w:rPr>
          <w:lang w:val="mk-MK"/>
        </w:rPr>
        <w:t xml:space="preserve"> Кога критериумите за членство се јасни, кога истите критериуми се применуваат за сите апликанти, кога тие строго и праведно се следат, кога наодите транспарентно се соопштуваат и кога нема сомнение дека наградата ќе дојде штом условите ќе бидат исполнети</w:t>
      </w:r>
      <w:r w:rsidR="00BA55BC">
        <w:rPr>
          <w:lang w:val="mk-MK"/>
        </w:rPr>
        <w:t>,</w:t>
      </w:r>
      <w:r w:rsidRPr="00C87312">
        <w:rPr>
          <w:lang w:val="mk-MK"/>
        </w:rPr>
        <w:t xml:space="preserve"> условувањето на ЕУ функционира добро. Меѓутоа, случајот на Македонија </w:t>
      </w:r>
      <w:r w:rsidR="00BD1089">
        <w:rPr>
          <w:lang w:val="mk-MK"/>
        </w:rPr>
        <w:t xml:space="preserve">и однесувањето на граѓаните и институциите во последниот период </w:t>
      </w:r>
      <w:r w:rsidRPr="00C87312">
        <w:rPr>
          <w:lang w:val="mk-MK"/>
        </w:rPr>
        <w:t xml:space="preserve">демонстрира дека оваа теоретска претпоставка ретко се остварува во чиста форма, бидејќи механизмот на условување е изложен на билатерални притисоци, политички блокади и структурни нееднаквости кои директно го одредуваат темпото на транспонирање на </w:t>
      </w:r>
      <w:r w:rsidRPr="0081555A">
        <w:rPr>
          <w:i/>
          <w:iCs/>
          <w:lang w:val="mk-MK"/>
        </w:rPr>
        <w:t>acquis</w:t>
      </w:r>
      <w:r w:rsidRPr="00C87312">
        <w:rPr>
          <w:lang w:val="mk-MK"/>
        </w:rPr>
        <w:t>.</w:t>
      </w:r>
    </w:p>
    <w:p w14:paraId="6DDCDB6B" w14:textId="5BFDEDC9" w:rsidR="00323229" w:rsidRDefault="009B05FC" w:rsidP="00323229">
      <w:pPr>
        <w:pStyle w:val="BodyText"/>
        <w:spacing w:before="240"/>
        <w:ind w:firstLine="720"/>
        <w:jc w:val="both"/>
        <w:rPr>
          <w:lang w:val="mk-MK"/>
        </w:rPr>
      </w:pPr>
      <w:r w:rsidRPr="009B05FC">
        <w:rPr>
          <w:lang w:val="mk-MK"/>
        </w:rPr>
        <w:t xml:space="preserve">Гледано од </w:t>
      </w:r>
      <w:r>
        <w:rPr>
          <w:lang w:val="mk-MK"/>
        </w:rPr>
        <w:t>европска</w:t>
      </w:r>
      <w:r w:rsidRPr="009B05FC">
        <w:rPr>
          <w:lang w:val="mk-MK"/>
        </w:rPr>
        <w:t xml:space="preserve"> перспектива, македонското искуство ја рефлектира двојната природа на </w:t>
      </w:r>
      <w:r>
        <w:rPr>
          <w:lang w:val="mk-MK"/>
        </w:rPr>
        <w:t xml:space="preserve">предложениот </w:t>
      </w:r>
      <w:r w:rsidRPr="009B05FC">
        <w:rPr>
          <w:lang w:val="mk-MK"/>
        </w:rPr>
        <w:t>институционал</w:t>
      </w:r>
      <w:r>
        <w:rPr>
          <w:lang w:val="mk-MK"/>
        </w:rPr>
        <w:t>ен</w:t>
      </w:r>
      <w:r w:rsidRPr="009B05FC">
        <w:rPr>
          <w:lang w:val="mk-MK"/>
        </w:rPr>
        <w:t xml:space="preserve"> дизајн</w:t>
      </w:r>
      <w:r w:rsidR="00932BA0">
        <w:rPr>
          <w:lang w:val="en-US"/>
        </w:rPr>
        <w:t>,</w:t>
      </w:r>
      <w:r w:rsidRPr="009B05FC">
        <w:rPr>
          <w:lang w:val="mk-MK"/>
        </w:rPr>
        <w:t xml:space="preserve"> тој истовремено ограничува и конституира </w:t>
      </w:r>
      <w:r w:rsidR="00765DFE">
        <w:rPr>
          <w:lang w:val="mk-MK"/>
        </w:rPr>
        <w:t>правна модификација</w:t>
      </w:r>
      <w:r w:rsidRPr="009B05FC">
        <w:rPr>
          <w:lang w:val="mk-MK"/>
        </w:rPr>
        <w:t xml:space="preserve">. Опстанокот на субоптимални аранжмани на управување </w:t>
      </w:r>
      <w:r w:rsidR="00765DFE">
        <w:rPr>
          <w:lang w:val="mk-MK"/>
        </w:rPr>
        <w:t>е</w:t>
      </w:r>
      <w:r w:rsidRPr="009B05FC">
        <w:rPr>
          <w:lang w:val="mk-MK"/>
        </w:rPr>
        <w:t xml:space="preserve"> прашање на недостаток на волја, </w:t>
      </w:r>
      <w:r w:rsidR="00765DFE">
        <w:rPr>
          <w:lang w:val="mk-MK"/>
        </w:rPr>
        <w:t>но и</w:t>
      </w:r>
      <w:r w:rsidRPr="009B05FC">
        <w:rPr>
          <w:lang w:val="mk-MK"/>
        </w:rPr>
        <w:t xml:space="preserve"> предвидлив исход на повратни ефекти, вето-структури и инкрементално прилагодување. Сепак, моментите на промена остануваат можни кога актерите ги реинтерпретираат ограничувањата како можности и преминуваат од преговарање за фиксни интереси кон делиберација за заеднички иднини.</w:t>
      </w:r>
    </w:p>
    <w:p w14:paraId="363CD22B" w14:textId="15BCAF23" w:rsidR="000A62C7" w:rsidRDefault="000A62C7" w:rsidP="00323229">
      <w:pPr>
        <w:pStyle w:val="BodyText"/>
        <w:spacing w:before="240"/>
        <w:ind w:firstLine="720"/>
        <w:jc w:val="both"/>
        <w:rPr>
          <w:lang w:val="mk-MK"/>
        </w:rPr>
      </w:pPr>
      <w:r>
        <w:rPr>
          <w:lang w:val="mk-MK"/>
        </w:rPr>
        <w:t xml:space="preserve">Упростено, </w:t>
      </w:r>
      <w:r w:rsidRPr="000A62C7">
        <w:rPr>
          <w:lang w:val="mk-MK"/>
        </w:rPr>
        <w:t>пресекот на инкрементализмот, повратната спрега и логиката на вето објаснува зошто реформата на корпоративното управување во Македонија се одвива нерамномерно и зошто статус-квото е исклучително отпорно. Институциите не се статични контејнери на однесување, туку живи конфигурации на моќ, меморија и очекување. Разбирањето на нивната трансформација бара следење на тоа како малите, преговарани чекори се акумулираат, како политиките ги преобликуваат сопствените конституенти и како формалните и неформалните вета повремено се надминуваат преку колективна реимагинација. Политиката на реформата на корпоративното управување ја отсликува пошироката дилема на институционална промена во постсоцијалистичките демократии</w:t>
      </w:r>
      <w:r w:rsidR="002E3F0E">
        <w:rPr>
          <w:lang w:val="mk-MK"/>
        </w:rPr>
        <w:t xml:space="preserve"> и претставува</w:t>
      </w:r>
      <w:r w:rsidRPr="000A62C7">
        <w:rPr>
          <w:lang w:val="mk-MK"/>
        </w:rPr>
        <w:t xml:space="preserve"> навигација </w:t>
      </w:r>
      <w:r w:rsidR="002E3F0E">
        <w:rPr>
          <w:lang w:val="mk-MK"/>
        </w:rPr>
        <w:t>по</w:t>
      </w:r>
      <w:r w:rsidRPr="000A62C7">
        <w:rPr>
          <w:lang w:val="mk-MK"/>
        </w:rPr>
        <w:t>меѓу ограничувањето и можноста во густа архитектура на меѓузависност.</w:t>
      </w:r>
    </w:p>
    <w:p w14:paraId="69B3582C" w14:textId="77777777" w:rsidR="00FC54A6" w:rsidRDefault="00C73E47" w:rsidP="00323229">
      <w:pPr>
        <w:pStyle w:val="BodyText"/>
        <w:spacing w:before="240"/>
        <w:ind w:firstLine="720"/>
        <w:jc w:val="both"/>
        <w:rPr>
          <w:lang w:val="mk-MK"/>
        </w:rPr>
      </w:pPr>
      <w:r w:rsidRPr="00C73E47">
        <w:rPr>
          <w:lang w:val="mk-MK"/>
        </w:rPr>
        <w:t>Во таков контекст, каде што корпорациите и државните претпријатија во Македонија често функционираат како затворени тврдини, непрозрачни структури што повеќе отуѓуваат отколку што инспирираат, иселувањето на работната сила станува повеќе од статистички податок. Тоа е тивка загуба што се повторува секојдневно. Способни и квалификувани луѓе заминуваат не затоа што сакаат, туку затоа што повеќе не препознаваат достоинство и смисла во останувањето. Прашањето затоа е итно</w:t>
      </w:r>
      <w:r w:rsidR="0058703D">
        <w:rPr>
          <w:lang w:val="en-US"/>
        </w:rPr>
        <w:t xml:space="preserve"> </w:t>
      </w:r>
      <w:r w:rsidR="0058703D">
        <w:rPr>
          <w:lang w:val="mk-MK"/>
        </w:rPr>
        <w:t>и се наметнува</w:t>
      </w:r>
      <w:r w:rsidRPr="00C73E47">
        <w:rPr>
          <w:lang w:val="mk-MK"/>
        </w:rPr>
        <w:t xml:space="preserve"> што треба да се направи</w:t>
      </w:r>
      <w:r w:rsidR="0058703D">
        <w:rPr>
          <w:lang w:val="mk-MK"/>
        </w:rPr>
        <w:t xml:space="preserve"> и дали треба нешто да се смени во начинот на управување</w:t>
      </w:r>
      <w:r w:rsidRPr="00C73E47">
        <w:rPr>
          <w:lang w:val="mk-MK"/>
        </w:rPr>
        <w:t xml:space="preserve">? Како да се обнови чувството на припадност на работното место, така што вработените </w:t>
      </w:r>
      <w:r w:rsidR="00AB4F5D">
        <w:rPr>
          <w:lang w:val="mk-MK"/>
        </w:rPr>
        <w:t>нема да</w:t>
      </w:r>
      <w:r w:rsidRPr="00C73E47">
        <w:rPr>
          <w:lang w:val="mk-MK"/>
        </w:rPr>
        <w:t xml:space="preserve"> се третираат како заменливи делови, туку како субјекти чии одлуки го обликуваат животот на </w:t>
      </w:r>
      <w:r w:rsidR="00AB4F5D">
        <w:rPr>
          <w:lang w:val="mk-MK"/>
        </w:rPr>
        <w:t>трговското друштво</w:t>
      </w:r>
      <w:r w:rsidRPr="00C73E47">
        <w:rPr>
          <w:lang w:val="mk-MK"/>
        </w:rPr>
        <w:t xml:space="preserve">? Како да се усогласи човечкото достоинство со корпоративната амбиција, така што мотивацијата и профитот да не бидат во тензија, туку во дијалог? </w:t>
      </w:r>
    </w:p>
    <w:p w14:paraId="33ADC922" w14:textId="3AD07207" w:rsidR="00E74EB4" w:rsidRDefault="00C73E47" w:rsidP="00323229">
      <w:pPr>
        <w:pStyle w:val="BodyText"/>
        <w:spacing w:before="240"/>
        <w:ind w:firstLine="720"/>
        <w:jc w:val="both"/>
        <w:rPr>
          <w:lang w:val="mk-MK"/>
        </w:rPr>
      </w:pPr>
      <w:r w:rsidRPr="00C73E47">
        <w:rPr>
          <w:lang w:val="mk-MK"/>
        </w:rPr>
        <w:lastRenderedPageBreak/>
        <w:t xml:space="preserve">Во својата суштина, ова истражување </w:t>
      </w:r>
      <w:r w:rsidR="00AB4F5D">
        <w:rPr>
          <w:lang w:val="mk-MK"/>
        </w:rPr>
        <w:t>таргетираше различни аспекти на</w:t>
      </w:r>
      <w:r w:rsidRPr="00C73E47">
        <w:rPr>
          <w:lang w:val="mk-MK"/>
        </w:rPr>
        <w:t xml:space="preserve"> темелите на корпоративното управување и трудовата политика</w:t>
      </w:r>
      <w:r w:rsidR="00AB4F5D">
        <w:rPr>
          <w:lang w:val="mk-MK"/>
        </w:rPr>
        <w:t xml:space="preserve"> како</w:t>
      </w:r>
      <w:r w:rsidRPr="00C73E47">
        <w:rPr>
          <w:lang w:val="mk-MK"/>
        </w:rPr>
        <w:t xml:space="preserve"> распределбата на одлучувачката моќ во рамките на претпријатијата и улогата на јавните институции во овозможување или ограничување на учеството на вработените. За да се одговори на овие прашања, неопходно е да се анализира начинот на кој се креира јавната политика и како институциите се менуваат, доколку воопшто се менуваат. Без преиспитување на политиката на реформата, структурите што ја одржуваат апатијата ќе останат недопрени, а највредниот ресурс на државата, нејзините луѓе, ќе продолжи да се оддалечува.</w:t>
      </w:r>
    </w:p>
    <w:p w14:paraId="65B00872" w14:textId="77777777" w:rsidR="00FC54A6" w:rsidRDefault="00ED5ECE" w:rsidP="00323229">
      <w:pPr>
        <w:pStyle w:val="BodyText"/>
        <w:spacing w:before="240"/>
        <w:ind w:firstLine="720"/>
        <w:jc w:val="both"/>
        <w:rPr>
          <w:lang w:val="mk-MK"/>
        </w:rPr>
      </w:pPr>
      <w:r w:rsidRPr="00ED5ECE">
        <w:rPr>
          <w:lang w:val="mk-MK"/>
        </w:rPr>
        <w:t xml:space="preserve">Темпото на транспонирање во Македонија не може да се анализира изолирано од политичко-правниот контекст во кој се </w:t>
      </w:r>
      <w:r>
        <w:rPr>
          <w:lang w:val="mk-MK"/>
        </w:rPr>
        <w:t>одвива.</w:t>
      </w:r>
      <w:r w:rsidRPr="00ED5ECE">
        <w:rPr>
          <w:lang w:val="mk-MK"/>
        </w:rPr>
        <w:t xml:space="preserve"> Новата влада формирана по изборите во мај 2024 година, го продолжи процесот на пристапување, но со побавно темпо на реформск</w:t>
      </w:r>
      <w:r w:rsidR="00407400">
        <w:rPr>
          <w:lang w:val="mk-MK"/>
        </w:rPr>
        <w:t>ата агенда</w:t>
      </w:r>
      <w:r w:rsidRPr="00ED5ECE">
        <w:rPr>
          <w:lang w:val="mk-MK"/>
        </w:rPr>
        <w:t xml:space="preserve"> во споредба со претходните влади.</w:t>
      </w:r>
      <w:r w:rsidR="00407400">
        <w:rPr>
          <w:rStyle w:val="FootnoteReference"/>
          <w:lang w:val="mk-MK"/>
        </w:rPr>
        <w:footnoteReference w:id="783"/>
      </w:r>
      <w:r w:rsidRPr="00ED5ECE">
        <w:rPr>
          <w:lang w:val="mk-MK"/>
        </w:rPr>
        <w:t xml:space="preserve"> Оваа констатација на Европскиот парламент е академски значајна затоа што ја разоткрива структурната тензија помеѓу формалните обврски на државата кон процесот на пристапување и практичната политичка волја за спроведување на реформи. </w:t>
      </w:r>
    </w:p>
    <w:p w14:paraId="30C91D27" w14:textId="204A83D3" w:rsidR="00ED5ECE" w:rsidRDefault="00ED5ECE" w:rsidP="00323229">
      <w:pPr>
        <w:pStyle w:val="BodyText"/>
        <w:spacing w:before="240"/>
        <w:ind w:firstLine="720"/>
        <w:jc w:val="both"/>
        <w:rPr>
          <w:lang w:val="mk-MK"/>
        </w:rPr>
      </w:pPr>
      <w:r w:rsidRPr="00ED5ECE">
        <w:rPr>
          <w:lang w:val="mk-MK"/>
        </w:rPr>
        <w:t>Во академската литература за евро</w:t>
      </w:r>
      <w:r w:rsidR="00F93377">
        <w:rPr>
          <w:lang w:val="mk-MK"/>
        </w:rPr>
        <w:t>пе</w:t>
      </w:r>
      <w:r w:rsidRPr="00ED5ECE">
        <w:rPr>
          <w:lang w:val="mk-MK"/>
        </w:rPr>
        <w:t>изација, ова се нарекува расчекор помеѓу формалната и суштинската усогласеност</w:t>
      </w:r>
      <w:r w:rsidR="00F93377">
        <w:rPr>
          <w:lang w:val="mk-MK"/>
        </w:rPr>
        <w:t>,</w:t>
      </w:r>
      <w:r w:rsidRPr="00ED5ECE">
        <w:rPr>
          <w:lang w:val="mk-MK"/>
        </w:rPr>
        <w:t xml:space="preserve"> феномен широко документиран во Западен Балкан, каде усвојувањето на законот не води автоматски до негова практична примена. </w:t>
      </w:r>
      <w:r w:rsidR="00EB228E">
        <w:rPr>
          <w:lang w:val="mk-MK"/>
        </w:rPr>
        <w:t>Општо е прифатено дека у</w:t>
      </w:r>
      <w:r w:rsidRPr="00ED5ECE">
        <w:rPr>
          <w:lang w:val="mk-MK"/>
        </w:rPr>
        <w:t>словувањето пред пристапувањето одиграло позитивна улога во демократизацијата на земјите на Централна и Источна Европа во доцните 1990-ти и раните 2000-ти,</w:t>
      </w:r>
      <w:r w:rsidR="00575941">
        <w:rPr>
          <w:rStyle w:val="FootnoteReference"/>
          <w:lang w:val="mk-MK"/>
        </w:rPr>
        <w:footnoteReference w:id="784"/>
      </w:r>
      <w:r w:rsidRPr="00ED5ECE">
        <w:rPr>
          <w:lang w:val="mk-MK"/>
        </w:rPr>
        <w:t xml:space="preserve"> но неуспехот на ЕУ да </w:t>
      </w:r>
      <w:r w:rsidR="00C855DE">
        <w:rPr>
          <w:lang w:val="mk-MK"/>
        </w:rPr>
        <w:t>из</w:t>
      </w:r>
      <w:r w:rsidRPr="00ED5ECE">
        <w:rPr>
          <w:lang w:val="mk-MK"/>
        </w:rPr>
        <w:t xml:space="preserve">врши слично позитивно влијание врз земjите на Западен Балкан, кои се земји-кандидати повеќе од </w:t>
      </w:r>
      <w:r w:rsidR="00C855DE">
        <w:rPr>
          <w:lang w:val="mk-MK"/>
        </w:rPr>
        <w:t>две</w:t>
      </w:r>
      <w:r w:rsidRPr="00ED5ECE">
        <w:rPr>
          <w:lang w:val="mk-MK"/>
        </w:rPr>
        <w:t xml:space="preserve"> децени</w:t>
      </w:r>
      <w:r w:rsidR="00C855DE">
        <w:rPr>
          <w:lang w:val="mk-MK"/>
        </w:rPr>
        <w:t>и</w:t>
      </w:r>
      <w:r w:rsidRPr="00ED5ECE">
        <w:rPr>
          <w:lang w:val="mk-MK"/>
        </w:rPr>
        <w:t>, останува збунувачки.</w:t>
      </w:r>
    </w:p>
    <w:p w14:paraId="6AB12A57" w14:textId="2F020CFA" w:rsidR="004A323D" w:rsidRDefault="00B94636" w:rsidP="00323229">
      <w:pPr>
        <w:pStyle w:val="BodyText"/>
        <w:spacing w:before="240"/>
        <w:ind w:firstLine="720"/>
        <w:jc w:val="both"/>
        <w:rPr>
          <w:lang w:val="mk-MK"/>
        </w:rPr>
      </w:pPr>
      <w:r w:rsidRPr="00B94636">
        <w:rPr>
          <w:lang w:val="mk-MK"/>
        </w:rPr>
        <w:t>Посебна аналитичка тежина добива прашањето на билатералното условување, кое во случајот на Македонија достигна квалитативно нова димензија. Втор</w:t>
      </w:r>
      <w:r w:rsidR="00AB2F4D">
        <w:rPr>
          <w:lang w:val="mk-MK"/>
        </w:rPr>
        <w:t>иот</w:t>
      </w:r>
      <w:r w:rsidRPr="00B94636">
        <w:rPr>
          <w:lang w:val="mk-MK"/>
        </w:rPr>
        <w:t xml:space="preserve"> протокол претставува официjална евиденција на македонско-бугарската Меѓувладина комисиjа и е имплементирачки инструмент на Договорот од 2017 година, но неговата содржина ги одразува подлабоките структурни асиметрии</w:t>
      </w:r>
      <w:r w:rsidR="00AB2F4D">
        <w:rPr>
          <w:lang w:val="mk-MK"/>
        </w:rPr>
        <w:t xml:space="preserve"> што посочуваат дека</w:t>
      </w:r>
      <w:r w:rsidRPr="00B94636">
        <w:rPr>
          <w:lang w:val="mk-MK"/>
        </w:rPr>
        <w:t xml:space="preserve"> Бугарија може да ги поврзе своите преференции со правото на вето при пристапувањето кон ЕУ. Со тоа, условувањето повеќе не функционира исклучиво по вертикалата ЕУ-кандидат, туку добива хоризонтална димензија преку која постојна земја-членка го инструментализира процесот на пристапување во функција на билатерални историски и</w:t>
      </w:r>
      <w:r w:rsidR="004A323D">
        <w:rPr>
          <w:lang w:val="mk-MK"/>
        </w:rPr>
        <w:t xml:space="preserve"> потенцијално</w:t>
      </w:r>
      <w:r w:rsidRPr="00B94636">
        <w:rPr>
          <w:lang w:val="mk-MK"/>
        </w:rPr>
        <w:t xml:space="preserve"> идентитетски барања. </w:t>
      </w:r>
    </w:p>
    <w:p w14:paraId="1D1DBA95" w14:textId="77777777" w:rsidR="000960A5" w:rsidRDefault="00B94636" w:rsidP="00323229">
      <w:pPr>
        <w:pStyle w:val="BodyText"/>
        <w:spacing w:before="240"/>
        <w:ind w:firstLine="720"/>
        <w:jc w:val="both"/>
        <w:rPr>
          <w:lang w:val="mk-MK"/>
        </w:rPr>
      </w:pPr>
      <w:r w:rsidRPr="00B94636">
        <w:rPr>
          <w:lang w:val="mk-MK"/>
        </w:rPr>
        <w:t xml:space="preserve">Со тоа, условувањето не завршува со уставните промени, туку го следи процесот во секоја фаза </w:t>
      </w:r>
      <w:r w:rsidR="004A323D">
        <w:rPr>
          <w:lang w:val="mk-MK"/>
        </w:rPr>
        <w:t>каде</w:t>
      </w:r>
      <w:r w:rsidRPr="00B94636">
        <w:rPr>
          <w:lang w:val="mk-MK"/>
        </w:rPr>
        <w:t xml:space="preserve"> Бугарија</w:t>
      </w:r>
      <w:r w:rsidR="004A323D">
        <w:rPr>
          <w:lang w:val="mk-MK"/>
        </w:rPr>
        <w:t xml:space="preserve"> и секоја земја-членка</w:t>
      </w:r>
      <w:r w:rsidRPr="00B94636">
        <w:rPr>
          <w:lang w:val="mk-MK"/>
        </w:rPr>
        <w:t xml:space="preserve"> може да го употреби во секоj момент, без оглед на напредокот во </w:t>
      </w:r>
      <w:r w:rsidRPr="004A323D">
        <w:rPr>
          <w:i/>
          <w:iCs/>
          <w:lang w:val="mk-MK"/>
        </w:rPr>
        <w:t>acquis</w:t>
      </w:r>
      <w:r w:rsidRPr="00B94636">
        <w:rPr>
          <w:lang w:val="mk-MK"/>
        </w:rPr>
        <w:t>. Ова претставува сериозен теоретски и практичен предизвик</w:t>
      </w:r>
      <w:r w:rsidR="004A323D">
        <w:rPr>
          <w:lang w:val="mk-MK"/>
        </w:rPr>
        <w:t xml:space="preserve"> затоа што</w:t>
      </w:r>
      <w:r w:rsidRPr="00B94636">
        <w:rPr>
          <w:lang w:val="mk-MK"/>
        </w:rPr>
        <w:t xml:space="preserve"> темпото на транспонирање на </w:t>
      </w:r>
      <w:r w:rsidRPr="00285EFE">
        <w:rPr>
          <w:i/>
          <w:iCs/>
          <w:lang w:val="mk-MK"/>
        </w:rPr>
        <w:t>acquis</w:t>
      </w:r>
      <w:r w:rsidRPr="00B94636">
        <w:rPr>
          <w:lang w:val="mk-MK"/>
        </w:rPr>
        <w:t xml:space="preserve"> не може само по себе да го отклучи следниот чекор во преговорите поради постоење на пара</w:t>
      </w:r>
      <w:r w:rsidR="00285EFE">
        <w:rPr>
          <w:lang w:val="mk-MK"/>
        </w:rPr>
        <w:t>пра</w:t>
      </w:r>
      <w:r w:rsidRPr="00B94636">
        <w:rPr>
          <w:lang w:val="mk-MK"/>
        </w:rPr>
        <w:t xml:space="preserve">вната политичка условеност, </w:t>
      </w:r>
      <w:r w:rsidR="000D29A5">
        <w:rPr>
          <w:lang w:val="mk-MK"/>
        </w:rPr>
        <w:t xml:space="preserve">што значи дека </w:t>
      </w:r>
      <w:r w:rsidRPr="00B94636">
        <w:rPr>
          <w:lang w:val="mk-MK"/>
        </w:rPr>
        <w:t>самата логика на реформски стимул е нарушена.</w:t>
      </w:r>
      <w:r w:rsidR="000D29A5">
        <w:rPr>
          <w:lang w:val="mk-MK"/>
        </w:rPr>
        <w:t xml:space="preserve"> Ова воопшто не ја олеснува задачата на конкретната тема на оваа дисертација</w:t>
      </w:r>
      <w:r w:rsidR="000960A5">
        <w:rPr>
          <w:lang w:val="mk-MK"/>
        </w:rPr>
        <w:t xml:space="preserve"> и дополнително ги комплицира работите за спроведување на реформата. </w:t>
      </w:r>
    </w:p>
    <w:p w14:paraId="541B1D41" w14:textId="77777777" w:rsidR="00867B37" w:rsidRDefault="00785F67" w:rsidP="00323229">
      <w:pPr>
        <w:pStyle w:val="BodyText"/>
        <w:spacing w:before="240"/>
        <w:ind w:firstLine="720"/>
        <w:jc w:val="both"/>
        <w:rPr>
          <w:lang w:val="mk-MK"/>
        </w:rPr>
      </w:pPr>
      <w:r>
        <w:rPr>
          <w:lang w:val="mk-MK"/>
        </w:rPr>
        <w:t>Дополнително, г</w:t>
      </w:r>
      <w:r w:rsidRPr="00785F67">
        <w:rPr>
          <w:lang w:val="mk-MK"/>
        </w:rPr>
        <w:t xml:space="preserve">еополитичкиот контекст по 2022 година, иако номинално ги оживеа перспективите за проширување, не ги реши основните предизвици за </w:t>
      </w:r>
      <w:r w:rsidRPr="00785F67">
        <w:rPr>
          <w:lang w:val="mk-MK"/>
        </w:rPr>
        <w:lastRenderedPageBreak/>
        <w:t xml:space="preserve">Македонија. По почетокот на војната во Украина во 2022 година, ЕУ </w:t>
      </w:r>
      <w:r>
        <w:rPr>
          <w:lang w:val="mk-MK"/>
        </w:rPr>
        <w:t>официјално даде</w:t>
      </w:r>
      <w:r w:rsidRPr="00785F67">
        <w:rPr>
          <w:lang w:val="mk-MK"/>
        </w:rPr>
        <w:t xml:space="preserve"> поголем политички приоритет на понатамошното проширување, при што Молд</w:t>
      </w:r>
      <w:r w:rsidR="00464599">
        <w:rPr>
          <w:lang w:val="mk-MK"/>
        </w:rPr>
        <w:t>авија</w:t>
      </w:r>
      <w:r w:rsidRPr="00785F67">
        <w:rPr>
          <w:lang w:val="mk-MK"/>
        </w:rPr>
        <w:t xml:space="preserve"> и Украина беа поканети да ги отпочнат преговорите за пристапување уште во декември 2023 година, со тоа </w:t>
      </w:r>
      <w:r w:rsidR="00464599">
        <w:rPr>
          <w:lang w:val="mk-MK"/>
        </w:rPr>
        <w:t>преземајќи го водството од</w:t>
      </w:r>
      <w:r w:rsidRPr="00785F67">
        <w:rPr>
          <w:lang w:val="mk-MK"/>
        </w:rPr>
        <w:t xml:space="preserve"> земји како Македонија.</w:t>
      </w:r>
      <w:r w:rsidR="00464599">
        <w:rPr>
          <w:rStyle w:val="FootnoteReference"/>
          <w:lang w:val="mk-MK"/>
        </w:rPr>
        <w:footnoteReference w:id="785"/>
      </w:r>
      <w:r w:rsidRPr="00785F67">
        <w:rPr>
          <w:lang w:val="mk-MK"/>
        </w:rPr>
        <w:t xml:space="preserve"> Овоj „скок" на земjи со значително пократка кандидатска историjа предизвика т.н. „феномен на заостанување" за Македонија, кој академски може да се опише како пад на перцепираниот кредибилитет на перспективата за членство. </w:t>
      </w:r>
    </w:p>
    <w:p w14:paraId="1ABC0AA5" w14:textId="54A543CF" w:rsidR="00B94636" w:rsidRDefault="00785F67" w:rsidP="00323229">
      <w:pPr>
        <w:pStyle w:val="BodyText"/>
        <w:spacing w:before="240"/>
        <w:ind w:firstLine="720"/>
        <w:jc w:val="both"/>
        <w:rPr>
          <w:lang w:val="mk-MK"/>
        </w:rPr>
      </w:pPr>
      <w:r w:rsidRPr="00785F67">
        <w:rPr>
          <w:lang w:val="mk-MK"/>
        </w:rPr>
        <w:t xml:space="preserve">Доколку јавноста во земјата-кандидат ја изгуби довербата дека членството е реалистична и достижна цел, самиот реформски импулс генериран од условувањето слабее, бидејќи рационалниот актер </w:t>
      </w:r>
      <w:r w:rsidR="00867B37">
        <w:rPr>
          <w:lang w:val="mk-MK"/>
        </w:rPr>
        <w:t xml:space="preserve">ги </w:t>
      </w:r>
      <w:r w:rsidRPr="00785F67">
        <w:rPr>
          <w:lang w:val="mk-MK"/>
        </w:rPr>
        <w:t xml:space="preserve">врзува трошоците на реформите за очекуваниот </w:t>
      </w:r>
      <w:r w:rsidR="00867B37">
        <w:rPr>
          <w:lang w:val="mk-MK"/>
        </w:rPr>
        <w:t>резултат,</w:t>
      </w:r>
      <w:r w:rsidRPr="00785F67">
        <w:rPr>
          <w:lang w:val="mk-MK"/>
        </w:rPr>
        <w:t xml:space="preserve"> а тоj </w:t>
      </w:r>
      <w:r w:rsidR="00867B37">
        <w:rPr>
          <w:lang w:val="mk-MK"/>
        </w:rPr>
        <w:t xml:space="preserve">исход </w:t>
      </w:r>
      <w:r w:rsidRPr="00785F67">
        <w:rPr>
          <w:lang w:val="mk-MK"/>
        </w:rPr>
        <w:t>станува сè понеизвесен. Проценка</w:t>
      </w:r>
      <w:r w:rsidR="00867B37">
        <w:rPr>
          <w:lang w:val="mk-MK"/>
        </w:rPr>
        <w:t>та</w:t>
      </w:r>
      <w:r w:rsidRPr="00785F67">
        <w:rPr>
          <w:lang w:val="mk-MK"/>
        </w:rPr>
        <w:t xml:space="preserve"> покаж</w:t>
      </w:r>
      <w:r w:rsidR="00E23DC1">
        <w:rPr>
          <w:lang w:val="mk-MK"/>
        </w:rPr>
        <w:t xml:space="preserve">ува </w:t>
      </w:r>
      <w:r w:rsidRPr="00785F67">
        <w:rPr>
          <w:lang w:val="mk-MK"/>
        </w:rPr>
        <w:t>дека повеќе од две третини од Македонците се за членство во ЕУ, но истовремено, речиси третина смета дека тоа никогаш нема да се случи.</w:t>
      </w:r>
      <w:r w:rsidR="000D29A5">
        <w:rPr>
          <w:lang w:val="mk-MK"/>
        </w:rPr>
        <w:t xml:space="preserve"> </w:t>
      </w:r>
      <w:r w:rsidR="00E23DC1">
        <w:rPr>
          <w:lang w:val="mk-MK"/>
        </w:rPr>
        <w:t>Иако самата тема е многу поширока и не е од директна релевантност за учеството на вработените, согледувањето на</w:t>
      </w:r>
      <w:r w:rsidR="000033CD">
        <w:rPr>
          <w:lang w:val="mk-MK"/>
        </w:rPr>
        <w:t xml:space="preserve"> непостоењето на</w:t>
      </w:r>
      <w:r w:rsidR="00E23DC1">
        <w:rPr>
          <w:lang w:val="mk-MK"/>
        </w:rPr>
        <w:t xml:space="preserve"> </w:t>
      </w:r>
      <w:r w:rsidR="000033CD">
        <w:rPr>
          <w:lang w:val="mk-MK"/>
        </w:rPr>
        <w:t>реални шанси Европската Унија да го засили притисокот и да поттикне реформа е од огромно значење за стратешкиот пристап кон</w:t>
      </w:r>
      <w:r w:rsidR="001425A0">
        <w:rPr>
          <w:lang w:val="mk-MK"/>
        </w:rPr>
        <w:t xml:space="preserve"> проблематиката. </w:t>
      </w:r>
    </w:p>
    <w:p w14:paraId="0B331AF4" w14:textId="1E0FEC6D" w:rsidR="001368FA" w:rsidRDefault="001368FA" w:rsidP="00323229">
      <w:pPr>
        <w:pStyle w:val="BodyText"/>
        <w:spacing w:before="240"/>
        <w:ind w:firstLine="720"/>
        <w:jc w:val="both"/>
        <w:rPr>
          <w:lang w:val="en-US"/>
        </w:rPr>
      </w:pPr>
      <w:r>
        <w:rPr>
          <w:lang w:val="mk-MK"/>
        </w:rPr>
        <w:t>Оттука, с</w:t>
      </w:r>
      <w:r w:rsidRPr="001368FA">
        <w:rPr>
          <w:lang w:val="mk-MK"/>
        </w:rPr>
        <w:t xml:space="preserve">татус-кво состојбата во Македонија не ја позиционира прецизно политиката на јавните политики во рамки на пошироката интелектуална еволуција од рационалистичките модели на донесување одлуки кон институционалистичките и конструктивистичките пристапи. Централното прашање не е само како се дизајнираат политиките, туку зошто одредени реформи се појавуваат во конкретни моменти, додека други не се реализираат. </w:t>
      </w:r>
      <w:r w:rsidR="00922D13">
        <w:rPr>
          <w:lang w:val="mk-MK"/>
        </w:rPr>
        <w:t>За</w:t>
      </w:r>
      <w:r w:rsidRPr="001368FA">
        <w:rPr>
          <w:lang w:val="mk-MK"/>
        </w:rPr>
        <w:t xml:space="preserve"> проект насочен кон реформата на корпоративното управување во Северна Македонија, овие теоретски дебати се директно релевантни</w:t>
      </w:r>
      <w:r w:rsidR="00922D13">
        <w:rPr>
          <w:lang w:val="mk-MK"/>
        </w:rPr>
        <w:t xml:space="preserve"> затоа што</w:t>
      </w:r>
      <w:r w:rsidRPr="001368FA">
        <w:rPr>
          <w:lang w:val="mk-MK"/>
        </w:rPr>
        <w:t xml:space="preserve"> тие објаснуваат зошто учеството на вработените останува маргинално и покрај повторливите реформски иницијативи, како и зошто институционалните промени во оваа област се инкрементални (доколку воопшто постојат) и оспорувани.</w:t>
      </w:r>
      <w:r w:rsidR="00DB03CE">
        <w:rPr>
          <w:rStyle w:val="FootnoteReference"/>
          <w:lang w:val="mk-MK"/>
        </w:rPr>
        <w:footnoteReference w:id="786"/>
      </w:r>
    </w:p>
    <w:p w14:paraId="04022A41" w14:textId="77777777" w:rsidR="006C11EC" w:rsidRDefault="0002350D" w:rsidP="00323229">
      <w:pPr>
        <w:pStyle w:val="BodyText"/>
        <w:spacing w:before="240"/>
        <w:ind w:firstLine="720"/>
        <w:jc w:val="both"/>
        <w:rPr>
          <w:lang w:val="mk-MK"/>
        </w:rPr>
      </w:pPr>
      <w:r w:rsidRPr="0002350D">
        <w:rPr>
          <w:lang w:val="mk-MK"/>
        </w:rPr>
        <w:t>Поствоениот оптимизам во однос на социјалното инженерство</w:t>
      </w:r>
      <w:r w:rsidR="00E56B20">
        <w:rPr>
          <w:lang w:val="mk-MK"/>
        </w:rPr>
        <w:t xml:space="preserve"> на европско ниво</w:t>
      </w:r>
      <w:r w:rsidRPr="0002350D">
        <w:rPr>
          <w:lang w:val="mk-MK"/>
        </w:rPr>
        <w:t xml:space="preserve"> почива</w:t>
      </w:r>
      <w:r w:rsidR="00FC626F">
        <w:rPr>
          <w:lang w:val="mk-MK"/>
        </w:rPr>
        <w:t>л</w:t>
      </w:r>
      <w:r w:rsidRPr="0002350D">
        <w:rPr>
          <w:lang w:val="mk-MK"/>
        </w:rPr>
        <w:t xml:space="preserve"> на претпоставката дека проблемите на јавните политики можат да се решат преку рационално-сеопфатна анализа и планирање водено од експерти.</w:t>
      </w:r>
      <w:r>
        <w:rPr>
          <w:rStyle w:val="FootnoteReference"/>
          <w:lang w:val="mk-MK"/>
        </w:rPr>
        <w:footnoteReference w:id="787"/>
      </w:r>
      <w:r w:rsidRPr="0002350D">
        <w:rPr>
          <w:lang w:val="mk-MK"/>
        </w:rPr>
        <w:t xml:space="preserve"> Во оваа рамка, идентификувањето на „вистинскиот“ проблем и дизајнирањето на технички оптимално решение се смета</w:t>
      </w:r>
      <w:r w:rsidR="00FC626F">
        <w:rPr>
          <w:lang w:val="mk-MK"/>
        </w:rPr>
        <w:t>ло</w:t>
      </w:r>
      <w:r w:rsidRPr="0002350D">
        <w:rPr>
          <w:lang w:val="mk-MK"/>
        </w:rPr>
        <w:t xml:space="preserve"> за доволно за ефективна политика.</w:t>
      </w:r>
      <w:r w:rsidR="00FC626F">
        <w:rPr>
          <w:rStyle w:val="FootnoteReference"/>
          <w:lang w:val="mk-MK"/>
        </w:rPr>
        <w:footnoteReference w:id="788"/>
      </w:r>
      <w:r w:rsidRPr="0002350D">
        <w:rPr>
          <w:lang w:val="mk-MK"/>
        </w:rPr>
        <w:t xml:space="preserve"> Во корпоративното управување, слични рационалистички претпоставки лежат во основата на меѓународните препораки за „најдобри практики“, кои често ги третираат моделите на </w:t>
      </w:r>
      <w:r w:rsidR="00FC626F">
        <w:rPr>
          <w:lang w:val="mk-MK"/>
        </w:rPr>
        <w:t>ОЕЦД</w:t>
      </w:r>
      <w:r w:rsidRPr="0002350D">
        <w:rPr>
          <w:lang w:val="mk-MK"/>
        </w:rPr>
        <w:t xml:space="preserve"> или ЕУ како универзално применливи шаблони за транзициските економии.</w:t>
      </w:r>
      <w:r w:rsidR="006C11EC">
        <w:rPr>
          <w:rStyle w:val="FootnoteReference"/>
          <w:lang w:val="mk-MK"/>
        </w:rPr>
        <w:footnoteReference w:id="789"/>
      </w:r>
      <w:r w:rsidRPr="0002350D">
        <w:rPr>
          <w:lang w:val="mk-MK"/>
        </w:rPr>
        <w:t xml:space="preserve"> </w:t>
      </w:r>
    </w:p>
    <w:p w14:paraId="0525C09A" w14:textId="4428D7C3" w:rsidR="0002350D" w:rsidRDefault="00055F14" w:rsidP="00323229">
      <w:pPr>
        <w:pStyle w:val="BodyText"/>
        <w:spacing w:before="240"/>
        <w:ind w:firstLine="720"/>
        <w:jc w:val="both"/>
        <w:rPr>
          <w:lang w:val="mk-MK"/>
        </w:rPr>
      </w:pPr>
      <w:r>
        <w:rPr>
          <w:lang w:val="mk-MK"/>
        </w:rPr>
        <w:t>Од друга страна, к</w:t>
      </w:r>
      <w:r w:rsidR="0002350D" w:rsidRPr="0002350D">
        <w:rPr>
          <w:lang w:val="mk-MK"/>
        </w:rPr>
        <w:t xml:space="preserve">онцептот на ограничена рационалност на </w:t>
      </w:r>
      <w:r w:rsidR="00115524">
        <w:rPr>
          <w:lang w:val="mk-MK"/>
        </w:rPr>
        <w:t>Херберт Симон</w:t>
      </w:r>
      <w:r w:rsidR="0002350D" w:rsidRPr="0002350D">
        <w:rPr>
          <w:lang w:val="mk-MK"/>
        </w:rPr>
        <w:t xml:space="preserve"> ја оспор</w:t>
      </w:r>
      <w:r>
        <w:rPr>
          <w:lang w:val="mk-MK"/>
        </w:rPr>
        <w:t>ува</w:t>
      </w:r>
      <w:r w:rsidR="0002350D" w:rsidRPr="0002350D">
        <w:rPr>
          <w:lang w:val="mk-MK"/>
        </w:rPr>
        <w:t xml:space="preserve"> оваа технократска вер</w:t>
      </w:r>
      <w:r>
        <w:rPr>
          <w:lang w:val="mk-MK"/>
        </w:rPr>
        <w:t>б</w:t>
      </w:r>
      <w:r w:rsidR="0002350D" w:rsidRPr="0002350D">
        <w:rPr>
          <w:lang w:val="mk-MK"/>
        </w:rPr>
        <w:t>а во оптимизација</w:t>
      </w:r>
      <w:r w:rsidR="00115524">
        <w:rPr>
          <w:lang w:val="mk-MK"/>
        </w:rPr>
        <w:t>.</w:t>
      </w:r>
      <w:r w:rsidR="00115524">
        <w:rPr>
          <w:rStyle w:val="FootnoteReference"/>
          <w:lang w:val="mk-MK"/>
        </w:rPr>
        <w:footnoteReference w:id="790"/>
      </w:r>
      <w:r w:rsidR="00115524">
        <w:rPr>
          <w:lang w:val="mk-MK"/>
        </w:rPr>
        <w:t xml:space="preserve"> Тој верува дека </w:t>
      </w:r>
      <w:r w:rsidR="00203DB6">
        <w:rPr>
          <w:lang w:val="mk-MK"/>
        </w:rPr>
        <w:t>к</w:t>
      </w:r>
      <w:r w:rsidR="0002350D" w:rsidRPr="0002350D">
        <w:rPr>
          <w:lang w:val="mk-MK"/>
        </w:rPr>
        <w:t xml:space="preserve">реаторите на политики делуваат под ограничувања на информации, време и когнитивни капацитети; тие „задоволуваат“ наместо да оптимизираат. Во македонскиот контекст, ваквата ограничена рационалност е видлива во реформските процеси обликувани од </w:t>
      </w:r>
      <w:r w:rsidR="0002350D" w:rsidRPr="0002350D">
        <w:rPr>
          <w:lang w:val="mk-MK"/>
        </w:rPr>
        <w:lastRenderedPageBreak/>
        <w:t>конкурентни притисоци, од домашните бизнис елити, странските инвеститори, корупцијата и наднационалните институции. Резултирачките рамки се прагматични компромиси</w:t>
      </w:r>
      <w:r w:rsidR="00BA758F">
        <w:rPr>
          <w:lang w:val="mk-MK"/>
        </w:rPr>
        <w:t xml:space="preserve"> кои се гледа да бидат </w:t>
      </w:r>
      <w:r w:rsidR="0002350D" w:rsidRPr="0002350D">
        <w:rPr>
          <w:lang w:val="mk-MK"/>
        </w:rPr>
        <w:t>политички остварливи, но ретко нормативно или технички оптимални.</w:t>
      </w:r>
    </w:p>
    <w:p w14:paraId="4C239B2B" w14:textId="627E7B93" w:rsidR="00BA758F" w:rsidRDefault="00715B33" w:rsidP="00323229">
      <w:pPr>
        <w:pStyle w:val="BodyText"/>
        <w:spacing w:before="240"/>
        <w:ind w:firstLine="720"/>
        <w:jc w:val="both"/>
        <w:rPr>
          <w:lang w:val="mk-MK"/>
        </w:rPr>
      </w:pPr>
      <w:r w:rsidRPr="00715B33">
        <w:rPr>
          <w:lang w:val="mk-MK"/>
        </w:rPr>
        <w:t xml:space="preserve">Концептот „наука на постепено снаоѓање“ на </w:t>
      </w:r>
      <w:r>
        <w:rPr>
          <w:lang w:val="mk-MK"/>
        </w:rPr>
        <w:t>Чарлс Линдблом (</w:t>
      </w:r>
      <w:r w:rsidRPr="00715B33">
        <w:rPr>
          <w:lang w:val="mk-MK"/>
        </w:rPr>
        <w:t>Charles Lindblom</w:t>
      </w:r>
      <w:r>
        <w:rPr>
          <w:lang w:val="mk-MK"/>
        </w:rPr>
        <w:t>)</w:t>
      </w:r>
      <w:r w:rsidRPr="00715B33">
        <w:rPr>
          <w:lang w:val="mk-MK"/>
        </w:rPr>
        <w:t xml:space="preserve"> дополнително го продлабочува увидот на </w:t>
      </w:r>
      <w:r w:rsidR="00336A18">
        <w:rPr>
          <w:lang w:val="mk-MK"/>
        </w:rPr>
        <w:t>Симон</w:t>
      </w:r>
      <w:r w:rsidRPr="00715B33">
        <w:rPr>
          <w:lang w:val="mk-MK"/>
        </w:rPr>
        <w:t>, концептуализирајќи го креирањето политики како инкрементален и преговаран процес.</w:t>
      </w:r>
      <w:r w:rsidR="00AE3205">
        <w:rPr>
          <w:rStyle w:val="FootnoteReference"/>
          <w:lang w:val="mk-MK"/>
        </w:rPr>
        <w:footnoteReference w:id="791"/>
      </w:r>
      <w:r w:rsidRPr="00715B33">
        <w:rPr>
          <w:lang w:val="mk-MK"/>
        </w:rPr>
        <w:t xml:space="preserve"> Во сложени системи, политиката не напредува преку сеопфатен дизајн, туку преку мали, адаптивни чекори обликувани од преговори и партиски прилагодувања. Реформата на корпоративното управување во Македонија ја илустрира оваа логика. Наместо решителен пресврт кон кодетерминација или сопственичко учество на вработените, реформите се одвиваат преку постепени прилагодувања, изменувајќи ги правата на акционерите, структурата на управните органи или правилата за обелоденување, без да се промени подлабоката асиметрија </w:t>
      </w:r>
      <w:r w:rsidR="0072049A">
        <w:rPr>
          <w:lang w:val="mk-MK"/>
        </w:rPr>
        <w:t>по</w:t>
      </w:r>
      <w:r w:rsidRPr="00715B33">
        <w:rPr>
          <w:lang w:val="mk-MK"/>
        </w:rPr>
        <w:t xml:space="preserve">меѓу капиталот и трудот. Консензус се постигнува околу мали модификации, додека трансформативните реформи остануваат блокирани од вкоренет отпор. Така </w:t>
      </w:r>
      <w:r w:rsidR="0072049A">
        <w:rPr>
          <w:lang w:val="mk-MK"/>
        </w:rPr>
        <w:t>се</w:t>
      </w:r>
      <w:r w:rsidRPr="00715B33">
        <w:rPr>
          <w:lang w:val="mk-MK"/>
        </w:rPr>
        <w:t xml:space="preserve"> објаснува темпото и траекторијата на корпоративната реформа во Македонија: бавна, преговарана и структурно конзервативна.</w:t>
      </w:r>
    </w:p>
    <w:p w14:paraId="1F56AB6C" w14:textId="129DD26B" w:rsidR="00285E71" w:rsidRDefault="00153A43" w:rsidP="00323229">
      <w:pPr>
        <w:pStyle w:val="BodyText"/>
        <w:spacing w:before="240"/>
        <w:ind w:firstLine="720"/>
        <w:jc w:val="both"/>
        <w:rPr>
          <w:lang w:val="mk-MK"/>
        </w:rPr>
      </w:pPr>
      <w:r w:rsidRPr="00153A43">
        <w:rPr>
          <w:lang w:val="mk-MK"/>
        </w:rPr>
        <w:t xml:space="preserve">Моделот на повеќекратни текови на </w:t>
      </w:r>
      <w:r w:rsidR="00283020">
        <w:rPr>
          <w:lang w:val="mk-MK"/>
        </w:rPr>
        <w:t>Џон Кингдон (</w:t>
      </w:r>
      <w:r w:rsidRPr="00153A43">
        <w:rPr>
          <w:lang w:val="mk-MK"/>
        </w:rPr>
        <w:t>John Kingdon</w:t>
      </w:r>
      <w:r w:rsidR="00283020">
        <w:rPr>
          <w:lang w:val="mk-MK"/>
        </w:rPr>
        <w:t>)</w:t>
      </w:r>
      <w:r w:rsidRPr="00153A43">
        <w:rPr>
          <w:lang w:val="mk-MK"/>
        </w:rPr>
        <w:t xml:space="preserve"> додава динамичка димензија, објаснувајќи како одредени прашања влегуваат на политичката агенда, додека други не.</w:t>
      </w:r>
      <w:r w:rsidR="00B44328">
        <w:rPr>
          <w:rStyle w:val="FootnoteReference"/>
          <w:lang w:val="mk-MK"/>
        </w:rPr>
        <w:footnoteReference w:id="792"/>
      </w:r>
      <w:r w:rsidRPr="00153A43">
        <w:rPr>
          <w:lang w:val="mk-MK"/>
        </w:rPr>
        <w:t xml:space="preserve"> Промената на политиките настанува кога се усогласуваат текот на проблемите, текот на политиките и политичкиот тек, најчесто преку дејствување на „политички претприемач“ кој ги поврзува во краткотраен „прозорец на можност“. Во Македонија, текот на проблемите </w:t>
      </w:r>
      <w:r w:rsidR="00B44328">
        <w:rPr>
          <w:lang w:val="mk-MK"/>
        </w:rPr>
        <w:t xml:space="preserve">како </w:t>
      </w:r>
      <w:r w:rsidRPr="00153A43">
        <w:rPr>
          <w:lang w:val="mk-MK"/>
        </w:rPr>
        <w:t>слаба застапеност на работниците</w:t>
      </w:r>
      <w:r w:rsidR="00B44328">
        <w:rPr>
          <w:lang w:val="mk-MK"/>
        </w:rPr>
        <w:t xml:space="preserve"> и</w:t>
      </w:r>
      <w:r w:rsidRPr="00153A43">
        <w:rPr>
          <w:lang w:val="mk-MK"/>
        </w:rPr>
        <w:t xml:space="preserve"> ограничена индустриска демократија</w:t>
      </w:r>
      <w:r w:rsidR="00B44328">
        <w:rPr>
          <w:lang w:val="mk-MK"/>
        </w:rPr>
        <w:t>,</w:t>
      </w:r>
      <w:r w:rsidRPr="00153A43">
        <w:rPr>
          <w:lang w:val="mk-MK"/>
        </w:rPr>
        <w:t xml:space="preserve"> одамна е видлив, но текот на политиките нема доволна согласност или видливост во однос на изводливи алтернативи. Моделите на кодетерминација изгледаат институционално неусогласени, додека политичкиот дискурс останува доминиран од приоритетите за странски инвестиции и усогласување со ЕУ. Сѐ додека овие текови не се усогласат, односно додека учеството на вработените не се преформулира како истовремено социјално неопходно и компатибилно со ЕУ, суштинската реформа ќе остане недостижна.</w:t>
      </w:r>
    </w:p>
    <w:p w14:paraId="55ADB3E3" w14:textId="575EDEF1" w:rsidR="00D960F4" w:rsidRDefault="00F86C55" w:rsidP="00323229">
      <w:pPr>
        <w:pStyle w:val="BodyText"/>
        <w:spacing w:before="240"/>
        <w:ind w:firstLine="720"/>
        <w:jc w:val="both"/>
        <w:rPr>
          <w:lang w:val="en-US"/>
        </w:rPr>
      </w:pPr>
      <w:r w:rsidRPr="00F86C55">
        <w:rPr>
          <w:lang w:val="mk-MK"/>
        </w:rPr>
        <w:t xml:space="preserve">Во контекстот на корпоративното управување во Македонија, овие интеракции се асиметрични. Работодавачите се спротивставуваат на обврзувачко учество на работниците или барем не го иницираат активно; синдикатите се фрагментирани; меѓународните актери ставаат акцент на либерализација на пазарот и заштита на инвеститорите. Институционалната структура, слаб колективен договорен систем, концентрирана сопственост и усогласување со правото на ЕУ, ги медијира овие интеракции, продуцирајќи реформски исходи што </w:t>
      </w:r>
      <w:r>
        <w:rPr>
          <w:lang w:val="mk-MK"/>
        </w:rPr>
        <w:t>го</w:t>
      </w:r>
      <w:r w:rsidRPr="00F86C55">
        <w:rPr>
          <w:lang w:val="mk-MK"/>
        </w:rPr>
        <w:t xml:space="preserve"> фаворизираат приматот на акционерите во однос на партиципативното управување. Оттука, резултатите од политиките претставуваат преговарани рамнотежи во рамки на историски специфични ограничувања, а не рационална оптимизација.</w:t>
      </w:r>
      <w:r>
        <w:rPr>
          <w:rStyle w:val="FootnoteReference"/>
          <w:lang w:val="mk-MK"/>
        </w:rPr>
        <w:footnoteReference w:id="793"/>
      </w:r>
    </w:p>
    <w:p w14:paraId="5FD286F4" w14:textId="77777777" w:rsidR="00E56359" w:rsidRDefault="008A020D" w:rsidP="00323229">
      <w:pPr>
        <w:pStyle w:val="BodyText"/>
        <w:spacing w:before="240"/>
        <w:ind w:firstLine="720"/>
        <w:jc w:val="both"/>
        <w:rPr>
          <w:lang w:val="mk-MK"/>
        </w:rPr>
      </w:pPr>
      <w:r>
        <w:rPr>
          <w:lang w:val="mk-MK"/>
        </w:rPr>
        <w:t>Од друга страна, и</w:t>
      </w:r>
      <w:r w:rsidRPr="008A020D">
        <w:rPr>
          <w:lang w:val="mk-MK"/>
        </w:rPr>
        <w:t>нституционализам</w:t>
      </w:r>
      <w:r>
        <w:rPr>
          <w:lang w:val="mk-MK"/>
        </w:rPr>
        <w:t>от</w:t>
      </w:r>
      <w:r w:rsidRPr="008A020D">
        <w:rPr>
          <w:lang w:val="mk-MK"/>
        </w:rPr>
        <w:t xml:space="preserve"> </w:t>
      </w:r>
      <w:r>
        <w:rPr>
          <w:lang w:val="mk-MK"/>
        </w:rPr>
        <w:t>фокусиран на актери на</w:t>
      </w:r>
      <w:r w:rsidRPr="008A020D">
        <w:rPr>
          <w:lang w:val="mk-MK"/>
        </w:rPr>
        <w:t xml:space="preserve"> Fritz Scharpf ги поврзува ограничената рационалност, инкрементализмот и поставувањето на агендата, </w:t>
      </w:r>
      <w:r w:rsidRPr="008A020D">
        <w:rPr>
          <w:lang w:val="mk-MK"/>
        </w:rPr>
        <w:lastRenderedPageBreak/>
        <w:t>концептуализирајќи го креирањето политики како резултат на стратешка интеракција во рамки на институционални ограничувања. Актерите, работодавачите, синдикатите, политичарите</w:t>
      </w:r>
      <w:r w:rsidR="00BC43FB">
        <w:rPr>
          <w:lang w:val="mk-MK"/>
        </w:rPr>
        <w:t xml:space="preserve"> и</w:t>
      </w:r>
      <w:r w:rsidRPr="008A020D">
        <w:rPr>
          <w:lang w:val="mk-MK"/>
        </w:rPr>
        <w:t xml:space="preserve"> меѓународните организации, ги следат своите преференци, кои се обликувани и ограничени од институционалните конфигурации.</w:t>
      </w:r>
      <w:r w:rsidR="00AB6D8D">
        <w:rPr>
          <w:lang w:val="mk-MK"/>
        </w:rPr>
        <w:t xml:space="preserve"> Ова значи дека </w:t>
      </w:r>
      <w:r w:rsidR="00AB6D8D" w:rsidRPr="00AB6D8D">
        <w:rPr>
          <w:lang w:val="mk-MK"/>
        </w:rPr>
        <w:t xml:space="preserve">современата анализа на јавни политики мора да воспостави рамнотежа </w:t>
      </w:r>
      <w:r w:rsidR="00AB6D8D">
        <w:rPr>
          <w:lang w:val="mk-MK"/>
        </w:rPr>
        <w:t>по</w:t>
      </w:r>
      <w:r w:rsidR="00AB6D8D" w:rsidRPr="00AB6D8D">
        <w:rPr>
          <w:lang w:val="mk-MK"/>
        </w:rPr>
        <w:t>меѓу универзалната теорија и контекстуалната специфичност. Македонскиот случај ја нагласува оваа методолошка императивност</w:t>
      </w:r>
      <w:r w:rsidR="00E56359">
        <w:rPr>
          <w:lang w:val="mk-MK"/>
        </w:rPr>
        <w:t xml:space="preserve"> затоа што</w:t>
      </w:r>
      <w:r w:rsidR="00AB6D8D" w:rsidRPr="00AB6D8D">
        <w:rPr>
          <w:lang w:val="mk-MK"/>
        </w:rPr>
        <w:t xml:space="preserve"> реформата на корпоративното управување не може да се објасни како едноставна дифузија на политики, туку мора да се разбере преку механизмите, ограничена рационалност, инкрементализам, динамика на агендата и институционална интеракција, што ги посредуваат глобалните модели низ домашниот контекст. </w:t>
      </w:r>
    </w:p>
    <w:p w14:paraId="437FF2D6" w14:textId="0A86C0A6" w:rsidR="008A020D" w:rsidRPr="008A020D" w:rsidRDefault="00AB6D8D" w:rsidP="00323229">
      <w:pPr>
        <w:pStyle w:val="BodyText"/>
        <w:spacing w:before="240"/>
        <w:ind w:firstLine="720"/>
        <w:jc w:val="both"/>
        <w:rPr>
          <w:lang w:val="mk-MK"/>
        </w:rPr>
      </w:pPr>
      <w:r w:rsidRPr="00AB6D8D">
        <w:rPr>
          <w:lang w:val="mk-MK"/>
        </w:rPr>
        <w:t xml:space="preserve">Теоријата, оттука, ја пренасочува анализата на политики од рационален дизајн кон институционален процес. </w:t>
      </w:r>
      <w:r w:rsidR="00E56359">
        <w:rPr>
          <w:lang w:val="mk-MK"/>
        </w:rPr>
        <w:t>Симон и Линдблом</w:t>
      </w:r>
      <w:r w:rsidRPr="00AB6D8D">
        <w:rPr>
          <w:lang w:val="mk-MK"/>
        </w:rPr>
        <w:t xml:space="preserve"> ги откриваат когнитивните и процедур</w:t>
      </w:r>
      <w:r w:rsidR="00D533F0">
        <w:rPr>
          <w:lang w:val="mk-MK"/>
        </w:rPr>
        <w:t>ал</w:t>
      </w:r>
      <w:r w:rsidRPr="00AB6D8D">
        <w:rPr>
          <w:lang w:val="mk-MK"/>
        </w:rPr>
        <w:t xml:space="preserve">ните ограничувања на реформата; </w:t>
      </w:r>
      <w:r w:rsidR="00D533F0">
        <w:rPr>
          <w:lang w:val="mk-MK"/>
        </w:rPr>
        <w:t>Кингдон</w:t>
      </w:r>
      <w:r w:rsidRPr="00AB6D8D">
        <w:rPr>
          <w:lang w:val="mk-MK"/>
        </w:rPr>
        <w:t xml:space="preserve"> покажува како вниманието и можностите ја обликуваат агендата; </w:t>
      </w:r>
      <w:r w:rsidR="00D533F0">
        <w:rPr>
          <w:lang w:val="mk-MK"/>
        </w:rPr>
        <w:t>Шарпф</w:t>
      </w:r>
      <w:r w:rsidRPr="00AB6D8D">
        <w:rPr>
          <w:lang w:val="mk-MK"/>
        </w:rPr>
        <w:t xml:space="preserve"> ги позиционира овие динамики во рамки на структурирана интеракција. Заедно, тие нудат концептуална архитектура за анализа на реформата на корпоративното управување во Македонија како политички и институционален процес обликуван од ограничувања, контингентност и преговарање, наместо од технократски дизајн.</w:t>
      </w:r>
    </w:p>
    <w:p w14:paraId="5343A18F" w14:textId="77777777" w:rsidR="00747F44" w:rsidRDefault="00D533F0" w:rsidP="00323229">
      <w:pPr>
        <w:pStyle w:val="BodyText"/>
        <w:spacing w:before="240"/>
        <w:ind w:firstLine="720"/>
        <w:jc w:val="both"/>
        <w:rPr>
          <w:lang w:val="mk-MK"/>
        </w:rPr>
      </w:pPr>
      <w:r>
        <w:rPr>
          <w:lang w:val="mk-MK"/>
        </w:rPr>
        <w:t>Заклучно,</w:t>
      </w:r>
      <w:r w:rsidR="00845FB5">
        <w:rPr>
          <w:lang w:val="mk-MK"/>
        </w:rPr>
        <w:t xml:space="preserve"> в</w:t>
      </w:r>
      <w:r w:rsidR="00845FB5" w:rsidRPr="00845FB5">
        <w:rPr>
          <w:lang w:val="mk-MK"/>
        </w:rPr>
        <w:t xml:space="preserve">о однос на самото темпо на транспонирање на конкретните инструменти на </w:t>
      </w:r>
      <w:r w:rsidR="00845FB5" w:rsidRPr="009714E3">
        <w:rPr>
          <w:i/>
          <w:iCs/>
          <w:lang w:val="mk-MK"/>
        </w:rPr>
        <w:t>acquis</w:t>
      </w:r>
      <w:r w:rsidR="00845FB5" w:rsidRPr="00845FB5">
        <w:rPr>
          <w:lang w:val="mk-MK"/>
        </w:rPr>
        <w:t xml:space="preserve"> релевантни за корпоративното управување и учеството на вработените, состојбата е </w:t>
      </w:r>
      <w:r w:rsidR="009714E3">
        <w:rPr>
          <w:lang w:val="mk-MK"/>
        </w:rPr>
        <w:t>релативно</w:t>
      </w:r>
      <w:r w:rsidR="00845FB5" w:rsidRPr="00845FB5">
        <w:rPr>
          <w:lang w:val="mk-MK"/>
        </w:rPr>
        <w:t xml:space="preserve"> сложена. Со поттикнувањето на земjите кандидати да го забрза</w:t>
      </w:r>
      <w:r w:rsidR="00747F44">
        <w:rPr>
          <w:lang w:val="mk-MK"/>
        </w:rPr>
        <w:t>а</w:t>
      </w:r>
      <w:r w:rsidR="00845FB5" w:rsidRPr="00845FB5">
        <w:rPr>
          <w:lang w:val="mk-MK"/>
        </w:rPr>
        <w:t xml:space="preserve">т усвоjувањето и имплементациjата на </w:t>
      </w:r>
      <w:r w:rsidR="00845FB5" w:rsidRPr="00845FB5">
        <w:rPr>
          <w:i/>
          <w:iCs/>
          <w:lang w:val="mk-MK"/>
        </w:rPr>
        <w:t>acquis</w:t>
      </w:r>
      <w:r w:rsidR="00845FB5" w:rsidRPr="00845FB5">
        <w:rPr>
          <w:lang w:val="mk-MK"/>
        </w:rPr>
        <w:t xml:space="preserve">, Планот за раст на ЕУ за Западен Балкан теоретски би можел да го забрза и самиот процес на пристапување, меѓутоа четирите столба на овoj план се меѓусебно испреплетени, со што пристапот до Единствениот пазар зависи од спроведувањето на фундаменталните реформи. </w:t>
      </w:r>
    </w:p>
    <w:p w14:paraId="470B4709" w14:textId="293BBEB5" w:rsidR="00F976C4" w:rsidRDefault="00845FB5" w:rsidP="00323229">
      <w:pPr>
        <w:pStyle w:val="BodyText"/>
        <w:spacing w:before="240"/>
        <w:ind w:firstLine="720"/>
        <w:jc w:val="both"/>
        <w:rPr>
          <w:lang w:val="mk-MK"/>
        </w:rPr>
      </w:pPr>
      <w:r w:rsidRPr="00845FB5">
        <w:rPr>
          <w:lang w:val="mk-MK"/>
        </w:rPr>
        <w:t>Ова создава своевиден проблем на правна цикличност за Македонија</w:t>
      </w:r>
      <w:r w:rsidR="00747F44">
        <w:rPr>
          <w:lang w:val="mk-MK"/>
        </w:rPr>
        <w:t xml:space="preserve"> затоа што</w:t>
      </w:r>
      <w:r w:rsidRPr="00845FB5">
        <w:rPr>
          <w:lang w:val="mk-MK"/>
        </w:rPr>
        <w:t xml:space="preserve"> транспонирањето на директивите за учество на вработените (SE Директивата, EWC Директивата, Директивата 2002/14/ЕЗ) е по природа зависно од реформите во правосудството и административните капацитети</w:t>
      </w:r>
      <w:r w:rsidR="005068E5">
        <w:rPr>
          <w:lang w:val="mk-MK"/>
        </w:rPr>
        <w:t>,</w:t>
      </w:r>
      <w:r w:rsidRPr="00845FB5">
        <w:rPr>
          <w:lang w:val="mk-MK"/>
        </w:rPr>
        <w:t xml:space="preserve"> а токму тие реформи се блокирани или бавни поради политичките тензии околу уставните промени. Во случаjот на Македониjа, земjата треба да продолжи со испорачување на реформи поврзани со ЕУ, особено во рамките на кластерот на фундамент</w:t>
      </w:r>
      <w:r w:rsidR="005068E5">
        <w:rPr>
          <w:lang w:val="mk-MK"/>
        </w:rPr>
        <w:t>и</w:t>
      </w:r>
      <w:r w:rsidRPr="00845FB5">
        <w:rPr>
          <w:lang w:val="mk-MK"/>
        </w:rPr>
        <w:t>, особено правосудството, борбата против корупцијата и организираниот криминал, а довербата во правосудниот систем треба да се зајакне.</w:t>
      </w:r>
    </w:p>
    <w:p w14:paraId="3A04D7EF" w14:textId="4C1D07E1" w:rsidR="0004441F" w:rsidRDefault="00174D0B" w:rsidP="008910B0">
      <w:pPr>
        <w:pStyle w:val="BodyText"/>
        <w:spacing w:before="240" w:after="240"/>
        <w:ind w:firstLine="720"/>
        <w:jc w:val="both"/>
        <w:rPr>
          <w:lang w:val="mk-MK"/>
        </w:rPr>
      </w:pPr>
      <w:r w:rsidRPr="00174D0B">
        <w:rPr>
          <w:lang w:val="mk-MK"/>
        </w:rPr>
        <w:t xml:space="preserve">На макро теоретско ниво, случаjот на Македонија </w:t>
      </w:r>
      <w:r w:rsidR="00E47F4D">
        <w:rPr>
          <w:lang w:val="mk-MK"/>
        </w:rPr>
        <w:t xml:space="preserve">може да се потрпе на </w:t>
      </w:r>
      <w:r w:rsidRPr="00174D0B">
        <w:rPr>
          <w:lang w:val="mk-MK"/>
        </w:rPr>
        <w:t>моделот на надворешни стимули во пристапните процеси</w:t>
      </w:r>
      <w:r w:rsidR="00E47F4D">
        <w:rPr>
          <w:lang w:val="mk-MK"/>
        </w:rPr>
        <w:t xml:space="preserve"> доколку властите и граѓаните центат дека:</w:t>
      </w:r>
      <w:r w:rsidRPr="00174D0B">
        <w:rPr>
          <w:lang w:val="mk-MK"/>
        </w:rPr>
        <w:t xml:space="preserve"> (а) наградата е веродостоjна и достижна, (б) трошоците на усогласувањето не ги надминуваат придобивките, и (в) домашните вето-играчи немаат доволна моќ да го блокираат реформскиот процес.</w:t>
      </w:r>
      <w:r w:rsidR="00E47F4D">
        <w:rPr>
          <w:lang w:val="mk-MK"/>
        </w:rPr>
        <w:t xml:space="preserve"> Во овој момент, ваквото сценарио не е гарантирано</w:t>
      </w:r>
      <w:r w:rsidR="003772A8">
        <w:rPr>
          <w:lang w:val="mk-MK"/>
        </w:rPr>
        <w:t>.</w:t>
      </w:r>
      <w:r w:rsidR="003772A8">
        <w:rPr>
          <w:rStyle w:val="FootnoteReference"/>
          <w:lang w:val="mk-MK"/>
        </w:rPr>
        <w:footnoteReference w:id="794"/>
      </w:r>
      <w:r w:rsidR="003772A8">
        <w:rPr>
          <w:lang w:val="mk-MK"/>
        </w:rPr>
        <w:t xml:space="preserve"> </w:t>
      </w:r>
      <w:r w:rsidRPr="00174D0B">
        <w:rPr>
          <w:lang w:val="mk-MK"/>
        </w:rPr>
        <w:t xml:space="preserve">Сето ова упатува на заклучок дека темпото на транспонирање во Македонија не е примарно технички проблем на недостиг на законодавен капацитет, туку политичко-структурен проблем на нарушена рамнотежа на стимули, во кој ефектот на условувањето е ослабен истовремено од надворешни (билатерална блокада) и внатрешни (политичка </w:t>
      </w:r>
      <w:r w:rsidRPr="00174D0B">
        <w:rPr>
          <w:lang w:val="mk-MK"/>
        </w:rPr>
        <w:lastRenderedPageBreak/>
        <w:t>поларизација</w:t>
      </w:r>
      <w:r w:rsidR="00F63CD4">
        <w:rPr>
          <w:lang w:val="mk-MK"/>
        </w:rPr>
        <w:t xml:space="preserve"> и</w:t>
      </w:r>
      <w:r w:rsidRPr="00174D0B">
        <w:rPr>
          <w:lang w:val="mk-MK"/>
        </w:rPr>
        <w:t xml:space="preserve"> слабо правосудство) фактори. Транспонирањето на </w:t>
      </w:r>
      <w:r w:rsidRPr="00F63CD4">
        <w:rPr>
          <w:i/>
          <w:iCs/>
          <w:lang w:val="mk-MK"/>
        </w:rPr>
        <w:t>acquis</w:t>
      </w:r>
      <w:r w:rsidRPr="00174D0B">
        <w:rPr>
          <w:lang w:val="mk-MK"/>
        </w:rPr>
        <w:t xml:space="preserve"> во областа на корпоративното управување и правата на вработените</w:t>
      </w:r>
      <w:r w:rsidR="00F63CD4">
        <w:rPr>
          <w:lang w:val="mk-MK"/>
        </w:rPr>
        <w:t>,</w:t>
      </w:r>
      <w:r w:rsidRPr="00174D0B">
        <w:rPr>
          <w:lang w:val="mk-MK"/>
        </w:rPr>
        <w:t xml:space="preserve"> области кои по природа бараат стабилни институции, функционален социjален дijалог и независно правосудство</w:t>
      </w:r>
      <w:r w:rsidR="00F63CD4">
        <w:rPr>
          <w:lang w:val="mk-MK"/>
        </w:rPr>
        <w:t>,</w:t>
      </w:r>
      <w:r w:rsidRPr="00174D0B">
        <w:rPr>
          <w:lang w:val="mk-MK"/>
        </w:rPr>
        <w:t xml:space="preserve"> е директ</w:t>
      </w:r>
      <w:r w:rsidR="00665D59">
        <w:rPr>
          <w:lang w:val="mk-MK"/>
        </w:rPr>
        <w:t>ен</w:t>
      </w:r>
      <w:r w:rsidRPr="00174D0B">
        <w:rPr>
          <w:lang w:val="mk-MK"/>
        </w:rPr>
        <w:t xml:space="preserve"> заложник на оваа структурна дисфункциjа.</w:t>
      </w:r>
    </w:p>
    <w:p w14:paraId="72A8F962" w14:textId="42AF30A1" w:rsidR="00806EC3" w:rsidRPr="006C0E23" w:rsidRDefault="00806EC3" w:rsidP="006C0E23">
      <w:pPr>
        <w:pStyle w:val="Heading1"/>
        <w:numPr>
          <w:ilvl w:val="0"/>
          <w:numId w:val="14"/>
        </w:numPr>
        <w:jc w:val="both"/>
      </w:pPr>
      <w:bookmarkStart w:id="91" w:name="_Toc230523944"/>
      <w:r w:rsidRPr="00806EC3">
        <w:t>Структурна трансформација на корпоративното уредување</w:t>
      </w:r>
      <w:bookmarkEnd w:id="91"/>
    </w:p>
    <w:p w14:paraId="39822046" w14:textId="6BE42B89" w:rsidR="00252B5B" w:rsidRDefault="00252B5B" w:rsidP="006C0E23">
      <w:pPr>
        <w:pStyle w:val="BodyText"/>
        <w:spacing w:before="240"/>
        <w:ind w:firstLine="720"/>
        <w:jc w:val="both"/>
        <w:rPr>
          <w:lang w:val="en-US"/>
        </w:rPr>
      </w:pPr>
      <w:r w:rsidRPr="00252B5B">
        <w:rPr>
          <w:lang w:val="mk-MK"/>
        </w:rPr>
        <w:t>Институционалните реформи во Македонија</w:t>
      </w:r>
      <w:r>
        <w:rPr>
          <w:lang w:val="mk-MK"/>
        </w:rPr>
        <w:t xml:space="preserve"> во минатото</w:t>
      </w:r>
      <w:r w:rsidRPr="00252B5B">
        <w:rPr>
          <w:lang w:val="mk-MK"/>
        </w:rPr>
        <w:t xml:space="preserve"> често се третира</w:t>
      </w:r>
      <w:r w:rsidR="00BF03E3">
        <w:rPr>
          <w:lang w:val="mk-MK"/>
        </w:rPr>
        <w:t>ле</w:t>
      </w:r>
      <w:r w:rsidRPr="00252B5B">
        <w:rPr>
          <w:lang w:val="mk-MK"/>
        </w:rPr>
        <w:t xml:space="preserve"> како вежба во пресадување на готови западни модели врз кревок домашен терен. Сепак, лекциите од историскиот институционализам нѐ потсетуваат дека одржливите промени ретко произлегуваат од нагли прекини. Тие се развиваат постепено, преку реконфигурација на постојните институционални логики, често во моменти што изгледаат обични, наместо револуционерни. Во јазикот на Streeck и Thelen, институционалната трансформација се одвива преку насл</w:t>
      </w:r>
      <w:r w:rsidR="004A3E84">
        <w:rPr>
          <w:lang w:val="mk-MK"/>
        </w:rPr>
        <w:t>ојување</w:t>
      </w:r>
      <w:r w:rsidRPr="00252B5B">
        <w:rPr>
          <w:lang w:val="mk-MK"/>
        </w:rPr>
        <w:t>, конверзија, одминување и поместување, начини на промена што функционираат под површината на политичките кризи, но кумулативно ја преобликуваат архитектурата на управувањето.</w:t>
      </w:r>
      <w:r w:rsidR="003B32D8">
        <w:rPr>
          <w:rStyle w:val="FootnoteReference"/>
          <w:lang w:val="mk-MK"/>
        </w:rPr>
        <w:footnoteReference w:id="795"/>
      </w:r>
      <w:r w:rsidRPr="00252B5B">
        <w:rPr>
          <w:lang w:val="mk-MK"/>
        </w:rPr>
        <w:t xml:space="preserve"> Ова разбирање е клучно за земја како Македонија, каде формалното усогласување со рамките на ЕУ сѐ уште не се претворило во консолидирање на транспарентно, отчетно и општествено вгнездено корпоративно управување.</w:t>
      </w:r>
      <w:r w:rsidR="003B32D8">
        <w:rPr>
          <w:rStyle w:val="FootnoteReference"/>
          <w:lang w:val="mk-MK"/>
        </w:rPr>
        <w:footnoteReference w:id="796"/>
      </w:r>
    </w:p>
    <w:p w14:paraId="5E8F1AC7" w14:textId="5FD0F940" w:rsidR="00282B47" w:rsidRDefault="00282B47" w:rsidP="006C0E23">
      <w:pPr>
        <w:pStyle w:val="BodyText"/>
        <w:spacing w:before="240"/>
        <w:ind w:firstLine="720"/>
        <w:jc w:val="both"/>
        <w:rPr>
          <w:lang w:val="mk-MK"/>
        </w:rPr>
      </w:pPr>
      <w:r w:rsidRPr="00282B47">
        <w:rPr>
          <w:lang w:val="mk-MK"/>
        </w:rPr>
        <w:t>Кризите</w:t>
      </w:r>
      <w:r>
        <w:rPr>
          <w:lang w:val="mk-MK"/>
        </w:rPr>
        <w:t>, како што е своевидниот застој во однос на ЕУ преговорите во моментов</w:t>
      </w:r>
      <w:r w:rsidR="002F7A2C">
        <w:rPr>
          <w:lang w:val="mk-MK"/>
        </w:rPr>
        <w:t xml:space="preserve"> што беше дискутиран во ова поглавје</w:t>
      </w:r>
      <w:r>
        <w:rPr>
          <w:lang w:val="mk-MK"/>
        </w:rPr>
        <w:t>,</w:t>
      </w:r>
      <w:r w:rsidRPr="00282B47">
        <w:rPr>
          <w:lang w:val="mk-MK"/>
        </w:rPr>
        <w:t xml:space="preserve"> ја разоткриваат кревкоста на идеите. Како што забележува </w:t>
      </w:r>
      <w:r w:rsidR="002F7A2C">
        <w:rPr>
          <w:lang w:val="mk-MK"/>
        </w:rPr>
        <w:t>академскиот преглед</w:t>
      </w:r>
      <w:r w:rsidRPr="00282B47">
        <w:rPr>
          <w:lang w:val="mk-MK"/>
        </w:rPr>
        <w:t>, длабоките економски нарушувања се моменти на политичка вистина, прилики во кои наследените репертоари на политики на една ера ги откриваат и своите ограничувања и своите латентни потенцијали за обновување. Македонскиот случај нѐ повикува повторно да размислиме како идеите се движат низ институциите, како учењето се посредува преку моќта и како парадигмите се менуваат кога постојните рамки не успеваат да ги објаснат или разрешат новите реалности. Со тоа, се отвора и едно пошироко прашање што стои во сржта на реформата на социјалната држава и на трансформацијата на управувањето</w:t>
      </w:r>
      <w:r w:rsidR="00E74538">
        <w:rPr>
          <w:lang w:val="mk-MK"/>
        </w:rPr>
        <w:t>, односно</w:t>
      </w:r>
      <w:r w:rsidRPr="00282B47">
        <w:rPr>
          <w:lang w:val="mk-MK"/>
        </w:rPr>
        <w:t xml:space="preserve"> под кои услови политичките системи како </w:t>
      </w:r>
      <w:r w:rsidR="00E74538">
        <w:rPr>
          <w:lang w:val="mk-MK"/>
        </w:rPr>
        <w:t>нашиот</w:t>
      </w:r>
      <w:r w:rsidRPr="00282B47">
        <w:rPr>
          <w:lang w:val="mk-MK"/>
        </w:rPr>
        <w:t xml:space="preserve"> можат да учат</w:t>
      </w:r>
      <w:r w:rsidR="00E74538">
        <w:rPr>
          <w:lang w:val="mk-MK"/>
        </w:rPr>
        <w:t xml:space="preserve"> и да напредуваат</w:t>
      </w:r>
      <w:r w:rsidRPr="00282B47">
        <w:rPr>
          <w:lang w:val="mk-MK"/>
        </w:rPr>
        <w:t>?</w:t>
      </w:r>
    </w:p>
    <w:p w14:paraId="12D9FB87" w14:textId="069837C6" w:rsidR="00E74538" w:rsidRDefault="00462C35" w:rsidP="006C0E23">
      <w:pPr>
        <w:pStyle w:val="BodyText"/>
        <w:spacing w:before="240"/>
        <w:ind w:firstLine="720"/>
        <w:jc w:val="both"/>
        <w:rPr>
          <w:lang w:val="en-US"/>
        </w:rPr>
      </w:pPr>
      <w:r w:rsidRPr="00462C35">
        <w:rPr>
          <w:lang w:val="mk-MK"/>
        </w:rPr>
        <w:t>Трудот на Peter Hall „Policy Paradigms, Social Learning, and the State“ (1993) останува темелен за одговор на тоа прашање. Тој го формулира креирањето политики како процес на општествено учење, во кој државата, сфатена не како единствен актер, туку како заедница од експерти, бирократи и политички елити, континуирано го интерпретира повратниот сигнал од своето опкружување. Промените на парадигмата настануваат кога самите претпоставки што го водат креирањето политики, што се смета за проблем и што се смета за решение, се доведуваат во прашање.</w:t>
      </w:r>
      <w:r w:rsidR="005F59C7">
        <w:rPr>
          <w:rStyle w:val="FootnoteReference"/>
          <w:lang w:val="mk-MK"/>
        </w:rPr>
        <w:footnoteReference w:id="797"/>
      </w:r>
      <w:r w:rsidRPr="00462C35">
        <w:rPr>
          <w:lang w:val="mk-MK"/>
        </w:rPr>
        <w:t xml:space="preserve"> Разграничувањето на Hall помеѓу промени од прв, втор и трет ред го опфаќа преминот од техничко прилагодување кон когнитивна трансформација. Сепак, како што јасно истакнува и самиот Hall, идеите не се движат слободно; тие добиваат тежина само кога се усогласени со институционалните интереси и политичките коалиции. Така, </w:t>
      </w:r>
      <w:r w:rsidR="005F59C7">
        <w:rPr>
          <w:lang w:val="mk-MK"/>
        </w:rPr>
        <w:t xml:space="preserve">на пример </w:t>
      </w:r>
      <w:r w:rsidRPr="00462C35">
        <w:rPr>
          <w:lang w:val="mk-MK"/>
        </w:rPr>
        <w:t xml:space="preserve">британскиот премин од кејнзијанство кон монетаризам не </w:t>
      </w:r>
      <w:r w:rsidR="005F59C7">
        <w:rPr>
          <w:lang w:val="mk-MK"/>
        </w:rPr>
        <w:t>претставувал</w:t>
      </w:r>
      <w:r w:rsidRPr="00462C35">
        <w:rPr>
          <w:lang w:val="mk-MK"/>
        </w:rPr>
        <w:t xml:space="preserve"> само епистемолошка </w:t>
      </w:r>
      <w:r w:rsidRPr="00462C35">
        <w:rPr>
          <w:lang w:val="mk-MK"/>
        </w:rPr>
        <w:lastRenderedPageBreak/>
        <w:t>еволуција, туку и</w:t>
      </w:r>
      <w:r w:rsidR="00E322EC">
        <w:rPr>
          <w:lang w:val="mk-MK"/>
        </w:rPr>
        <w:t xml:space="preserve"> целосна</w:t>
      </w:r>
      <w:r w:rsidRPr="00462C35">
        <w:rPr>
          <w:lang w:val="mk-MK"/>
        </w:rPr>
        <w:t xml:space="preserve"> реконфигурација на моќта</w:t>
      </w:r>
      <w:r w:rsidR="00E322EC">
        <w:rPr>
          <w:lang w:val="mk-MK"/>
        </w:rPr>
        <w:t xml:space="preserve"> и рестарт на системот</w:t>
      </w:r>
      <w:r w:rsidRPr="00462C35">
        <w:rPr>
          <w:lang w:val="mk-MK"/>
        </w:rPr>
        <w:t>.</w:t>
      </w:r>
      <w:r w:rsidR="00E322EC">
        <w:rPr>
          <w:rStyle w:val="FootnoteReference"/>
          <w:lang w:val="mk-MK"/>
        </w:rPr>
        <w:footnoteReference w:id="798"/>
      </w:r>
    </w:p>
    <w:p w14:paraId="14D79AA6" w14:textId="4404B0FB" w:rsidR="00582A87" w:rsidRDefault="00582A87" w:rsidP="006C0E23">
      <w:pPr>
        <w:pStyle w:val="BodyText"/>
        <w:spacing w:before="240"/>
        <w:ind w:firstLine="720"/>
        <w:jc w:val="both"/>
        <w:rPr>
          <w:lang w:val="en-US"/>
        </w:rPr>
      </w:pPr>
      <w:r w:rsidRPr="00582A87">
        <w:rPr>
          <w:lang w:val="mk-MK"/>
        </w:rPr>
        <w:t xml:space="preserve">Оваа интеракција помеѓу „размислување“ и „владеење“, </w:t>
      </w:r>
      <w:r>
        <w:rPr>
          <w:lang w:val="mk-MK"/>
        </w:rPr>
        <w:t>согласно</w:t>
      </w:r>
      <w:r w:rsidRPr="00582A87">
        <w:rPr>
          <w:lang w:val="mk-MK"/>
        </w:rPr>
        <w:t xml:space="preserve"> познатата формулација на Heclo,</w:t>
      </w:r>
      <w:r w:rsidR="003B5FB7">
        <w:rPr>
          <w:rStyle w:val="FootnoteReference"/>
          <w:lang w:val="mk-MK"/>
        </w:rPr>
        <w:footnoteReference w:id="799"/>
      </w:r>
      <w:r w:rsidRPr="00582A87">
        <w:rPr>
          <w:lang w:val="mk-MK"/>
        </w:rPr>
        <w:t xml:space="preserve"> претставува мост помеѓу теоријата на парадигми на Hall и институционализ</w:t>
      </w:r>
      <w:r w:rsidR="00484DCF">
        <w:rPr>
          <w:lang w:val="mk-MK"/>
        </w:rPr>
        <w:t>мот центиран на актери</w:t>
      </w:r>
      <w:r w:rsidRPr="00582A87">
        <w:rPr>
          <w:lang w:val="mk-MK"/>
        </w:rPr>
        <w:t xml:space="preserve"> на Scharpf. Scharpf нѐ потсетува дека креирањето политики секогаш е сместено во институционални контексти што ги структурираат </w:t>
      </w:r>
      <w:r w:rsidR="00484DCF">
        <w:rPr>
          <w:lang w:val="mk-MK"/>
        </w:rPr>
        <w:t>мотивациите</w:t>
      </w:r>
      <w:r w:rsidRPr="00582A87">
        <w:rPr>
          <w:lang w:val="mk-MK"/>
        </w:rPr>
        <w:t xml:space="preserve"> и перцепциите. Актерите се ограничено рационални</w:t>
      </w:r>
      <w:r w:rsidR="00DC1B4E">
        <w:rPr>
          <w:lang w:val="mk-MK"/>
        </w:rPr>
        <w:t xml:space="preserve"> затоа што</w:t>
      </w:r>
      <w:r w:rsidRPr="00582A87">
        <w:rPr>
          <w:lang w:val="mk-MK"/>
        </w:rPr>
        <w:t xml:space="preserve"> нивните когнитивни и нормативни ориентации се социјално конструирани и институционално вградени. Оттука, учењето во политиките не може да се разбере како неутрално апсорбирање на докази, туку како процес филтриран преку вредности, идентитети и позициони интереси. Ова сознание ја усложнува релативно технократската визија на Hall за учењето, откривајќи ја неговата политичка економија, фактот дека оние што располагаат со моќ често имаат</w:t>
      </w:r>
      <w:r w:rsidR="0025019E">
        <w:rPr>
          <w:lang w:val="mk-MK"/>
        </w:rPr>
        <w:t xml:space="preserve"> </w:t>
      </w:r>
      <w:r w:rsidRPr="00582A87">
        <w:rPr>
          <w:lang w:val="mk-MK"/>
        </w:rPr>
        <w:t xml:space="preserve">способност </w:t>
      </w:r>
      <w:r w:rsidR="0025019E">
        <w:rPr>
          <w:lang w:val="mk-MK"/>
        </w:rPr>
        <w:t xml:space="preserve">едноставно </w:t>
      </w:r>
      <w:r w:rsidRPr="00582A87">
        <w:rPr>
          <w:lang w:val="mk-MK"/>
        </w:rPr>
        <w:t>да си дозволат да не учат.</w:t>
      </w:r>
      <w:r w:rsidR="0025019E">
        <w:rPr>
          <w:rStyle w:val="FootnoteReference"/>
          <w:lang w:val="mk-MK"/>
        </w:rPr>
        <w:footnoteReference w:id="800"/>
      </w:r>
    </w:p>
    <w:p w14:paraId="605EDEE1" w14:textId="06D61EE2" w:rsidR="00E17EAB" w:rsidRDefault="00E17EAB" w:rsidP="006C0E23">
      <w:pPr>
        <w:pStyle w:val="BodyText"/>
        <w:spacing w:before="240"/>
        <w:ind w:firstLine="720"/>
        <w:jc w:val="both"/>
        <w:rPr>
          <w:lang w:val="mk-MK"/>
        </w:rPr>
      </w:pPr>
      <w:r w:rsidRPr="00E17EAB">
        <w:rPr>
          <w:lang w:val="mk-MK"/>
        </w:rPr>
        <w:t>Конструктивистичката политичка економија, особено преку Blyth и Hay, дополнително го продлабочува овој аргумент. Во услови на Knight-овска неизвесност, моменти кога и природата на кризата и хиерархијата на интереси се нејасни, идеите стануваат организирачки механизми. Тие дефинираат што актерите перципираат како можно и пожелно. Политичките претприемачи кои умеат ефективно да ги наративизираат</w:t>
      </w:r>
      <w:r w:rsidR="008A26F3">
        <w:rPr>
          <w:lang w:val="mk-MK"/>
        </w:rPr>
        <w:t xml:space="preserve"> и управуваат</w:t>
      </w:r>
      <w:r w:rsidRPr="00E17EAB">
        <w:rPr>
          <w:lang w:val="mk-MK"/>
        </w:rPr>
        <w:t xml:space="preserve"> кризите, усогласувајќи ја неизвесноста со нова каузална приказна, можат да реконституираат коалиции околу нови политички ориентации. Така, кризите стануваат моменти на неуспех, </w:t>
      </w:r>
      <w:r w:rsidR="008A26F3">
        <w:rPr>
          <w:lang w:val="mk-MK"/>
        </w:rPr>
        <w:t>но истовремено и</w:t>
      </w:r>
      <w:r w:rsidRPr="00E17EAB">
        <w:rPr>
          <w:lang w:val="mk-MK"/>
        </w:rPr>
        <w:t xml:space="preserve"> лаборатории на имагинација.</w:t>
      </w:r>
      <w:r w:rsidR="008A26F3">
        <w:rPr>
          <w:rStyle w:val="FootnoteReference"/>
          <w:lang w:val="mk-MK"/>
        </w:rPr>
        <w:footnoteReference w:id="801"/>
      </w:r>
      <w:r w:rsidRPr="00E17EAB">
        <w:rPr>
          <w:lang w:val="mk-MK"/>
        </w:rPr>
        <w:t xml:space="preserve"> Сепак, институционалната инерција опстојува и во услови на неизвесност</w:t>
      </w:r>
      <w:r w:rsidR="008A26F3">
        <w:rPr>
          <w:lang w:val="mk-MK"/>
        </w:rPr>
        <w:t xml:space="preserve"> затоа што</w:t>
      </w:r>
      <w:r w:rsidRPr="00E17EAB">
        <w:rPr>
          <w:lang w:val="mk-MK"/>
        </w:rPr>
        <w:t xml:space="preserve"> кога се соочуваат со непознатото, креаторите на политики често се потпираат на постојните институционални сидра, доверувајќи се на нивната процедур</w:t>
      </w:r>
      <w:r w:rsidR="00B56ED3">
        <w:rPr>
          <w:lang w:val="mk-MK"/>
        </w:rPr>
        <w:t>ал</w:t>
      </w:r>
      <w:r w:rsidRPr="00E17EAB">
        <w:rPr>
          <w:lang w:val="mk-MK"/>
        </w:rPr>
        <w:t>на стабилност, дури и кога нивната суштинска ефективност се намалува.</w:t>
      </w:r>
      <w:r w:rsidR="00B56ED3">
        <w:rPr>
          <w:rStyle w:val="FootnoteReference"/>
          <w:lang w:val="mk-MK"/>
        </w:rPr>
        <w:footnoteReference w:id="802"/>
      </w:r>
    </w:p>
    <w:p w14:paraId="1BFFC528" w14:textId="000AF07C" w:rsidR="00832E76" w:rsidRDefault="00832E76" w:rsidP="006C0E23">
      <w:pPr>
        <w:pStyle w:val="BodyText"/>
        <w:spacing w:before="240"/>
        <w:ind w:firstLine="720"/>
        <w:jc w:val="both"/>
        <w:rPr>
          <w:lang w:val="mk-MK"/>
        </w:rPr>
      </w:pPr>
      <w:r w:rsidRPr="00832E76">
        <w:rPr>
          <w:lang w:val="mk-MK"/>
        </w:rPr>
        <w:t xml:space="preserve">Во оваа теоретска рамка, трудот на Hemerijck (2018) „Social Investment as a Policy Paradigm“ го добива својот трансформативен потенцијал. Тој тврди дека социјалните држави минуваат низ парадигматска реориентација, од компензација на пазарните неуспеси кон инвестирање во човечките капацитети низ животниот </w:t>
      </w:r>
      <w:r w:rsidR="00AD2134">
        <w:rPr>
          <w:lang w:val="mk-MK"/>
        </w:rPr>
        <w:t>в</w:t>
      </w:r>
      <w:r w:rsidRPr="00832E76">
        <w:rPr>
          <w:lang w:val="mk-MK"/>
        </w:rPr>
        <w:t>ек. Социјалната инвестиција ја преформулира социјалната политика како продуктивен фактор што ја унапредува вработливоста, еднаквоста и долгорочната фискална одржливост</w:t>
      </w:r>
      <w:r w:rsidR="00AD2134">
        <w:rPr>
          <w:lang w:val="mk-MK"/>
        </w:rPr>
        <w:t xml:space="preserve"> наместо </w:t>
      </w:r>
      <w:r w:rsidR="00AD2134" w:rsidRPr="00832E76">
        <w:rPr>
          <w:lang w:val="mk-MK"/>
        </w:rPr>
        <w:t>како трошок што треба да се минимизира</w:t>
      </w:r>
      <w:r w:rsidRPr="00832E76">
        <w:rPr>
          <w:lang w:val="mk-MK"/>
        </w:rPr>
        <w:t>. Таа ја интегрира кејнзијанската заштита со неолибералната флексибилност, но настојува да ги надмине и двете преку ставање акцент на вклученоста и учеството. Образованието, грижата за деца, активните политики на пазарот на труд и доживотното учење стануваат новите „автоматски стабилизатори“ на постиндустриската економија, што е токму она што ѝ е потребно на Македонија.</w:t>
      </w:r>
    </w:p>
    <w:p w14:paraId="5C5FBCB0" w14:textId="004CF883" w:rsidR="00DF7726" w:rsidRDefault="00DF7726" w:rsidP="006C0E23">
      <w:pPr>
        <w:pStyle w:val="BodyText"/>
        <w:spacing w:before="240"/>
        <w:ind w:firstLine="720"/>
        <w:jc w:val="both"/>
        <w:rPr>
          <w:lang w:val="mk-MK"/>
        </w:rPr>
      </w:pPr>
      <w:r w:rsidRPr="00DF7726">
        <w:rPr>
          <w:lang w:val="mk-MK"/>
        </w:rPr>
        <w:t xml:space="preserve">Сепак, политиката на социјалната инвестиција е „тивка“ политика, повеќе поврзана со управување на </w:t>
      </w:r>
      <w:r w:rsidR="00F6723A">
        <w:rPr>
          <w:lang w:val="mk-MK"/>
        </w:rPr>
        <w:t xml:space="preserve">економски </w:t>
      </w:r>
      <w:r w:rsidRPr="00DF7726">
        <w:rPr>
          <w:lang w:val="mk-MK"/>
        </w:rPr>
        <w:t xml:space="preserve">отколку со </w:t>
      </w:r>
      <w:r w:rsidR="00F6723A">
        <w:rPr>
          <w:lang w:val="mk-MK"/>
        </w:rPr>
        <w:t>корпоративното управување</w:t>
      </w:r>
      <w:r w:rsidRPr="00DF7726">
        <w:rPr>
          <w:lang w:val="mk-MK"/>
        </w:rPr>
        <w:t xml:space="preserve">. </w:t>
      </w:r>
      <w:r w:rsidR="00F6723A">
        <w:rPr>
          <w:lang w:val="mk-MK"/>
        </w:rPr>
        <w:t xml:space="preserve">Тоа ја прави значајна </w:t>
      </w:r>
      <w:r w:rsidR="005B7860">
        <w:rPr>
          <w:lang w:val="mk-MK"/>
        </w:rPr>
        <w:t>е што ги носи истите</w:t>
      </w:r>
      <w:r w:rsidRPr="00DF7726">
        <w:rPr>
          <w:lang w:val="mk-MK"/>
        </w:rPr>
        <w:t xml:space="preserve"> долгорочни обврзувања што ги надминуваат изборните циклуси, насочени кон заедничкото добро, наместо кон партиски </w:t>
      </w:r>
      <w:r w:rsidRPr="00DF7726">
        <w:rPr>
          <w:lang w:val="mk-MK"/>
        </w:rPr>
        <w:lastRenderedPageBreak/>
        <w:t>конституенции</w:t>
      </w:r>
      <w:r w:rsidR="005B7860">
        <w:rPr>
          <w:lang w:val="mk-MK"/>
        </w:rPr>
        <w:t xml:space="preserve"> како што бара реформата на корпоративното управување</w:t>
      </w:r>
      <w:r w:rsidRPr="00DF7726">
        <w:rPr>
          <w:lang w:val="mk-MK"/>
        </w:rPr>
        <w:t>. Во таа смисла, парадигмата на Hemerijck зависи од институционално учење од многу висок ред</w:t>
      </w:r>
      <w:r w:rsidR="00685ED2">
        <w:rPr>
          <w:lang w:val="mk-MK"/>
        </w:rPr>
        <w:t>, односно од</w:t>
      </w:r>
      <w:r w:rsidRPr="00DF7726">
        <w:rPr>
          <w:lang w:val="mk-MK"/>
        </w:rPr>
        <w:t xml:space="preserve"> способноста на државите да ја интернализираат темпоралноста</w:t>
      </w:r>
      <w:r w:rsidR="00685ED2">
        <w:rPr>
          <w:lang w:val="mk-MK"/>
        </w:rPr>
        <w:t xml:space="preserve"> и</w:t>
      </w:r>
      <w:r w:rsidRPr="00DF7726">
        <w:rPr>
          <w:lang w:val="mk-MK"/>
        </w:rPr>
        <w:t xml:space="preserve"> да управуваат за иднината наместо за сегашноста. Овој облик на рефлексивност претставува недостасувачка алка во многу транзициски и развојни системи, вклучително и оние на постсоцијалистичка Европа.</w:t>
      </w:r>
    </w:p>
    <w:p w14:paraId="30D62A09" w14:textId="0A28183B" w:rsidR="00B5027E" w:rsidRDefault="004756CA" w:rsidP="006C0E23">
      <w:pPr>
        <w:pStyle w:val="BodyText"/>
        <w:spacing w:before="240"/>
        <w:ind w:firstLine="720"/>
        <w:jc w:val="both"/>
        <w:rPr>
          <w:lang w:val="mk-MK"/>
        </w:rPr>
      </w:pPr>
      <w:r w:rsidRPr="004756CA">
        <w:rPr>
          <w:lang w:val="mk-MK"/>
        </w:rPr>
        <w:t xml:space="preserve">Во контекстот на Македонија, каде институционалната меморија е фрагментирана, а координацијата на политиките често реактивна, прашањето </w:t>
      </w:r>
      <w:r w:rsidR="00514FCF">
        <w:rPr>
          <w:lang w:val="mk-MK"/>
        </w:rPr>
        <w:t xml:space="preserve">е </w:t>
      </w:r>
      <w:r w:rsidRPr="004756CA">
        <w:rPr>
          <w:lang w:val="mk-MK"/>
        </w:rPr>
        <w:t>дали можат да се појават нови идеи</w:t>
      </w:r>
      <w:r w:rsidR="00514FCF">
        <w:rPr>
          <w:lang w:val="mk-MK"/>
        </w:rPr>
        <w:t xml:space="preserve"> и</w:t>
      </w:r>
      <w:r w:rsidRPr="004756CA">
        <w:rPr>
          <w:lang w:val="mk-MK"/>
        </w:rPr>
        <w:t xml:space="preserve"> дали тие можат да се вградат во парадигми. Предизвикот лежи во трансформирањето на епизодичното учење, често поттикнато од влијанието на донатори или управување со кризи, во одржлива институционална адаптација. Управувачката средина во Македонија рефлектира многу од динамиките што ги опишуваат Hall и Hemerijck</w:t>
      </w:r>
      <w:r w:rsidR="00B5027E">
        <w:rPr>
          <w:lang w:val="mk-MK"/>
        </w:rPr>
        <w:t xml:space="preserve"> во однос на</w:t>
      </w:r>
      <w:r w:rsidRPr="004756CA">
        <w:rPr>
          <w:lang w:val="mk-MK"/>
        </w:rPr>
        <w:t xml:space="preserve"> променливи</w:t>
      </w:r>
      <w:r w:rsidR="00B5027E">
        <w:rPr>
          <w:lang w:val="mk-MK"/>
        </w:rPr>
        <w:t>те</w:t>
      </w:r>
      <w:r w:rsidRPr="004756CA">
        <w:rPr>
          <w:lang w:val="mk-MK"/>
        </w:rPr>
        <w:t xml:space="preserve"> модели на политики преземени од странство, бирократии ограничени од клиентелизам и реформски процеси </w:t>
      </w:r>
      <w:r w:rsidR="0043571C">
        <w:rPr>
          <w:lang w:val="mk-MK"/>
        </w:rPr>
        <w:t>фразирани</w:t>
      </w:r>
      <w:r w:rsidRPr="004756CA">
        <w:rPr>
          <w:lang w:val="mk-MK"/>
        </w:rPr>
        <w:t xml:space="preserve"> како технички прилагодувања наместо како парадигматски дебати. </w:t>
      </w:r>
    </w:p>
    <w:p w14:paraId="310FCAF1" w14:textId="77777777" w:rsidR="00D42A0D" w:rsidRDefault="0043571C" w:rsidP="006C0E23">
      <w:pPr>
        <w:pStyle w:val="BodyText"/>
        <w:spacing w:before="240"/>
        <w:ind w:firstLine="720"/>
        <w:jc w:val="both"/>
        <w:rPr>
          <w:lang w:val="mk-MK"/>
        </w:rPr>
      </w:pPr>
      <w:r>
        <w:rPr>
          <w:lang w:val="mk-MK"/>
        </w:rPr>
        <w:t>Од друга страна</w:t>
      </w:r>
      <w:r w:rsidR="004756CA" w:rsidRPr="004756CA">
        <w:rPr>
          <w:lang w:val="mk-MK"/>
        </w:rPr>
        <w:t>, таа исто така покажува и простори на вистинско учење, особено таму каде што меѓународните норми се пресекуваат со домашната</w:t>
      </w:r>
      <w:r w:rsidR="00300EF5">
        <w:rPr>
          <w:lang w:val="mk-MK"/>
        </w:rPr>
        <w:t xml:space="preserve"> сопственост врз процесите</w:t>
      </w:r>
      <w:r w:rsidR="004756CA" w:rsidRPr="004756CA">
        <w:rPr>
          <w:lang w:val="mk-MK"/>
        </w:rPr>
        <w:t>, како што се реформите во корпоративното управување или политиките за миграција. Овие се, во минијатура, примери на учење во услови на неизвесност, каде актерите експериментираат со нови каузални наративи и постепено го редефинираат значењето на „добра политика“ во својот контекст.</w:t>
      </w:r>
      <w:r w:rsidR="00300EF5">
        <w:rPr>
          <w:lang w:val="mk-MK"/>
        </w:rPr>
        <w:t xml:space="preserve"> </w:t>
      </w:r>
      <w:r w:rsidR="007422EF">
        <w:rPr>
          <w:lang w:val="mk-MK"/>
        </w:rPr>
        <w:t>Значи, с</w:t>
      </w:r>
      <w:r w:rsidR="007422EF" w:rsidRPr="007422EF">
        <w:rPr>
          <w:lang w:val="mk-MK"/>
        </w:rPr>
        <w:t xml:space="preserve">труктурната трансформација на корпоративното уредување во Македонија не може да се разбере без да се постави во </w:t>
      </w:r>
      <w:r w:rsidR="007422EF">
        <w:rPr>
          <w:lang w:val="mk-MK"/>
        </w:rPr>
        <w:t>својот</w:t>
      </w:r>
      <w:r w:rsidR="007422EF" w:rsidRPr="007422EF">
        <w:rPr>
          <w:lang w:val="mk-MK"/>
        </w:rPr>
        <w:t xml:space="preserve"> генетски контекст</w:t>
      </w:r>
      <w:r w:rsidR="007422EF">
        <w:rPr>
          <w:lang w:val="mk-MK"/>
        </w:rPr>
        <w:t>.</w:t>
      </w:r>
      <w:r w:rsidR="007422EF" w:rsidRPr="007422EF">
        <w:rPr>
          <w:lang w:val="mk-MK"/>
        </w:rPr>
        <w:t xml:space="preserve"> </w:t>
      </w:r>
    </w:p>
    <w:p w14:paraId="56EDB9A3" w14:textId="17D68D57" w:rsidR="00685ED2" w:rsidRDefault="007422EF" w:rsidP="006C0E23">
      <w:pPr>
        <w:pStyle w:val="BodyText"/>
        <w:spacing w:before="240"/>
        <w:ind w:firstLine="720"/>
        <w:jc w:val="both"/>
        <w:rPr>
          <w:lang w:val="mk-MK"/>
        </w:rPr>
      </w:pPr>
      <w:r>
        <w:rPr>
          <w:lang w:val="mk-MK"/>
        </w:rPr>
        <w:t>Т</w:t>
      </w:r>
      <w:r w:rsidRPr="007422EF">
        <w:rPr>
          <w:lang w:val="mk-MK"/>
        </w:rPr>
        <w:t>ранзицијата од самоуправна социјалистичка економија кон пазарна, која во правна смисла почна со Законот за претпријатија од 1988 година, уште во рамките на СФРЈ, и која се консолидира со првиот</w:t>
      </w:r>
      <w:r w:rsidR="007F5AB9">
        <w:rPr>
          <w:lang w:val="mk-MK"/>
        </w:rPr>
        <w:t xml:space="preserve"> таканаречен</w:t>
      </w:r>
      <w:r w:rsidRPr="007422EF">
        <w:rPr>
          <w:lang w:val="mk-MK"/>
        </w:rPr>
        <w:t xml:space="preserve"> капиталистички Закон за трговски друштва од 1996 година.</w:t>
      </w:r>
      <w:r w:rsidR="007F5AB9">
        <w:rPr>
          <w:rStyle w:val="FootnoteReference"/>
          <w:lang w:val="mk-MK"/>
        </w:rPr>
        <w:footnoteReference w:id="803"/>
      </w:r>
      <w:r w:rsidRPr="007422EF">
        <w:rPr>
          <w:lang w:val="mk-MK"/>
        </w:rPr>
        <w:t xml:space="preserve"> Стратешката одлука за пристапување кон ЕУ ја принуди Македонија да усвои сосема нов Закон за трговски друштва во 2004 година, со кој е воспоставен систем на регулација на трговски друштва сроден на оние во современите континентални европски држави.</w:t>
      </w:r>
      <w:r w:rsidR="007F5AB9">
        <w:rPr>
          <w:rStyle w:val="FootnoteReference"/>
          <w:lang w:val="mk-MK"/>
        </w:rPr>
        <w:footnoteReference w:id="804"/>
      </w:r>
      <w:r w:rsidRPr="007422EF">
        <w:rPr>
          <w:lang w:val="mk-MK"/>
        </w:rPr>
        <w:t xml:space="preserve"> Овој историски прекин претставуваше техничка замена на еден законски текст со друг</w:t>
      </w:r>
      <w:r w:rsidR="00D069BD">
        <w:rPr>
          <w:lang w:val="mk-MK"/>
        </w:rPr>
        <w:t xml:space="preserve"> и најавена </w:t>
      </w:r>
      <w:r w:rsidRPr="007422EF">
        <w:rPr>
          <w:lang w:val="mk-MK"/>
        </w:rPr>
        <w:t>суштинска промена на парадигмата од општествена сопственост и самоуправување кон акционерска структура, разграничување на управни и надзорни функции, и правна одговорност дефинирана во рамките на приватното право. Токму тука лежи и темелниот парадокс на македонската корпоративна трансформација</w:t>
      </w:r>
      <w:r w:rsidR="006117CD">
        <w:rPr>
          <w:lang w:val="mk-MK"/>
        </w:rPr>
        <w:t>,</w:t>
      </w:r>
      <w:r w:rsidRPr="007422EF">
        <w:rPr>
          <w:lang w:val="mk-MK"/>
        </w:rPr>
        <w:t xml:space="preserve"> правниот систем апсорбираше форма, но корпоративната практика го задржа своето наследено содржинско јадро.</w:t>
      </w:r>
    </w:p>
    <w:p w14:paraId="15365E9D" w14:textId="54DFE689" w:rsidR="006117CD" w:rsidRDefault="006117CD" w:rsidP="006C0E23">
      <w:pPr>
        <w:pStyle w:val="BodyText"/>
        <w:spacing w:before="240"/>
        <w:ind w:firstLine="720"/>
        <w:jc w:val="both"/>
        <w:rPr>
          <w:lang w:val="mk-MK"/>
        </w:rPr>
      </w:pPr>
      <w:r w:rsidRPr="006117CD">
        <w:rPr>
          <w:lang w:val="mk-MK"/>
        </w:rPr>
        <w:t>Моделот на регулација на трговски друштва во Македонија по 2004 година може да се смета за наjблизок до германската правна традиција на корпоративна регулација. Оваа ориентација кон германскиот модел е теоретски значајна бидејќи имплицира прифаќање на двостепениот систем на управување</w:t>
      </w:r>
      <w:r w:rsidR="004B1E36">
        <w:rPr>
          <w:lang w:val="mk-MK"/>
        </w:rPr>
        <w:t>,</w:t>
      </w:r>
      <w:r w:rsidRPr="006117CD">
        <w:rPr>
          <w:lang w:val="mk-MK"/>
        </w:rPr>
        <w:t xml:space="preserve"> со управен и надзорен одбор</w:t>
      </w:r>
      <w:r w:rsidR="004B1E36">
        <w:rPr>
          <w:lang w:val="mk-MK"/>
        </w:rPr>
        <w:t>,</w:t>
      </w:r>
      <w:r w:rsidRPr="006117CD">
        <w:rPr>
          <w:lang w:val="mk-MK"/>
        </w:rPr>
        <w:t xml:space="preserve"> кој е структурно поврзан со концептот на </w:t>
      </w:r>
      <w:r w:rsidR="004B1E36">
        <w:rPr>
          <w:lang w:val="mk-MK"/>
        </w:rPr>
        <w:t>коодлучување</w:t>
      </w:r>
      <w:r w:rsidRPr="006117CD">
        <w:rPr>
          <w:lang w:val="mk-MK"/>
        </w:rPr>
        <w:t xml:space="preserve"> (Mitbestimmung). Меѓутоа, македонскиот законодавец ја прифати само формалната архитектура на германскиот систем без да ја инкорпорира неговата суштина</w:t>
      </w:r>
      <w:r w:rsidR="004B1E36">
        <w:rPr>
          <w:lang w:val="mk-MK"/>
        </w:rPr>
        <w:t xml:space="preserve"> што се состои во</w:t>
      </w:r>
      <w:r w:rsidRPr="006117CD">
        <w:rPr>
          <w:lang w:val="mk-MK"/>
        </w:rPr>
        <w:t xml:space="preserve"> задолжителното </w:t>
      </w:r>
      <w:r w:rsidRPr="006117CD">
        <w:rPr>
          <w:lang w:val="mk-MK"/>
        </w:rPr>
        <w:lastRenderedPageBreak/>
        <w:t>учество на вработените во надзорните органи.</w:t>
      </w:r>
    </w:p>
    <w:p w14:paraId="76637868" w14:textId="648C36B5" w:rsidR="004B1E36" w:rsidRDefault="00937006" w:rsidP="006C0E23">
      <w:pPr>
        <w:pStyle w:val="BodyText"/>
        <w:spacing w:before="240"/>
        <w:ind w:firstLine="720"/>
        <w:jc w:val="both"/>
        <w:rPr>
          <w:lang w:val="mk-MK"/>
        </w:rPr>
      </w:pPr>
      <w:r w:rsidRPr="00937006">
        <w:rPr>
          <w:lang w:val="mk-MK"/>
        </w:rPr>
        <w:t>Ова е концептуален јаз кој во германскиот правен систем е надополнет со посебни закони</w:t>
      </w:r>
      <w:r w:rsidR="00857AE7">
        <w:rPr>
          <w:lang w:val="en-US"/>
        </w:rPr>
        <w:t>,</w:t>
      </w:r>
      <w:r w:rsidRPr="00937006">
        <w:rPr>
          <w:lang w:val="mk-MK"/>
        </w:rPr>
        <w:t xml:space="preserve"> Betriebsverfassungsgesetz и Mitbestimmungsgesetz</w:t>
      </w:r>
      <w:r w:rsidR="00857AE7">
        <w:rPr>
          <w:lang w:val="en-US"/>
        </w:rPr>
        <w:t>,</w:t>
      </w:r>
      <w:r w:rsidRPr="00937006">
        <w:rPr>
          <w:lang w:val="mk-MK"/>
        </w:rPr>
        <w:t xml:space="preserve"> додека во македонскиот правен поредок соодветниот нормативен корпус едноставно не постои. Во моментот, на Македонската берза (МСЕ) се котираат 104 компании, од кои 66 имаат едностепен систем на управување, а 38 двостепен систем.</w:t>
      </w:r>
      <w:r w:rsidR="00D82EBF">
        <w:rPr>
          <w:rStyle w:val="FootnoteReference"/>
          <w:lang w:val="mk-MK"/>
        </w:rPr>
        <w:footnoteReference w:id="805"/>
      </w:r>
      <w:r w:rsidRPr="00937006">
        <w:rPr>
          <w:lang w:val="mk-MK"/>
        </w:rPr>
        <w:t xml:space="preserve"> Оваа дистрибуција самата по себе е индикативна</w:t>
      </w:r>
      <w:r w:rsidR="00E47E23">
        <w:rPr>
          <w:lang w:val="mk-MK"/>
        </w:rPr>
        <w:t xml:space="preserve">, </w:t>
      </w:r>
      <w:r w:rsidRPr="00937006">
        <w:rPr>
          <w:lang w:val="mk-MK"/>
        </w:rPr>
        <w:t>мнозинството</w:t>
      </w:r>
      <w:r w:rsidR="00E47E23">
        <w:rPr>
          <w:lang w:val="mk-MK"/>
        </w:rPr>
        <w:t xml:space="preserve"> од</w:t>
      </w:r>
      <w:r w:rsidRPr="00937006">
        <w:rPr>
          <w:lang w:val="mk-MK"/>
        </w:rPr>
        <w:t xml:space="preserve"> компании</w:t>
      </w:r>
      <w:r w:rsidR="00E47E23">
        <w:rPr>
          <w:lang w:val="mk-MK"/>
        </w:rPr>
        <w:t>те</w:t>
      </w:r>
      <w:r w:rsidRPr="00937006">
        <w:rPr>
          <w:lang w:val="mk-MK"/>
        </w:rPr>
        <w:t xml:space="preserve"> го избрало едностепениот систем, кој структурно е понеповолна платформа за институционализирање на учеството на вработените во органите бидејќи не познава посебен надзорен орган во чиј состав би биле застапени вработените.</w:t>
      </w:r>
      <w:r w:rsidR="00EF44E8">
        <w:rPr>
          <w:lang w:val="mk-MK"/>
        </w:rPr>
        <w:t xml:space="preserve"> Иако, улогата на неизвршните директори би можела да ја пополни оваа празнина, сама</w:t>
      </w:r>
      <w:r w:rsidR="00791D35">
        <w:rPr>
          <w:lang w:val="mk-MK"/>
        </w:rPr>
        <w:t>та структура е иницијално неповолна.</w:t>
      </w:r>
    </w:p>
    <w:p w14:paraId="29C6DA8B" w14:textId="320EEE9B" w:rsidR="00791D35" w:rsidRDefault="00791D35" w:rsidP="006C0E23">
      <w:pPr>
        <w:pStyle w:val="BodyText"/>
        <w:spacing w:before="240"/>
        <w:ind w:firstLine="720"/>
        <w:jc w:val="both"/>
        <w:rPr>
          <w:lang w:val="mk-MK"/>
        </w:rPr>
      </w:pPr>
      <w:r w:rsidRPr="00791D35">
        <w:rPr>
          <w:lang w:val="mk-MK"/>
        </w:rPr>
        <w:t>Аналитички централ</w:t>
      </w:r>
      <w:r>
        <w:rPr>
          <w:lang w:val="mk-MK"/>
        </w:rPr>
        <w:t>иот заклучок е дека</w:t>
      </w:r>
      <w:r w:rsidRPr="00791D35">
        <w:rPr>
          <w:lang w:val="mk-MK"/>
        </w:rPr>
        <w:t xml:space="preserve"> постојниот ЗТД </w:t>
      </w:r>
      <w:r>
        <w:rPr>
          <w:lang w:val="mk-MK"/>
        </w:rPr>
        <w:t xml:space="preserve">не </w:t>
      </w:r>
      <w:r w:rsidRPr="00791D35">
        <w:rPr>
          <w:lang w:val="mk-MK"/>
        </w:rPr>
        <w:t>содржи механизми за финансиска партиципација на вработените</w:t>
      </w:r>
      <w:r w:rsidR="00B90EB4">
        <w:rPr>
          <w:lang w:val="mk-MK"/>
        </w:rPr>
        <w:t>. Покрај тоа што</w:t>
      </w:r>
      <w:r w:rsidRPr="00791D35">
        <w:rPr>
          <w:lang w:val="mk-MK"/>
        </w:rPr>
        <w:t xml:space="preserve"> </w:t>
      </w:r>
      <w:r w:rsidR="00B90EB4">
        <w:rPr>
          <w:lang w:val="mk-MK"/>
        </w:rPr>
        <w:t>в</w:t>
      </w:r>
      <w:r w:rsidRPr="00791D35">
        <w:rPr>
          <w:lang w:val="mk-MK"/>
        </w:rPr>
        <w:t>о ЗТД постојат одредби кои им овозможуваат на компаниите во нивниот статут да формираат фонд преку кој вработените можат да стекнат акции бесплатно или по намалена цена, до висина од една десетина од основниот капитал на друштвото</w:t>
      </w:r>
      <w:r w:rsidR="00E2558B">
        <w:rPr>
          <w:lang w:val="mk-MK"/>
        </w:rPr>
        <w:t>, примената на оваа одредба во пракса е целосно друга приказна.</w:t>
      </w:r>
      <w:r w:rsidRPr="00791D35">
        <w:rPr>
          <w:lang w:val="mk-MK"/>
        </w:rPr>
        <w:t xml:space="preserve"> </w:t>
      </w:r>
      <w:r w:rsidR="00E2558B">
        <w:rPr>
          <w:lang w:val="mk-MK"/>
        </w:rPr>
        <w:t>О</w:t>
      </w:r>
      <w:r w:rsidRPr="00791D35">
        <w:rPr>
          <w:lang w:val="mk-MK"/>
        </w:rPr>
        <w:t>ваа можност е на сила од 1 јануари 2012 година и е замислена со цел вработените да бидат активни учесници во акционерската структура преку нивното учество и гласање на собранието на акционерите</w:t>
      </w:r>
      <w:r w:rsidR="00207E72">
        <w:rPr>
          <w:lang w:val="mk-MK"/>
        </w:rPr>
        <w:t>.</w:t>
      </w:r>
    </w:p>
    <w:p w14:paraId="33FCCEDD" w14:textId="116E7907" w:rsidR="00207E72" w:rsidRDefault="00207E72" w:rsidP="006C0E23">
      <w:pPr>
        <w:pStyle w:val="BodyText"/>
        <w:spacing w:before="240"/>
        <w:ind w:firstLine="720"/>
        <w:jc w:val="both"/>
        <w:rPr>
          <w:lang w:val="mk-MK"/>
        </w:rPr>
      </w:pPr>
      <w:r>
        <w:rPr>
          <w:lang w:val="mk-MK"/>
        </w:rPr>
        <w:t>Д</w:t>
      </w:r>
      <w:r w:rsidRPr="00207E72">
        <w:rPr>
          <w:lang w:val="mk-MK"/>
        </w:rPr>
        <w:t>о денес</w:t>
      </w:r>
      <w:r>
        <w:rPr>
          <w:lang w:val="mk-MK"/>
        </w:rPr>
        <w:t>,</w:t>
      </w:r>
      <w:r w:rsidRPr="00207E72">
        <w:rPr>
          <w:lang w:val="mk-MK"/>
        </w:rPr>
        <w:t xml:space="preserve"> не постои релевантна практика која би покажала дека оваа одредба е имплементирана од страна на компаниите. Ова е, можеби, наjиндикативниот показател за расчекорот помеѓу нормативната рамка и корпоративната реалност во Македонија. Постоење на законска можност без практична примена во период подолг од </w:t>
      </w:r>
      <w:r>
        <w:rPr>
          <w:lang w:val="mk-MK"/>
        </w:rPr>
        <w:t xml:space="preserve">четиринаесет </w:t>
      </w:r>
      <w:r w:rsidRPr="00207E72">
        <w:rPr>
          <w:lang w:val="mk-MK"/>
        </w:rPr>
        <w:t xml:space="preserve">години </w:t>
      </w:r>
      <w:r w:rsidR="00575417">
        <w:rPr>
          <w:lang w:val="mk-MK"/>
        </w:rPr>
        <w:t>претставува јасен</w:t>
      </w:r>
      <w:r w:rsidRPr="00207E72">
        <w:rPr>
          <w:lang w:val="mk-MK"/>
        </w:rPr>
        <w:t xml:space="preserve"> симптом на подлабока структурна дисфункција</w:t>
      </w:r>
      <w:r w:rsidR="00575417">
        <w:rPr>
          <w:lang w:val="mk-MK"/>
        </w:rPr>
        <w:t>.</w:t>
      </w:r>
      <w:r w:rsidRPr="00207E72">
        <w:rPr>
          <w:lang w:val="mk-MK"/>
        </w:rPr>
        <w:t xml:space="preserve"> </w:t>
      </w:r>
      <w:r w:rsidR="00575417">
        <w:rPr>
          <w:lang w:val="mk-MK"/>
        </w:rPr>
        <w:t>О</w:t>
      </w:r>
      <w:r w:rsidRPr="00207E72">
        <w:rPr>
          <w:lang w:val="mk-MK"/>
        </w:rPr>
        <w:t>тсуство</w:t>
      </w:r>
      <w:r w:rsidR="00575417">
        <w:rPr>
          <w:lang w:val="mk-MK"/>
        </w:rPr>
        <w:t>то</w:t>
      </w:r>
      <w:r w:rsidRPr="00207E72">
        <w:rPr>
          <w:lang w:val="mk-MK"/>
        </w:rPr>
        <w:t xml:space="preserve"> на стимули за доброволно воведување на акциски шеми за вработени, непостоење на фискален механизам кој би ги направил таквите шеми атрактивни за работодавачите, и о</w:t>
      </w:r>
      <w:r w:rsidR="000050A3">
        <w:rPr>
          <w:lang w:val="mk-MK"/>
        </w:rPr>
        <w:t>т</w:t>
      </w:r>
      <w:r w:rsidRPr="00207E72">
        <w:rPr>
          <w:lang w:val="mk-MK"/>
        </w:rPr>
        <w:t>суство</w:t>
      </w:r>
      <w:r w:rsidR="000050A3">
        <w:rPr>
          <w:lang w:val="mk-MK"/>
        </w:rPr>
        <w:t>то</w:t>
      </w:r>
      <w:r w:rsidRPr="00207E72">
        <w:rPr>
          <w:lang w:val="mk-MK"/>
        </w:rPr>
        <w:t xml:space="preserve"> на синдикален притисок доволно силен да ги извојува таквите договори на колективна основа</w:t>
      </w:r>
      <w:r w:rsidR="000050A3">
        <w:rPr>
          <w:lang w:val="mk-MK"/>
        </w:rPr>
        <w:t>, јасно го отцртува статус-квото во Македонија.</w:t>
      </w:r>
    </w:p>
    <w:p w14:paraId="7F4DD61B" w14:textId="5AB95694" w:rsidR="000050A3" w:rsidRDefault="000050A3" w:rsidP="006C0E23">
      <w:pPr>
        <w:pStyle w:val="BodyText"/>
        <w:spacing w:before="240"/>
        <w:ind w:firstLine="720"/>
        <w:jc w:val="both"/>
        <w:rPr>
          <w:lang w:val="mk-MK"/>
        </w:rPr>
      </w:pPr>
      <w:r w:rsidRPr="000050A3">
        <w:rPr>
          <w:lang w:val="mk-MK"/>
        </w:rPr>
        <w:t xml:space="preserve">Во однос на структурата на сопственост, македонскиот корпоративен пејзаж е доминиран од концентрирана сопственост, феномен кој во академската литература е </w:t>
      </w:r>
      <w:r w:rsidR="00236AB1">
        <w:rPr>
          <w:lang w:val="mk-MK"/>
        </w:rPr>
        <w:t>теориски</w:t>
      </w:r>
      <w:r w:rsidRPr="000050A3">
        <w:rPr>
          <w:lang w:val="mk-MK"/>
        </w:rPr>
        <w:t xml:space="preserve"> поврзан со слабоста на правните институции. Слабите формални институционални контексти, кои обично се поврзани со ниско ниво на управување, ги засилуваат проблеми</w:t>
      </w:r>
      <w:r w:rsidR="006D7A38">
        <w:rPr>
          <w:lang w:val="mk-MK"/>
        </w:rPr>
        <w:t>те</w:t>
      </w:r>
      <w:r w:rsidRPr="000050A3">
        <w:rPr>
          <w:lang w:val="mk-MK"/>
        </w:rPr>
        <w:t xml:space="preserve"> помеѓу сопствениците и менаџерите и помеѓу </w:t>
      </w:r>
      <w:r w:rsidR="0021245A">
        <w:rPr>
          <w:lang w:val="mk-MK"/>
        </w:rPr>
        <w:t>мнозинските и малцинските</w:t>
      </w:r>
      <w:r w:rsidRPr="000050A3">
        <w:rPr>
          <w:lang w:val="mk-MK"/>
        </w:rPr>
        <w:t xml:space="preserve"> акционери, што често ги поттикнува акционерите да го зголемуваат своето учество со цел надминување на институционалните недостатоци.</w:t>
      </w:r>
    </w:p>
    <w:p w14:paraId="656E2B85" w14:textId="0D62C54F" w:rsidR="0021245A" w:rsidRPr="00791D35" w:rsidRDefault="0021245A" w:rsidP="006C0E23">
      <w:pPr>
        <w:pStyle w:val="BodyText"/>
        <w:spacing w:before="240"/>
        <w:ind w:firstLine="720"/>
        <w:jc w:val="both"/>
        <w:rPr>
          <w:lang w:val="mk-MK"/>
        </w:rPr>
      </w:pPr>
      <w:r w:rsidRPr="0021245A">
        <w:rPr>
          <w:lang w:val="mk-MK"/>
        </w:rPr>
        <w:t xml:space="preserve">Повеќето </w:t>
      </w:r>
      <w:r>
        <w:rPr>
          <w:lang w:val="mk-MK"/>
        </w:rPr>
        <w:t>котирани</w:t>
      </w:r>
      <w:r w:rsidRPr="0021245A">
        <w:rPr>
          <w:lang w:val="mk-MK"/>
        </w:rPr>
        <w:t xml:space="preserve"> акционерски друштва во Македонија имаат концентрирана структура на сопственост, при што управувањето обично зависи од неколку мнозински акционери, и истото важи за акционерски друштва и ДОО</w:t>
      </w:r>
      <w:r w:rsidR="0004251C">
        <w:rPr>
          <w:lang w:val="mk-MK"/>
        </w:rPr>
        <w:t xml:space="preserve"> што не котираат на берзата</w:t>
      </w:r>
      <w:r w:rsidRPr="0021245A">
        <w:rPr>
          <w:lang w:val="mk-MK"/>
        </w:rPr>
        <w:t>, каде концентрацијата на акционери генерално им дава на главните засегнати страни значително влијание врз управувањето на компанијата. Оваа структурна карактеристика директно го отежнува воспоставувањето на значајно учество на вработените во органите</w:t>
      </w:r>
      <w:r w:rsidR="005B5D3A">
        <w:rPr>
          <w:lang w:val="mk-MK"/>
        </w:rPr>
        <w:t xml:space="preserve"> затоа што</w:t>
      </w:r>
      <w:r w:rsidRPr="0021245A">
        <w:rPr>
          <w:lang w:val="mk-MK"/>
        </w:rPr>
        <w:t xml:space="preserve"> во компании контролирани од еден или неколку доминантни акционери, секој механизам на вклученост на вработените во одлучувањето нужно значи делење на </w:t>
      </w:r>
      <w:r w:rsidRPr="0021245A">
        <w:rPr>
          <w:lang w:val="mk-MK"/>
        </w:rPr>
        <w:lastRenderedPageBreak/>
        <w:t>моќта, а во услови на слаба правна заштита и концентрирана сопственост, тој стимул е структурно минимален.</w:t>
      </w:r>
    </w:p>
    <w:p w14:paraId="6D2CF876" w14:textId="69FB6F38" w:rsidR="006C0E23" w:rsidRDefault="003B2A13" w:rsidP="006C0E23">
      <w:pPr>
        <w:pStyle w:val="BodyText"/>
        <w:spacing w:before="240"/>
        <w:ind w:firstLine="720"/>
        <w:jc w:val="both"/>
        <w:rPr>
          <w:lang w:val="mk-MK"/>
        </w:rPr>
      </w:pPr>
      <w:r w:rsidRPr="003B2A13">
        <w:rPr>
          <w:lang w:val="mk-MK"/>
        </w:rPr>
        <w:t xml:space="preserve">Реформата на Кодексот за корпоративно управување во 2021 година, поддржана од ЕБРД, претставува значаен чекор напред, иако со важни ограничувања. Кодексот за прв пат воведе принципи и одредби за корпоративна одржливост, вклучувајќи ги и еколошкото и социјалното влијание на деловните операции. Меѓутоа, Кодексот е заснован на принципот „примени или објасни" и е доброволен по природа, при што отстапувањата од принципите и одредбите за добра практика може да бидат оправдани во определени околности во зависност од </w:t>
      </w:r>
      <w:r w:rsidR="00143B2E">
        <w:rPr>
          <w:lang w:val="mk-MK"/>
        </w:rPr>
        <w:t>друштвото</w:t>
      </w:r>
      <w:r w:rsidRPr="003B2A13">
        <w:rPr>
          <w:lang w:val="mk-MK"/>
        </w:rPr>
        <w:t xml:space="preserve"> и нејзините акционери.</w:t>
      </w:r>
    </w:p>
    <w:p w14:paraId="476FA3C8" w14:textId="21062E5E" w:rsidR="00143B2E" w:rsidRDefault="00143B2E" w:rsidP="006C0E23">
      <w:pPr>
        <w:pStyle w:val="BodyText"/>
        <w:spacing w:before="240"/>
        <w:ind w:firstLine="720"/>
        <w:jc w:val="both"/>
        <w:rPr>
          <w:lang w:val="mk-MK"/>
        </w:rPr>
      </w:pPr>
      <w:r w:rsidRPr="00143B2E">
        <w:rPr>
          <w:lang w:val="mk-MK"/>
        </w:rPr>
        <w:t>Доброволноста на Кодексот е суштинска слабост во контекст на корпоративниот пејзаж на Македонија</w:t>
      </w:r>
      <w:r>
        <w:rPr>
          <w:lang w:val="mk-MK"/>
        </w:rPr>
        <w:t>,</w:t>
      </w:r>
      <w:r w:rsidRPr="00143B2E">
        <w:rPr>
          <w:lang w:val="mk-MK"/>
        </w:rPr>
        <w:t xml:space="preserve"> во средини каде доминира концентрирана сопственост и каде механизмите за извршување се слаби, доброволните стандарди историски покажуваат ограничен трансформативен потенцијал. Амандманите на ЗТД со кои се воведе обврска за изјава за применување на Кодексот за корпоративно управување во годишните извештаи не упатуваат јасно на тоа кој конкретен кодекс треба да се применува, оставајќи простор за различни толкувања.</w:t>
      </w:r>
      <w:r w:rsidR="00D15941">
        <w:rPr>
          <w:rStyle w:val="FootnoteReference"/>
          <w:lang w:val="mk-MK"/>
        </w:rPr>
        <w:footnoteReference w:id="806"/>
      </w:r>
      <w:r w:rsidRPr="00143B2E">
        <w:rPr>
          <w:lang w:val="mk-MK"/>
        </w:rPr>
        <w:t xml:space="preserve"> Оваа нормативна </w:t>
      </w:r>
      <w:r w:rsidR="00014A44">
        <w:rPr>
          <w:lang w:val="mk-MK"/>
        </w:rPr>
        <w:t>сегментација,</w:t>
      </w:r>
      <w:r w:rsidRPr="00143B2E">
        <w:rPr>
          <w:lang w:val="mk-MK"/>
        </w:rPr>
        <w:t xml:space="preserve"> симптоматична за начинот на кој македонскиот законодавец ги спроведува реформите</w:t>
      </w:r>
      <w:r w:rsidR="002A52BD">
        <w:rPr>
          <w:lang w:val="mk-MK"/>
        </w:rPr>
        <w:t>,</w:t>
      </w:r>
      <w:r w:rsidRPr="00143B2E">
        <w:rPr>
          <w:lang w:val="mk-MK"/>
        </w:rPr>
        <w:t xml:space="preserve"> создава услови за селективна и формална примена на корпоративните стандарди, точно спротивно на она што го бара </w:t>
      </w:r>
      <w:r w:rsidRPr="002A52BD">
        <w:rPr>
          <w:i/>
          <w:iCs/>
          <w:lang w:val="mk-MK"/>
        </w:rPr>
        <w:t>acquis</w:t>
      </w:r>
      <w:r w:rsidRPr="00143B2E">
        <w:rPr>
          <w:lang w:val="mk-MK"/>
        </w:rPr>
        <w:t>.</w:t>
      </w:r>
    </w:p>
    <w:p w14:paraId="0C7D9DC4" w14:textId="3EA6B877" w:rsidR="004C7587" w:rsidRDefault="004C7587" w:rsidP="006C0E23">
      <w:pPr>
        <w:pStyle w:val="BodyText"/>
        <w:spacing w:before="240"/>
        <w:ind w:firstLine="720"/>
        <w:jc w:val="both"/>
        <w:rPr>
          <w:lang w:val="mk-MK"/>
        </w:rPr>
      </w:pPr>
      <w:r w:rsidRPr="004C7587">
        <w:rPr>
          <w:lang w:val="mk-MK"/>
        </w:rPr>
        <w:t>Симптоматично за целокупниот реформски профил е и фактот дека Македонија во 2010 година донесе Закон за европски друштва, кој ќе стане применлив по пристапувањето на земјата во ЕУ. Оваа правно-техничка конструкција</w:t>
      </w:r>
      <w:r w:rsidR="008020AA">
        <w:rPr>
          <w:lang w:val="mk-MK"/>
        </w:rPr>
        <w:t>,</w:t>
      </w:r>
      <w:r w:rsidRPr="004C7587">
        <w:rPr>
          <w:lang w:val="mk-MK"/>
        </w:rPr>
        <w:t xml:space="preserve"> закон кој постои, но чија примена е одложена</w:t>
      </w:r>
      <w:r w:rsidR="008020AA">
        <w:rPr>
          <w:lang w:val="mk-MK"/>
        </w:rPr>
        <w:t xml:space="preserve">, </w:t>
      </w:r>
      <w:r w:rsidRPr="004C7587">
        <w:rPr>
          <w:lang w:val="mk-MK"/>
        </w:rPr>
        <w:t xml:space="preserve">е теоретски интересна бидејќи создава нормативна „кутија на чекање" за механизми кои </w:t>
      </w:r>
      <w:r w:rsidRPr="00CD6C8D">
        <w:rPr>
          <w:i/>
          <w:iCs/>
          <w:lang w:val="mk-MK"/>
        </w:rPr>
        <w:t>de jure</w:t>
      </w:r>
      <w:r w:rsidRPr="004C7587">
        <w:rPr>
          <w:lang w:val="mk-MK"/>
        </w:rPr>
        <w:t xml:space="preserve"> ја признаваат институцијата на Европското акционерско друштво и нејзините импликации за учеството на вработените, но </w:t>
      </w:r>
      <w:r w:rsidRPr="00CD6C8D">
        <w:rPr>
          <w:i/>
          <w:iCs/>
          <w:lang w:val="mk-MK"/>
        </w:rPr>
        <w:t>de facto</w:t>
      </w:r>
      <w:r w:rsidRPr="004C7587">
        <w:rPr>
          <w:lang w:val="mk-MK"/>
        </w:rPr>
        <w:t xml:space="preserve"> не произведуваат никакво непосредно дејство врз домашниот корпоративен систем.</w:t>
      </w:r>
    </w:p>
    <w:p w14:paraId="019DD5BE" w14:textId="70C7667F" w:rsidR="008B3787" w:rsidRDefault="008B3787" w:rsidP="006C0E23">
      <w:pPr>
        <w:pStyle w:val="BodyText"/>
        <w:spacing w:before="240"/>
        <w:ind w:firstLine="720"/>
        <w:jc w:val="both"/>
        <w:rPr>
          <w:lang w:val="mk-MK"/>
        </w:rPr>
      </w:pPr>
      <w:r w:rsidRPr="008B3787">
        <w:rPr>
          <w:lang w:val="mk-MK"/>
        </w:rPr>
        <w:t xml:space="preserve">Европското право на SE-то може да се смета за привремен врв на вклученоста на вработените на ниво на ЕУ, при што главната опасност за правата на учество на вработените произлегува од судската пракса на Судот на правдата на ЕУ во однос на слободата на основање, која поставува фундаментални проблеми за партиципацијата. Ова значи дека македонскиот законодавец мора да го следи не само статичниот текст на </w:t>
      </w:r>
      <w:r w:rsidR="007C7F26">
        <w:rPr>
          <w:lang w:val="mk-MK"/>
        </w:rPr>
        <w:t>транспонирањето,</w:t>
      </w:r>
      <w:r w:rsidRPr="008B3787">
        <w:rPr>
          <w:lang w:val="mk-MK"/>
        </w:rPr>
        <w:t xml:space="preserve"> туку и динамичниот развој на </w:t>
      </w:r>
      <w:r w:rsidR="007C7F26">
        <w:rPr>
          <w:lang w:val="mk-MK"/>
        </w:rPr>
        <w:t>ЕУ</w:t>
      </w:r>
      <w:r w:rsidRPr="008B3787">
        <w:rPr>
          <w:lang w:val="mk-MK"/>
        </w:rPr>
        <w:t xml:space="preserve"> </w:t>
      </w:r>
      <w:r w:rsidRPr="007C7F26">
        <w:rPr>
          <w:i/>
          <w:iCs/>
          <w:lang w:val="mk-MK"/>
        </w:rPr>
        <w:t>acquis</w:t>
      </w:r>
      <w:r w:rsidRPr="008B3787">
        <w:rPr>
          <w:lang w:val="mk-MK"/>
        </w:rPr>
        <w:t xml:space="preserve"> под влијание на јуриспруденцијата на </w:t>
      </w:r>
      <w:r w:rsidR="007C7F26">
        <w:rPr>
          <w:lang w:val="mk-MK"/>
        </w:rPr>
        <w:t>Судот на правдата на ЕУ,</w:t>
      </w:r>
      <w:r w:rsidRPr="008B3787">
        <w:rPr>
          <w:lang w:val="mk-MK"/>
        </w:rPr>
        <w:t xml:space="preserve"> задача </w:t>
      </w:r>
      <w:r w:rsidR="007C7F26">
        <w:rPr>
          <w:lang w:val="mk-MK"/>
        </w:rPr>
        <w:t>која</w:t>
      </w:r>
      <w:r w:rsidRPr="008B3787">
        <w:rPr>
          <w:lang w:val="mk-MK"/>
        </w:rPr>
        <w:t xml:space="preserve"> бара правна рафинираност и институционален капацитет коj сè уште се гради.</w:t>
      </w:r>
    </w:p>
    <w:p w14:paraId="0961C98A" w14:textId="303E9533" w:rsidR="006F7D12" w:rsidRDefault="006F7D12" w:rsidP="006C0E23">
      <w:pPr>
        <w:pStyle w:val="BodyText"/>
        <w:spacing w:before="240"/>
        <w:ind w:firstLine="720"/>
        <w:jc w:val="both"/>
        <w:rPr>
          <w:lang w:val="mk-MK"/>
        </w:rPr>
      </w:pPr>
      <w:r w:rsidRPr="00437A28">
        <w:rPr>
          <w:lang w:val="mk-MK"/>
        </w:rPr>
        <w:t>Генерален заклучок кој произлегува од оваа анализа е дека структурната трансформација на корпоративното уредување во Македонија е парцијална</w:t>
      </w:r>
      <w:r>
        <w:rPr>
          <w:lang w:val="mk-MK"/>
        </w:rPr>
        <w:t xml:space="preserve"> затоа што</w:t>
      </w:r>
      <w:r w:rsidRPr="00437A28">
        <w:rPr>
          <w:lang w:val="mk-MK"/>
        </w:rPr>
        <w:t xml:space="preserve"> законодавната форма е значително унапредена, меѓутоа суштинската трансформација на корпоративните односи</w:t>
      </w:r>
      <w:r>
        <w:rPr>
          <w:lang w:val="mk-MK"/>
        </w:rPr>
        <w:t>,</w:t>
      </w:r>
      <w:r w:rsidRPr="00437A28">
        <w:rPr>
          <w:lang w:val="mk-MK"/>
        </w:rPr>
        <w:t xml:space="preserve"> особено во доменот на учеството на вработените</w:t>
      </w:r>
      <w:r>
        <w:rPr>
          <w:lang w:val="mk-MK"/>
        </w:rPr>
        <w:t xml:space="preserve">, </w:t>
      </w:r>
      <w:r w:rsidRPr="00437A28">
        <w:rPr>
          <w:lang w:val="mk-MK"/>
        </w:rPr>
        <w:t xml:space="preserve">е минимална. Иако законите се на место, нивното извршување и универзалната имплементација се генерално недоволни и можат да претставуваат проблем за деловните субјекти и граѓаните. Оваа констатација ја потврдува академската теза дека евроизацијата на корпоративното право не е процес на механичка транспозиција, туку процес на институционална трансформација, и дека расчекорот помеѓу нормата и практиката е </w:t>
      </w:r>
      <w:r w:rsidRPr="00437A28">
        <w:rPr>
          <w:lang w:val="mk-MK"/>
        </w:rPr>
        <w:lastRenderedPageBreak/>
        <w:t>вистинск</w:t>
      </w:r>
      <w:r w:rsidR="00304485">
        <w:rPr>
          <w:lang w:val="mk-MK"/>
        </w:rPr>
        <w:t>ото мерило</w:t>
      </w:r>
      <w:r w:rsidRPr="00437A28">
        <w:rPr>
          <w:lang w:val="mk-MK"/>
        </w:rPr>
        <w:t xml:space="preserve"> на успешноста на реформата.</w:t>
      </w:r>
    </w:p>
    <w:p w14:paraId="021B320D" w14:textId="77777777" w:rsidR="00EF04DE" w:rsidRDefault="006F7D12" w:rsidP="006C0E23">
      <w:pPr>
        <w:pStyle w:val="BodyText"/>
        <w:spacing w:before="240"/>
        <w:ind w:firstLine="720"/>
        <w:jc w:val="both"/>
        <w:rPr>
          <w:lang w:val="mk-MK"/>
        </w:rPr>
      </w:pPr>
      <w:r>
        <w:rPr>
          <w:lang w:val="mk-MK"/>
        </w:rPr>
        <w:t>Конечно, о</w:t>
      </w:r>
      <w:r w:rsidR="00437A28" w:rsidRPr="00437A28">
        <w:rPr>
          <w:lang w:val="mk-MK"/>
        </w:rPr>
        <w:t>на што ги обединува парадигмите на Hall, институционализ</w:t>
      </w:r>
      <w:r w:rsidR="00437A28">
        <w:rPr>
          <w:lang w:val="mk-MK"/>
        </w:rPr>
        <w:t>мот центриран на актери</w:t>
      </w:r>
      <w:r w:rsidR="00437A28" w:rsidRPr="00437A28">
        <w:rPr>
          <w:lang w:val="mk-MK"/>
        </w:rPr>
        <w:t xml:space="preserve"> на Scharpf, конструктивизмот на Blyth и визијата за социјална инвестиција на Hemerijck е нивната заедничка инсистенција дека идеите се важни, но само преку институции способни да учат. Кризите не генерираат автоматски напредок; тие само отвораат прозорци низ кои креативни коалиции можат да дејствуваат. Без разлика дали станува збор за реформа на социјалната држава, корпоративното управување или миграциската политика, вистинскиот тест лежи во градењето институционални архитектури што ја наградуваат рефлексивноста, воспоставуваат рамнотежа помеѓу моќта и размислувањето и ја препознаваат неизвесноста како генеративна состојба, наместо како закана. </w:t>
      </w:r>
    </w:p>
    <w:p w14:paraId="7884812D" w14:textId="7F2975C0" w:rsidR="008910B0" w:rsidRPr="00F736F2" w:rsidRDefault="00437A28" w:rsidP="006C0E23">
      <w:pPr>
        <w:pStyle w:val="BodyText"/>
        <w:spacing w:before="240"/>
        <w:ind w:firstLine="720"/>
        <w:jc w:val="both"/>
        <w:rPr>
          <w:lang w:val="mk-MK"/>
        </w:rPr>
      </w:pPr>
      <w:r w:rsidRPr="00437A28">
        <w:rPr>
          <w:lang w:val="mk-MK"/>
        </w:rPr>
        <w:t xml:space="preserve">Во таа смисла, учењето во политиките не е само прашање на подобри информации, туку на преосмислување на целите на управувањето. Визијата на Hemerijck за социјална држава низ животниот </w:t>
      </w:r>
      <w:r w:rsidR="00EF04DE">
        <w:rPr>
          <w:lang w:val="mk-MK"/>
        </w:rPr>
        <w:t>в</w:t>
      </w:r>
      <w:r w:rsidRPr="00437A28">
        <w:rPr>
          <w:lang w:val="mk-MK"/>
        </w:rPr>
        <w:t>ек и моделот на Hall за парадигматски промени нѐ потсетуваат дека одржливата реформа бара нови инструменти</w:t>
      </w:r>
      <w:r w:rsidR="00B36EC1">
        <w:rPr>
          <w:lang w:val="mk-MK"/>
        </w:rPr>
        <w:t xml:space="preserve"> и</w:t>
      </w:r>
      <w:r w:rsidRPr="00437A28">
        <w:rPr>
          <w:lang w:val="mk-MK"/>
        </w:rPr>
        <w:t xml:space="preserve"> нови начини на размислување за самата држава како заедница на учесници во процесот на учење, врзани со правила, но способни за рефлексија, која постојано преиспитува како ја користи својата моќ и кои се нејзините одговорности во неизвесен свет.</w:t>
      </w:r>
      <w:r w:rsidR="00B36EC1">
        <w:rPr>
          <w:lang w:val="mk-MK"/>
        </w:rPr>
        <w:t xml:space="preserve"> Токму во таа линија, треба да </w:t>
      </w:r>
      <w:r w:rsidR="008A13DA">
        <w:rPr>
          <w:lang w:val="mk-MK"/>
        </w:rPr>
        <w:t>согледа што е тоа што најмногу одговара за Македонија</w:t>
      </w:r>
      <w:r w:rsidR="00F736F2">
        <w:rPr>
          <w:lang w:val="mk-MK"/>
        </w:rPr>
        <w:t xml:space="preserve"> од постоечките опции.</w:t>
      </w:r>
    </w:p>
    <w:p w14:paraId="3C7E1D7B" w14:textId="58DD070E" w:rsidR="00884503" w:rsidRPr="00884503" w:rsidRDefault="006C0E23" w:rsidP="00884503">
      <w:pPr>
        <w:pStyle w:val="Heading2"/>
        <w:numPr>
          <w:ilvl w:val="1"/>
          <w:numId w:val="14"/>
        </w:numPr>
        <w:rPr>
          <w:rFonts w:ascii="Times New Roman" w:hAnsi="Times New Roman" w:cs="Times New Roman"/>
          <w:b w:val="0"/>
          <w:bCs w:val="0"/>
          <w:color w:val="000000" w:themeColor="text1"/>
          <w:sz w:val="24"/>
          <w:szCs w:val="24"/>
          <w:lang w:val="mk-MK"/>
        </w:rPr>
      </w:pPr>
      <w:r>
        <w:rPr>
          <w:lang w:val="mk-MK"/>
        </w:rPr>
        <w:t xml:space="preserve"> </w:t>
      </w:r>
      <w:bookmarkStart w:id="92" w:name="_Toc230523945"/>
      <w:r w:rsidR="00884503" w:rsidRPr="00884503">
        <w:rPr>
          <w:rFonts w:ascii="Times New Roman" w:hAnsi="Times New Roman" w:cs="Times New Roman"/>
          <w:b w:val="0"/>
          <w:bCs w:val="0"/>
          <w:color w:val="000000" w:themeColor="text1"/>
          <w:sz w:val="24"/>
          <w:szCs w:val="24"/>
          <w:lang w:val="mk-MK"/>
        </w:rPr>
        <w:t>Предложен модел за Македонија — хибрид или постепено усвојување</w:t>
      </w:r>
      <w:bookmarkEnd w:id="92"/>
    </w:p>
    <w:p w14:paraId="5AC64384" w14:textId="357EBAC0" w:rsidR="00806EC3" w:rsidRDefault="00983E44" w:rsidP="00884503">
      <w:pPr>
        <w:pStyle w:val="BodyText"/>
        <w:spacing w:before="240"/>
        <w:ind w:firstLine="720"/>
        <w:jc w:val="both"/>
        <w:rPr>
          <w:lang w:val="mk-MK"/>
        </w:rPr>
      </w:pPr>
      <w:r w:rsidRPr="00983E44">
        <w:rPr>
          <w:lang w:val="mk-MK"/>
        </w:rPr>
        <w:t xml:space="preserve">Прашањето за тоа кој модел на вклученост на вработените е оптимален за Македонија во предпристапниот и постпристапниот контекст е прашање на институционален дизајн и правна компатибилност. Тргнувајќи од анализата на тековниот нормативен јаз, структурата на сопственост, слабоста на социјалниот дијалог и динамиката на условувањето, јасно произлегува дека ниту „максималистичкиот" пристап на директна транспозиција на германскиот Mitbestimmung, ниту минималистичкиот пристап на формална усогласеност без суштинска институционална промена не можат да бидат теоретски </w:t>
      </w:r>
      <w:r w:rsidR="00FA5E18">
        <w:rPr>
          <w:lang w:val="mk-MK"/>
        </w:rPr>
        <w:t>преферирана</w:t>
      </w:r>
      <w:r w:rsidRPr="00983E44">
        <w:rPr>
          <w:lang w:val="mk-MK"/>
        </w:rPr>
        <w:t xml:space="preserve"> препорака. Она што академската анализа го наложува е аргументирање во корист на хибриден модел со постепена структура на имплементација, калибрирана кон специфичниот институционален профил на Македонија.</w:t>
      </w:r>
    </w:p>
    <w:p w14:paraId="7AE33D0D" w14:textId="1081DC5E" w:rsidR="0044654E" w:rsidRDefault="0044654E" w:rsidP="00884503">
      <w:pPr>
        <w:pStyle w:val="BodyText"/>
        <w:spacing w:before="240"/>
        <w:ind w:firstLine="720"/>
        <w:jc w:val="both"/>
        <w:rPr>
          <w:lang w:val="mk-MK"/>
        </w:rPr>
      </w:pPr>
      <w:r w:rsidRPr="0044654E">
        <w:rPr>
          <w:lang w:val="mk-MK"/>
        </w:rPr>
        <w:t xml:space="preserve">Теоретската основа за хибриден модел ја нуди самата архитектура на SE Директивата 2001/86/ЕЗ, која конститутивно одбива да фаворизира еден фиксен модел на учество. Директивата предвидува повеќе модели на учество по договор, при </w:t>
      </w:r>
      <w:r w:rsidR="006E17FC">
        <w:rPr>
          <w:lang w:val="mk-MK"/>
        </w:rPr>
        <w:t>што</w:t>
      </w:r>
      <w:r w:rsidRPr="0044654E">
        <w:rPr>
          <w:lang w:val="mk-MK"/>
        </w:rPr>
        <w:t xml:space="preserve"> наjважниот е застапувањето на вработените на ниво на управниот или надзорниот одбор, а доколку не се постигне</w:t>
      </w:r>
      <w:r w:rsidR="006E17FC">
        <w:rPr>
          <w:lang w:val="mk-MK"/>
        </w:rPr>
        <w:t xml:space="preserve"> таков</w:t>
      </w:r>
      <w:r w:rsidRPr="0044654E">
        <w:rPr>
          <w:lang w:val="mk-MK"/>
        </w:rPr>
        <w:t xml:space="preserve"> аранжман, </w:t>
      </w:r>
      <w:r w:rsidR="00B8724C" w:rsidRPr="0044654E">
        <w:rPr>
          <w:lang w:val="mk-MK"/>
        </w:rPr>
        <w:t xml:space="preserve">стануваат применливи </w:t>
      </w:r>
      <w:r w:rsidRPr="0044654E">
        <w:rPr>
          <w:lang w:val="mk-MK"/>
        </w:rPr>
        <w:t>стандардните правила за вклученост на работниците.</w:t>
      </w:r>
      <w:r w:rsidR="00B8724C">
        <w:rPr>
          <w:rStyle w:val="FootnoteReference"/>
          <w:lang w:val="mk-MK"/>
        </w:rPr>
        <w:footnoteReference w:id="807"/>
      </w:r>
      <w:r w:rsidRPr="0044654E">
        <w:rPr>
          <w:lang w:val="mk-MK"/>
        </w:rPr>
        <w:t xml:space="preserve"> Оваа договорна логика</w:t>
      </w:r>
      <w:r w:rsidR="00B8724C">
        <w:rPr>
          <w:lang w:val="mk-MK"/>
        </w:rPr>
        <w:t>,</w:t>
      </w:r>
      <w:r w:rsidRPr="0044654E">
        <w:rPr>
          <w:lang w:val="mk-MK"/>
        </w:rPr>
        <w:t xml:space="preserve"> која е спротивна на германскиот законски принцип на задолжително </w:t>
      </w:r>
      <w:r w:rsidR="001C0101">
        <w:rPr>
          <w:lang w:val="mk-MK"/>
        </w:rPr>
        <w:t>с</w:t>
      </w:r>
      <w:r w:rsidR="00B8724C">
        <w:rPr>
          <w:lang w:val="mk-MK"/>
        </w:rPr>
        <w:t>оодлучување,</w:t>
      </w:r>
      <w:r w:rsidRPr="0044654E">
        <w:rPr>
          <w:lang w:val="mk-MK"/>
        </w:rPr>
        <w:t xml:space="preserve"> е концептуелно значително поблиска до институционалниот капацитет на Македонија, бидејќи остава простор за органски развој на практиката на учество пред да биде нормативно кодифицирана. Усвојувањето на SE Директивата и имплементацијата на учеството на вработените во земjите-членки се случ</w:t>
      </w:r>
      <w:r w:rsidR="004A3D2E">
        <w:rPr>
          <w:lang w:val="mk-MK"/>
        </w:rPr>
        <w:t>ува</w:t>
      </w:r>
      <w:r w:rsidRPr="0044654E">
        <w:rPr>
          <w:lang w:val="mk-MK"/>
        </w:rPr>
        <w:t xml:space="preserve"> во контекст на нивната национална традиција на учество, при што статутарните одредби за SE добиваат специфични карактеристики </w:t>
      </w:r>
      <w:r w:rsidRPr="0044654E">
        <w:rPr>
          <w:lang w:val="mk-MK"/>
        </w:rPr>
        <w:lastRenderedPageBreak/>
        <w:t xml:space="preserve">кои веќе важеле за </w:t>
      </w:r>
      <w:r w:rsidR="001C0101">
        <w:rPr>
          <w:lang w:val="mk-MK"/>
        </w:rPr>
        <w:t>соодлучување</w:t>
      </w:r>
      <w:r w:rsidRPr="0044654E">
        <w:rPr>
          <w:lang w:val="mk-MK"/>
        </w:rPr>
        <w:t xml:space="preserve"> во акционерските друштва. Оттука, транспонирањето на SE Директивата во земји без претходна традиција на </w:t>
      </w:r>
      <w:r w:rsidR="001C0101">
        <w:rPr>
          <w:lang w:val="mk-MK"/>
        </w:rPr>
        <w:t>соодлучување</w:t>
      </w:r>
      <w:r w:rsidRPr="0044654E">
        <w:rPr>
          <w:lang w:val="mk-MK"/>
        </w:rPr>
        <w:t xml:space="preserve"> неизбежно произведува правен инструмент со поинаква практична тежина отколку во Германија или Австрија</w:t>
      </w:r>
      <w:r w:rsidR="001C0101">
        <w:rPr>
          <w:lang w:val="mk-MK"/>
        </w:rPr>
        <w:t>,</w:t>
      </w:r>
      <w:r w:rsidRPr="0044654E">
        <w:rPr>
          <w:lang w:val="mk-MK"/>
        </w:rPr>
        <w:t xml:space="preserve"> факт кој законодавецот во Македонија мора да го земе предвид за да го планира редоследот на реформите.</w:t>
      </w:r>
      <w:r w:rsidR="001C0101">
        <w:rPr>
          <w:lang w:val="mk-MK"/>
        </w:rPr>
        <w:t xml:space="preserve"> </w:t>
      </w:r>
    </w:p>
    <w:p w14:paraId="08996812" w14:textId="77777777" w:rsidR="00C719B3" w:rsidRDefault="004619FF" w:rsidP="00884503">
      <w:pPr>
        <w:pStyle w:val="BodyText"/>
        <w:spacing w:before="240"/>
        <w:ind w:firstLine="720"/>
        <w:jc w:val="both"/>
        <w:rPr>
          <w:lang w:val="mk-MK"/>
        </w:rPr>
      </w:pPr>
      <w:r w:rsidRPr="004619FF">
        <w:rPr>
          <w:lang w:val="mk-MK"/>
        </w:rPr>
        <w:t xml:space="preserve">Хибридниот модел за Македонија треба структурно да се изгради на три нивоа, имплементирани постепено и меѓусебно условено. Прво ниво е зајакнувањето на рамката за информирање и консултирање преку ефикасна транспозиција на Директивата 2002/14/ЕЗ и нејзино следено спроведување. Учеството на вработените на ниво на компанија е една од клучните институции на европскиот социјален модел, засновано на национални регулативи и регулативи на ниво на ЕУ, при </w:t>
      </w:r>
      <w:r w:rsidR="001F64CA">
        <w:rPr>
          <w:lang w:val="mk-MK"/>
        </w:rPr>
        <w:t>што</w:t>
      </w:r>
      <w:r w:rsidRPr="004619FF">
        <w:rPr>
          <w:lang w:val="mk-MK"/>
        </w:rPr>
        <w:t xml:space="preserve"> процесот на институционализација </w:t>
      </w:r>
      <w:r w:rsidR="004D0ADB">
        <w:rPr>
          <w:lang w:val="mk-MK"/>
        </w:rPr>
        <w:t xml:space="preserve">се </w:t>
      </w:r>
      <w:r w:rsidRPr="004619FF">
        <w:rPr>
          <w:lang w:val="mk-MK"/>
        </w:rPr>
        <w:t>совпаѓа со фундаментални промени во ерата на глобализација кои го зголемуваат значењето на</w:t>
      </w:r>
      <w:r w:rsidR="004D0ADB">
        <w:rPr>
          <w:lang w:val="mk-MK"/>
        </w:rPr>
        <w:t xml:space="preserve"> учеството на вработените на</w:t>
      </w:r>
      <w:r w:rsidRPr="004619FF">
        <w:rPr>
          <w:lang w:val="mk-MK"/>
        </w:rPr>
        <w:t xml:space="preserve"> ниво на компанија. </w:t>
      </w:r>
    </w:p>
    <w:p w14:paraId="1F048125" w14:textId="77777777" w:rsidR="005F48CE" w:rsidRDefault="004619FF" w:rsidP="00884503">
      <w:pPr>
        <w:pStyle w:val="BodyText"/>
        <w:spacing w:before="240"/>
        <w:ind w:firstLine="720"/>
        <w:jc w:val="both"/>
        <w:rPr>
          <w:lang w:val="mk-MK"/>
        </w:rPr>
      </w:pPr>
      <w:r w:rsidRPr="004619FF">
        <w:rPr>
          <w:lang w:val="mk-MK"/>
        </w:rPr>
        <w:t>Со воспоставување на функционален и правно спроведлив систем на информирање и консултирање, Македонија би ја создала нужната процедурална инфраструктура без која учеството во органите останува инструмент без оперативна подлога. Второто ниво е воведување на условна застапеност на ниво на надзорен одбор, применлива само за акционерски</w:t>
      </w:r>
      <w:r w:rsidR="000F3907">
        <w:rPr>
          <w:lang w:val="mk-MK"/>
        </w:rPr>
        <w:t>те</w:t>
      </w:r>
      <w:r w:rsidRPr="004619FF">
        <w:rPr>
          <w:lang w:val="mk-MK"/>
        </w:rPr>
        <w:t xml:space="preserve"> друштва</w:t>
      </w:r>
      <w:r w:rsidR="000F3907">
        <w:rPr>
          <w:lang w:val="mk-MK"/>
        </w:rPr>
        <w:t xml:space="preserve"> кои котираат на берзата</w:t>
      </w:r>
      <w:r w:rsidRPr="004619FF">
        <w:rPr>
          <w:lang w:val="mk-MK"/>
        </w:rPr>
        <w:t xml:space="preserve"> над определен праг на вработени</w:t>
      </w:r>
      <w:r w:rsidR="000F3907">
        <w:rPr>
          <w:lang w:val="mk-MK"/>
        </w:rPr>
        <w:t>,</w:t>
      </w:r>
      <w:r w:rsidRPr="004619FF">
        <w:rPr>
          <w:lang w:val="mk-MK"/>
        </w:rPr>
        <w:t xml:space="preserve"> пристап сроден на францускиот модел. 17 европски земји-членки и Норвешка имаат донесено законски одредби кои овозможуваат застапеност на вработените со право на глас во надзорниот или управниот одбор на компаниите, при </w:t>
      </w:r>
      <w:r w:rsidR="00A46B5A">
        <w:rPr>
          <w:lang w:val="mk-MK"/>
        </w:rPr>
        <w:t>што</w:t>
      </w:r>
      <w:r w:rsidRPr="004619FF">
        <w:rPr>
          <w:lang w:val="mk-MK"/>
        </w:rPr>
        <w:t xml:space="preserve"> правата за застапеност на вработените на ниво на одбор се далеку од хармонизирани на ниво на Европската унија. </w:t>
      </w:r>
    </w:p>
    <w:p w14:paraId="6796071B" w14:textId="1013FDD1" w:rsidR="004619FF" w:rsidRDefault="004619FF" w:rsidP="00884503">
      <w:pPr>
        <w:pStyle w:val="BodyText"/>
        <w:spacing w:before="240"/>
        <w:ind w:firstLine="720"/>
        <w:jc w:val="both"/>
        <w:rPr>
          <w:lang w:val="mk-MK"/>
        </w:rPr>
      </w:pPr>
      <w:r w:rsidRPr="004619FF">
        <w:rPr>
          <w:lang w:val="mk-MK"/>
        </w:rPr>
        <w:t xml:space="preserve">Оваа хетерогеност на системите внатре во самата ЕУ е академски аргумент дека Македонија не е обврзана да конвергира кон еден специфичен национален систем, туку кон минималните стандарди на </w:t>
      </w:r>
      <w:r w:rsidRPr="00D05D09">
        <w:rPr>
          <w:i/>
          <w:iCs/>
          <w:lang w:val="mk-MK"/>
        </w:rPr>
        <w:t>acquis</w:t>
      </w:r>
      <w:r w:rsidR="00D05D09">
        <w:rPr>
          <w:lang w:val="en-US"/>
        </w:rPr>
        <w:t xml:space="preserve">. </w:t>
      </w:r>
      <w:r w:rsidR="00C45E35">
        <w:rPr>
          <w:lang w:val="mk-MK"/>
        </w:rPr>
        <w:t>Се над тоа, ја ослободува Македонија</w:t>
      </w:r>
      <w:r w:rsidRPr="004619FF">
        <w:rPr>
          <w:lang w:val="mk-MK"/>
        </w:rPr>
        <w:t xml:space="preserve"> да избере национален модел кој одговара на нејзините институционални капацитети.</w:t>
      </w:r>
      <w:r w:rsidR="008A1149">
        <w:rPr>
          <w:lang w:val="mk-MK"/>
        </w:rPr>
        <w:t xml:space="preserve"> </w:t>
      </w:r>
      <w:r w:rsidR="008A1149" w:rsidRPr="008A1149">
        <w:rPr>
          <w:lang w:val="mk-MK"/>
        </w:rPr>
        <w:t>Третото ниво</w:t>
      </w:r>
      <w:r w:rsidR="008A1149">
        <w:rPr>
          <w:lang w:val="mk-MK"/>
        </w:rPr>
        <w:t>,</w:t>
      </w:r>
      <w:r w:rsidR="008A1149" w:rsidRPr="008A1149">
        <w:rPr>
          <w:lang w:val="mk-MK"/>
        </w:rPr>
        <w:t xml:space="preserve"> воведување на финансиска партиципација преку акциски шеми</w:t>
      </w:r>
      <w:r w:rsidR="008A1149">
        <w:rPr>
          <w:lang w:val="mk-MK"/>
        </w:rPr>
        <w:t>,</w:t>
      </w:r>
      <w:r w:rsidR="008A1149" w:rsidRPr="008A1149">
        <w:rPr>
          <w:lang w:val="mk-MK"/>
        </w:rPr>
        <w:t xml:space="preserve"> бара посебен нормативен режим кој во моментов отсуствува. Конкретно, потребна е измена на ЗТД со која постојната одредба за стекнување акции од страна на вработените ќе биде придружена со даночни стимули, механизми за трастовски пренос на акции и заштита на правата на вработените-акционери при корпоративните трансформации.</w:t>
      </w:r>
    </w:p>
    <w:p w14:paraId="7C348495" w14:textId="7CE6036E" w:rsidR="006E3341" w:rsidRDefault="00884F9D" w:rsidP="00884503">
      <w:pPr>
        <w:pStyle w:val="BodyText"/>
        <w:spacing w:before="240"/>
        <w:ind w:firstLine="720"/>
        <w:jc w:val="both"/>
        <w:rPr>
          <w:lang w:val="mk-MK"/>
        </w:rPr>
      </w:pPr>
      <w:r>
        <w:rPr>
          <w:lang w:val="mk-MK"/>
        </w:rPr>
        <w:t>Дополнително, п</w:t>
      </w:r>
      <w:r w:rsidR="006E3341" w:rsidRPr="006E3341">
        <w:rPr>
          <w:lang w:val="mk-MK"/>
        </w:rPr>
        <w:t>ри прекугранична реорганизација, правата за учество на вработените во новата компанија се утврдуваат со договор помеѓу „Специјалното преговарачко тело"</w:t>
      </w:r>
      <w:r>
        <w:rPr>
          <w:lang w:val="mk-MK"/>
        </w:rPr>
        <w:t>,</w:t>
      </w:r>
      <w:r w:rsidR="006E3341" w:rsidRPr="006E3341">
        <w:rPr>
          <w:lang w:val="mk-MK"/>
        </w:rPr>
        <w:t xml:space="preserve"> транснационален претставнички орган на вработените</w:t>
      </w:r>
      <w:r>
        <w:rPr>
          <w:lang w:val="mk-MK"/>
        </w:rPr>
        <w:t>,</w:t>
      </w:r>
      <w:r w:rsidR="006E3341" w:rsidRPr="006E3341">
        <w:rPr>
          <w:lang w:val="mk-MK"/>
        </w:rPr>
        <w:t xml:space="preserve"> и управните тела на компаниите кои учествуваат, при </w:t>
      </w:r>
      <w:r>
        <w:rPr>
          <w:lang w:val="mk-MK"/>
        </w:rPr>
        <w:t>што</w:t>
      </w:r>
      <w:r w:rsidR="006E3341" w:rsidRPr="006E3341">
        <w:rPr>
          <w:lang w:val="mk-MK"/>
        </w:rPr>
        <w:t xml:space="preserve"> страните треба да постигнат договор во рок од шест месеци, со можност за продолжување до една година.</w:t>
      </w:r>
      <w:r>
        <w:rPr>
          <w:rStyle w:val="FootnoteReference"/>
          <w:lang w:val="mk-MK"/>
        </w:rPr>
        <w:footnoteReference w:id="808"/>
      </w:r>
      <w:r w:rsidR="006E3341" w:rsidRPr="006E3341">
        <w:rPr>
          <w:lang w:val="mk-MK"/>
        </w:rPr>
        <w:t xml:space="preserve"> Ова значи дека по пристапувањето, македонски</w:t>
      </w:r>
      <w:r w:rsidR="005E3225">
        <w:rPr>
          <w:lang w:val="mk-MK"/>
        </w:rPr>
        <w:t>те трговски друштва</w:t>
      </w:r>
      <w:r w:rsidR="006E3341" w:rsidRPr="006E3341">
        <w:rPr>
          <w:lang w:val="mk-MK"/>
        </w:rPr>
        <w:t xml:space="preserve"> вклучени во прекугранични реорганизации ќе бидат директно изложени на овие преговарачки механизми и тие мора да имаат домашна правна инфраструктура и претставничка структура на вработените способна да учествува во таков процес.</w:t>
      </w:r>
    </w:p>
    <w:p w14:paraId="79FD1012" w14:textId="362B9E95" w:rsidR="00B94E7A" w:rsidRPr="006E3341" w:rsidRDefault="00C63CAE" w:rsidP="00B94E7A">
      <w:pPr>
        <w:pStyle w:val="BodyText"/>
        <w:spacing w:before="240"/>
        <w:ind w:firstLine="720"/>
        <w:jc w:val="both"/>
        <w:rPr>
          <w:lang w:val="mk-MK"/>
        </w:rPr>
      </w:pPr>
      <w:r w:rsidRPr="00C63CAE">
        <w:rPr>
          <w:lang w:val="mk-MK"/>
        </w:rPr>
        <w:t xml:space="preserve">Клучниот аргумент во прилог на постепеноста наспроти симултаниот пристап произлегува од теоријата на правен трансплант. Воведувањето на задолжителна </w:t>
      </w:r>
      <w:r w:rsidRPr="00C63CAE">
        <w:rPr>
          <w:lang w:val="mk-MK"/>
        </w:rPr>
        <w:lastRenderedPageBreak/>
        <w:t xml:space="preserve">застапеност на вработените во надзорните одбори во систем каде: (а) мнозинството </w:t>
      </w:r>
      <w:r w:rsidR="000858CE">
        <w:rPr>
          <w:lang w:val="mk-MK"/>
        </w:rPr>
        <w:t>компании кои котираат на берза</w:t>
      </w:r>
      <w:r w:rsidRPr="00C63CAE">
        <w:rPr>
          <w:lang w:val="mk-MK"/>
        </w:rPr>
        <w:t xml:space="preserve"> ги нема развиено ниту базичните механизми за информирање и консултирање, (б) синдикалното членство е ниско и фрагментирано, и (в) правосудниот систем е сè уште нефункционален во делот на спроведување на корпоративните норми</w:t>
      </w:r>
      <w:r w:rsidR="00B94E7A">
        <w:rPr>
          <w:lang w:val="mk-MK"/>
        </w:rPr>
        <w:t>,</w:t>
      </w:r>
      <w:r w:rsidRPr="00C63CAE">
        <w:rPr>
          <w:lang w:val="mk-MK"/>
        </w:rPr>
        <w:t xml:space="preserve"> би произвело правен инструмент без практична инфузија, т.е. „симулација на усогласеност"</w:t>
      </w:r>
      <w:r w:rsidR="00B94E7A">
        <w:rPr>
          <w:lang w:val="mk-MK"/>
        </w:rPr>
        <w:t>.</w:t>
      </w:r>
    </w:p>
    <w:p w14:paraId="2DDFD317" w14:textId="3FD117AF" w:rsidR="00884503" w:rsidRDefault="00B94E7A" w:rsidP="00884503">
      <w:pPr>
        <w:pStyle w:val="BodyText"/>
        <w:spacing w:before="240"/>
        <w:ind w:firstLine="720"/>
        <w:jc w:val="both"/>
        <w:rPr>
          <w:lang w:val="mk-MK"/>
        </w:rPr>
      </w:pPr>
      <w:r w:rsidRPr="00B94E7A">
        <w:rPr>
          <w:lang w:val="mk-MK"/>
        </w:rPr>
        <w:t xml:space="preserve">Постепениот пристап, наспроти тоа, овозможува секое ниво на реформа да создаде институционален капацитет кој го условува </w:t>
      </w:r>
      <w:r w:rsidR="003E500E">
        <w:rPr>
          <w:lang w:val="mk-MK"/>
        </w:rPr>
        <w:t>следниот чекор</w:t>
      </w:r>
      <w:r w:rsidRPr="00B94E7A">
        <w:rPr>
          <w:lang w:val="mk-MK"/>
        </w:rPr>
        <w:t xml:space="preserve">. Застапеноста на вработените на ниво на одбор е активен инструмент во многу земји-членки на ЕУ, при </w:t>
      </w:r>
      <w:r w:rsidR="00016ED0">
        <w:rPr>
          <w:lang w:val="mk-MK"/>
        </w:rPr>
        <w:t>што</w:t>
      </w:r>
      <w:r w:rsidRPr="00B94E7A">
        <w:rPr>
          <w:lang w:val="mk-MK"/>
        </w:rPr>
        <w:t xml:space="preserve"> и покрај институционалната разновидност </w:t>
      </w:r>
      <w:r w:rsidR="00016ED0">
        <w:rPr>
          <w:lang w:val="mk-MK"/>
        </w:rPr>
        <w:t>по</w:t>
      </w:r>
      <w:r w:rsidRPr="00B94E7A">
        <w:rPr>
          <w:lang w:val="mk-MK"/>
        </w:rPr>
        <w:t xml:space="preserve">меѓу земjите, промените во политичко-економскиот контекст и различните степени на имплементација, законските одредби усвоени во многу </w:t>
      </w:r>
      <w:r w:rsidR="00016ED0">
        <w:rPr>
          <w:lang w:val="mk-MK"/>
        </w:rPr>
        <w:t>земји</w:t>
      </w:r>
      <w:r w:rsidRPr="00B94E7A">
        <w:rPr>
          <w:lang w:val="mk-MK"/>
        </w:rPr>
        <w:t xml:space="preserve">-членки и Норвешка по Втората светска воjна овозможиле застапеност на работниците во одборите на директори, управните одбори и надзорните одбори. Историскиот развој </w:t>
      </w:r>
      <w:r w:rsidR="00C65EBB">
        <w:rPr>
          <w:lang w:val="mk-MK"/>
        </w:rPr>
        <w:t>на овие системи</w:t>
      </w:r>
      <w:r w:rsidRPr="00B94E7A">
        <w:rPr>
          <w:lang w:val="mk-MK"/>
        </w:rPr>
        <w:t xml:space="preserve"> во Западна Европа траел децении</w:t>
      </w:r>
      <w:r w:rsidR="00C65EBB">
        <w:rPr>
          <w:lang w:val="mk-MK"/>
        </w:rPr>
        <w:t>,</w:t>
      </w:r>
      <w:r w:rsidRPr="00B94E7A">
        <w:rPr>
          <w:lang w:val="mk-MK"/>
        </w:rPr>
        <w:t xml:space="preserve"> и тоа во институционална средина на развиена социјална демократија и силни синдикати. Македонија не може да го компресира тој развој во еден законодавен чин, но може и треба да го проектира неговиот сукцесивен </w:t>
      </w:r>
      <w:r w:rsidR="008464AC">
        <w:rPr>
          <w:lang w:val="mk-MK"/>
        </w:rPr>
        <w:t xml:space="preserve">процес </w:t>
      </w:r>
      <w:r w:rsidRPr="00B94E7A">
        <w:rPr>
          <w:lang w:val="mk-MK"/>
        </w:rPr>
        <w:t>на транспозиција.</w:t>
      </w:r>
    </w:p>
    <w:p w14:paraId="63F99033" w14:textId="285452A5" w:rsidR="008464AC" w:rsidRDefault="008464AC" w:rsidP="00884503">
      <w:pPr>
        <w:pStyle w:val="BodyText"/>
        <w:spacing w:before="240"/>
        <w:ind w:firstLine="720"/>
        <w:jc w:val="both"/>
        <w:rPr>
          <w:lang w:val="mk-MK"/>
        </w:rPr>
      </w:pPr>
      <w:r w:rsidRPr="008464AC">
        <w:rPr>
          <w:lang w:val="mk-MK"/>
        </w:rPr>
        <w:t>Конечно, предложениот хибриден модел мора да биде нормативно заштитен од ризикот кој SE Директивата сама го именува</w:t>
      </w:r>
      <w:r w:rsidR="00802DBB">
        <w:rPr>
          <w:lang w:val="en-US"/>
        </w:rPr>
        <w:t xml:space="preserve">, </w:t>
      </w:r>
      <w:r w:rsidR="00802DBB">
        <w:rPr>
          <w:lang w:val="mk-MK"/>
        </w:rPr>
        <w:t>а тоа е</w:t>
      </w:r>
      <w:r w:rsidRPr="008464AC">
        <w:rPr>
          <w:lang w:val="mk-MK"/>
        </w:rPr>
        <w:t xml:space="preserve"> учеството на вработените да биде елиминирано или намалено токму преку инструментите на корпоративната мобилност. Кога SE компанијата е основана преку трансформација, сите аспекти на застапеноста на вработените на ниво на одбор кои биле во сила во претходните компании согласно националното право треба да продолжат да важат за вработените во SE, и тие права не можат да бидат намалени преку преговори.</w:t>
      </w:r>
      <w:r w:rsidR="0081346A">
        <w:rPr>
          <w:rStyle w:val="FootnoteReference"/>
          <w:lang w:val="mk-MK"/>
        </w:rPr>
        <w:footnoteReference w:id="809"/>
      </w:r>
      <w:r w:rsidRPr="008464AC">
        <w:rPr>
          <w:lang w:val="mk-MK"/>
        </w:rPr>
        <w:t xml:space="preserve"> Оваа заштитна клаузула</w:t>
      </w:r>
      <w:r w:rsidR="001C3311">
        <w:rPr>
          <w:lang w:val="mk-MK"/>
        </w:rPr>
        <w:t>,</w:t>
      </w:r>
      <w:r w:rsidRPr="008464AC">
        <w:rPr>
          <w:lang w:val="mk-MK"/>
        </w:rPr>
        <w:t xml:space="preserve"> позната во доктрината како „принципот на пред-и-после"</w:t>
      </w:r>
      <w:r w:rsidR="001C3311">
        <w:rPr>
          <w:lang w:val="mk-MK"/>
        </w:rPr>
        <w:t>,</w:t>
      </w:r>
      <w:r w:rsidRPr="008464AC">
        <w:rPr>
          <w:lang w:val="mk-MK"/>
        </w:rPr>
        <w:t xml:space="preserve"> претставува нормативен минимум кој македонскиот законодавец мора да го вгради во идните измени на ЗТД и Законот за европски друштва, создавајќи правна заштита која е применлива не само пост-пристапно, туку и во преодниот период додека реформата на корпоративното управување е во тек.</w:t>
      </w:r>
    </w:p>
    <w:p w14:paraId="222E2CAE" w14:textId="27A631F3" w:rsidR="001C3311" w:rsidRDefault="004E19A1" w:rsidP="00884503">
      <w:pPr>
        <w:pStyle w:val="BodyText"/>
        <w:spacing w:before="240"/>
        <w:ind w:firstLine="720"/>
        <w:jc w:val="both"/>
        <w:rPr>
          <w:lang w:val="mk-MK"/>
        </w:rPr>
      </w:pPr>
      <w:r>
        <w:rPr>
          <w:lang w:val="mk-MK"/>
        </w:rPr>
        <w:t>Понатаму, п</w:t>
      </w:r>
      <w:r w:rsidRPr="004E19A1">
        <w:rPr>
          <w:lang w:val="mk-MK"/>
        </w:rPr>
        <w:t xml:space="preserve">редлогот за модел на застапеност на вработените во органите на трговски друштва заснован на прагови на големина е доминантниот регулаторен пристап во рамките на самата ЕУ. </w:t>
      </w:r>
      <w:r w:rsidR="00811875">
        <w:rPr>
          <w:lang w:val="mk-MK"/>
        </w:rPr>
        <w:t>Почетна</w:t>
      </w:r>
      <w:r w:rsidRPr="004E19A1">
        <w:rPr>
          <w:lang w:val="mk-MK"/>
        </w:rPr>
        <w:t xml:space="preserve"> точка за оваа анализа е компаративниот факт дека во земјите-членки каде застапеноста на ниво на одбор се применува за приватни компании, прагот на број на вработени значително варира</w:t>
      </w:r>
      <w:r w:rsidR="00156F05">
        <w:rPr>
          <w:lang w:val="en-US"/>
        </w:rPr>
        <w:t>,</w:t>
      </w:r>
      <w:r w:rsidR="00156F05">
        <w:rPr>
          <w:lang w:val="mk-MK"/>
        </w:rPr>
        <w:t xml:space="preserve"> почнувајќи</w:t>
      </w:r>
      <w:r w:rsidRPr="004E19A1">
        <w:rPr>
          <w:lang w:val="mk-MK"/>
        </w:rPr>
        <w:t xml:space="preserve"> од 25 во Шведска и 35 во Данска до 1.000 во Луксембург и Франција, а пропорцијата на места во одборот кои им припаѓаат на претставниците на вработените се движи од едно место во Хрватска до половина во одредени германски компании. Оваа хетерогеност е доказ дека системот на застапеност на ниво на одбор е длабоко институционално условен и дека секој предложен модел за Македонија мора да биде изграден врз основа на домашната корпоративна стварност, а не само врз аналогија со постојните системи.</w:t>
      </w:r>
    </w:p>
    <w:p w14:paraId="030ADFF2" w14:textId="4D06ACEC" w:rsidR="005F386C" w:rsidRDefault="00804F49" w:rsidP="00884503">
      <w:pPr>
        <w:pStyle w:val="BodyText"/>
        <w:spacing w:before="240"/>
        <w:ind w:firstLine="720"/>
        <w:jc w:val="both"/>
        <w:rPr>
          <w:lang w:val="mk-MK"/>
        </w:rPr>
      </w:pPr>
      <w:r w:rsidRPr="00804F49">
        <w:rPr>
          <w:lang w:val="mk-MK"/>
        </w:rPr>
        <w:t xml:space="preserve">Структурата на македонскиот бизнис сектор е критична </w:t>
      </w:r>
      <w:r w:rsidR="000C3BF6">
        <w:rPr>
          <w:lang w:val="mk-MK"/>
        </w:rPr>
        <w:t>одредрница во овој правец затоа што</w:t>
      </w:r>
      <w:r w:rsidRPr="00804F49">
        <w:rPr>
          <w:lang w:val="mk-MK"/>
        </w:rPr>
        <w:t xml:space="preserve"> </w:t>
      </w:r>
      <w:r w:rsidR="000C3BF6">
        <w:rPr>
          <w:lang w:val="mk-MK"/>
        </w:rPr>
        <w:t>м</w:t>
      </w:r>
      <w:r w:rsidRPr="00804F49">
        <w:rPr>
          <w:lang w:val="mk-MK"/>
        </w:rPr>
        <w:t>нозинството трговски друштва во Македонија се мали и средни претпријатија, со ограничен број вработени, концентрирана сопственост и неформализирани интерни управни структури</w:t>
      </w:r>
      <w:r w:rsidR="00071674">
        <w:rPr>
          <w:lang w:val="mk-MK"/>
        </w:rPr>
        <w:t>,</w:t>
      </w:r>
      <w:r w:rsidRPr="00804F49">
        <w:rPr>
          <w:lang w:val="mk-MK"/>
        </w:rPr>
        <w:t xml:space="preserve"> профил кој структурно е </w:t>
      </w:r>
      <w:r w:rsidRPr="00804F49">
        <w:rPr>
          <w:lang w:val="mk-MK"/>
        </w:rPr>
        <w:lastRenderedPageBreak/>
        <w:t xml:space="preserve">некомпатибилен со непосредна примена на задолжителна застапеност на ниво на одбор. Воведувањето на такво барање за сите друштва без праг на вработени би произвело правна норма применлива за мал број ентитети, при истовремено наметнување непропорционален административен товар на компании кои </w:t>
      </w:r>
      <w:r w:rsidR="003E706B">
        <w:rPr>
          <w:lang w:val="mk-MK"/>
        </w:rPr>
        <w:t xml:space="preserve">го </w:t>
      </w:r>
      <w:r w:rsidRPr="00804F49">
        <w:rPr>
          <w:lang w:val="mk-MK"/>
        </w:rPr>
        <w:t xml:space="preserve">немаат ни техничкиот ни синдикалниот капацитет за нејзино спроведување. Оттука, моделот заснован на стратифицирани прагови </w:t>
      </w:r>
      <w:r w:rsidR="003E706B">
        <w:rPr>
          <w:lang w:val="mk-MK"/>
        </w:rPr>
        <w:t>е</w:t>
      </w:r>
      <w:r w:rsidRPr="00804F49">
        <w:rPr>
          <w:lang w:val="mk-MK"/>
        </w:rPr>
        <w:t xml:space="preserve"> неопходна нормативна архитектура.</w:t>
      </w:r>
    </w:p>
    <w:p w14:paraId="609C4DF8" w14:textId="2F2664ED" w:rsidR="003E706B" w:rsidRDefault="00D563DC" w:rsidP="00884503">
      <w:pPr>
        <w:pStyle w:val="BodyText"/>
        <w:spacing w:before="240"/>
        <w:ind w:firstLine="720"/>
        <w:jc w:val="both"/>
        <w:rPr>
          <w:lang w:val="mk-MK"/>
        </w:rPr>
      </w:pPr>
      <w:r w:rsidRPr="00D563DC">
        <w:rPr>
          <w:lang w:val="mk-MK"/>
        </w:rPr>
        <w:t xml:space="preserve">Предложениот модел за Македонија би функционирал преку три прага на </w:t>
      </w:r>
      <w:r w:rsidR="003E2A0C">
        <w:rPr>
          <w:lang w:val="mk-MK"/>
        </w:rPr>
        <w:t xml:space="preserve">број на </w:t>
      </w:r>
      <w:r w:rsidRPr="00D563DC">
        <w:rPr>
          <w:lang w:val="mk-MK"/>
        </w:rPr>
        <w:t xml:space="preserve">вработени, при </w:t>
      </w:r>
      <w:r w:rsidR="003E2A0C">
        <w:rPr>
          <w:lang w:val="mk-MK"/>
        </w:rPr>
        <w:t>што</w:t>
      </w:r>
      <w:r w:rsidRPr="00D563DC">
        <w:rPr>
          <w:lang w:val="mk-MK"/>
        </w:rPr>
        <w:t xml:space="preserve"> секој праг </w:t>
      </w:r>
      <w:r w:rsidR="003E2A0C">
        <w:rPr>
          <w:lang w:val="mk-MK"/>
        </w:rPr>
        <w:t>треба да</w:t>
      </w:r>
      <w:r w:rsidRPr="00D563DC">
        <w:rPr>
          <w:lang w:val="mk-MK"/>
        </w:rPr>
        <w:t xml:space="preserve"> активира различни нивоа на обврски за вклученост, создавајќи т.н. ескалаторен механизам на постепено зајакнување на правата. Оваа логика не е оригинална </w:t>
      </w:r>
      <w:r w:rsidR="008A7E54">
        <w:rPr>
          <w:lang w:val="mk-MK"/>
        </w:rPr>
        <w:t>идеја на</w:t>
      </w:r>
      <w:r w:rsidRPr="00D563DC">
        <w:rPr>
          <w:lang w:val="mk-MK"/>
        </w:rPr>
        <w:t xml:space="preserve"> докторатот</w:t>
      </w:r>
      <w:r w:rsidR="008A7E54">
        <w:rPr>
          <w:lang w:val="mk-MK"/>
        </w:rPr>
        <w:t>,</w:t>
      </w:r>
      <w:r w:rsidRPr="00D563DC">
        <w:rPr>
          <w:lang w:val="mk-MK"/>
        </w:rPr>
        <w:t xml:space="preserve"> таа е веќе артикулирана на ниво на ЕУ преку </w:t>
      </w:r>
      <w:r w:rsidR="00FB1705">
        <w:rPr>
          <w:lang w:val="mk-MK"/>
        </w:rPr>
        <w:t xml:space="preserve">еден од </w:t>
      </w:r>
      <w:r w:rsidRPr="00D563DC">
        <w:rPr>
          <w:lang w:val="mk-MK"/>
        </w:rPr>
        <w:t>предл</w:t>
      </w:r>
      <w:r w:rsidR="00FB1705">
        <w:rPr>
          <w:lang w:val="mk-MK"/>
        </w:rPr>
        <w:t>озите</w:t>
      </w:r>
      <w:r w:rsidR="008E3A66">
        <w:rPr>
          <w:lang w:val="mk-MK"/>
        </w:rPr>
        <w:t xml:space="preserve"> на</w:t>
      </w:r>
      <w:r w:rsidR="00486C59">
        <w:rPr>
          <w:lang w:val="en-US"/>
        </w:rPr>
        <w:t xml:space="preserve"> </w:t>
      </w:r>
      <w:r w:rsidR="00486C59" w:rsidRPr="00486C59">
        <w:rPr>
          <w:lang w:val="mk-MK"/>
        </w:rPr>
        <w:t>Европската конфедерација на синдикати</w:t>
      </w:r>
      <w:r w:rsidRPr="00D563DC">
        <w:rPr>
          <w:lang w:val="mk-MK"/>
        </w:rPr>
        <w:t>, кој предвидува едно место за претставник на вработените во компании со 50 до 250 вработени, учество од една третина во компании со 251 до 1.000 вработени и паритет за компании со повеќе од 1.000 вработени, иако тој предлог остана ограничен на прекугранични корпоративни форми регулирани со правото на ЕУ.</w:t>
      </w:r>
      <w:r w:rsidR="00C518AA">
        <w:rPr>
          <w:rStyle w:val="FootnoteReference"/>
          <w:lang w:val="mk-MK"/>
        </w:rPr>
        <w:footnoteReference w:id="810"/>
      </w:r>
      <w:r w:rsidRPr="00D563DC">
        <w:rPr>
          <w:lang w:val="mk-MK"/>
        </w:rPr>
        <w:t xml:space="preserve"> Имплементацијата на овој ескалаторен принцип во националното македонско право, но прилагоден кон домашниот корпоративен профил, претставува теоретски кохерентна и практично одбранлива препорака</w:t>
      </w:r>
      <w:r w:rsidR="0056743E">
        <w:rPr>
          <w:lang w:val="mk-MK"/>
        </w:rPr>
        <w:t>.</w:t>
      </w:r>
    </w:p>
    <w:p w14:paraId="23130FA7" w14:textId="0F48CAF1" w:rsidR="0056743E" w:rsidRDefault="0056743E" w:rsidP="00884503">
      <w:pPr>
        <w:pStyle w:val="BodyText"/>
        <w:spacing w:before="240"/>
        <w:ind w:firstLine="720"/>
        <w:jc w:val="both"/>
        <w:rPr>
          <w:lang w:val="mk-MK"/>
        </w:rPr>
      </w:pPr>
      <w:r w:rsidRPr="0056743E">
        <w:rPr>
          <w:lang w:val="mk-MK"/>
        </w:rPr>
        <w:t>Конкретно, за компании по</w:t>
      </w:r>
      <w:r>
        <w:rPr>
          <w:lang w:val="mk-MK"/>
        </w:rPr>
        <w:t>д</w:t>
      </w:r>
      <w:r w:rsidRPr="0056743E">
        <w:rPr>
          <w:lang w:val="mk-MK"/>
        </w:rPr>
        <w:t xml:space="preserve"> </w:t>
      </w:r>
      <w:r w:rsidR="00A11EC1">
        <w:rPr>
          <w:lang w:val="mk-MK"/>
        </w:rPr>
        <w:t>5</w:t>
      </w:r>
      <w:r w:rsidRPr="0056743E">
        <w:rPr>
          <w:lang w:val="mk-MK"/>
        </w:rPr>
        <w:t>0 вработени</w:t>
      </w:r>
      <w:r>
        <w:rPr>
          <w:lang w:val="mk-MK"/>
        </w:rPr>
        <w:t xml:space="preserve"> без разлика на формата на трговското друштво</w:t>
      </w:r>
      <w:r w:rsidRPr="0056743E">
        <w:rPr>
          <w:lang w:val="mk-MK"/>
        </w:rPr>
        <w:t>, предложениот модел би воспоставил задолжително право на информирање и консултирање</w:t>
      </w:r>
      <w:r>
        <w:rPr>
          <w:lang w:val="mk-MK"/>
        </w:rPr>
        <w:t>,</w:t>
      </w:r>
      <w:r w:rsidRPr="0056743E">
        <w:rPr>
          <w:lang w:val="mk-MK"/>
        </w:rPr>
        <w:t xml:space="preserve"> без застапеност во органите</w:t>
      </w:r>
      <w:r w:rsidR="00A11EC1">
        <w:rPr>
          <w:lang w:val="mk-MK"/>
        </w:rPr>
        <w:t>,</w:t>
      </w:r>
      <w:r w:rsidRPr="0056743E">
        <w:rPr>
          <w:lang w:val="mk-MK"/>
        </w:rPr>
        <w:t xml:space="preserve"> со опција за договорна застапеност со едно советодавно (не-гласачко) место во надзорниот или управниот одбор. Оваа категорија е особено сензитивна во македонскиот контекст</w:t>
      </w:r>
      <w:r w:rsidR="00A11EC1">
        <w:rPr>
          <w:lang w:val="mk-MK"/>
        </w:rPr>
        <w:t xml:space="preserve"> затоа што</w:t>
      </w:r>
      <w:r w:rsidRPr="0056743E">
        <w:rPr>
          <w:lang w:val="mk-MK"/>
        </w:rPr>
        <w:t xml:space="preserve"> во неа </w:t>
      </w:r>
      <w:r w:rsidR="00A11EC1">
        <w:rPr>
          <w:lang w:val="mk-MK"/>
        </w:rPr>
        <w:t>с</w:t>
      </w:r>
      <w:r w:rsidRPr="0056743E">
        <w:rPr>
          <w:lang w:val="mk-MK"/>
        </w:rPr>
        <w:t>паѓа мнозинството средни претпријатија кои немаат ниту развиен</w:t>
      </w:r>
      <w:r w:rsidR="00847B1E">
        <w:rPr>
          <w:lang w:val="mk-MK"/>
        </w:rPr>
        <w:t>а</w:t>
      </w:r>
      <w:r w:rsidRPr="0056743E">
        <w:rPr>
          <w:lang w:val="mk-MK"/>
        </w:rPr>
        <w:t xml:space="preserve"> синдикалн</w:t>
      </w:r>
      <w:r w:rsidR="00847B1E">
        <w:rPr>
          <w:lang w:val="mk-MK"/>
        </w:rPr>
        <w:t>а динамика,</w:t>
      </w:r>
      <w:r w:rsidRPr="0056743E">
        <w:rPr>
          <w:lang w:val="mk-MK"/>
        </w:rPr>
        <w:t xml:space="preserve"> ниту административен капацитет за управување со претставнички механизми. Советодавното присуство</w:t>
      </w:r>
      <w:r w:rsidR="00847B1E">
        <w:rPr>
          <w:lang w:val="mk-MK"/>
        </w:rPr>
        <w:t>,</w:t>
      </w:r>
      <w:r w:rsidRPr="0056743E">
        <w:rPr>
          <w:lang w:val="mk-MK"/>
        </w:rPr>
        <w:t xml:space="preserve"> без право на глас, но со право на присуство на седниците и увид во документација</w:t>
      </w:r>
      <w:r w:rsidR="00847B1E">
        <w:rPr>
          <w:lang w:val="mk-MK"/>
        </w:rPr>
        <w:t>,</w:t>
      </w:r>
      <w:r w:rsidRPr="0056743E">
        <w:rPr>
          <w:lang w:val="mk-MK"/>
        </w:rPr>
        <w:t xml:space="preserve"> е пристап кој го следи хрватскиот модел на минимална застапеност, а истовремено го поставува темелот за идна еволуција кон гласачко право кога институционалниот капацитет ќе порасне.</w:t>
      </w:r>
    </w:p>
    <w:p w14:paraId="30ECC4A0" w14:textId="4E2928A5" w:rsidR="00847B1E" w:rsidRDefault="00C27DEA" w:rsidP="00884503">
      <w:pPr>
        <w:pStyle w:val="BodyText"/>
        <w:spacing w:before="240"/>
        <w:ind w:firstLine="720"/>
        <w:jc w:val="both"/>
        <w:rPr>
          <w:lang w:val="mk-MK"/>
        </w:rPr>
      </w:pPr>
      <w:r w:rsidRPr="00C27DEA">
        <w:rPr>
          <w:lang w:val="mk-MK"/>
        </w:rPr>
        <w:t xml:space="preserve">За компании со </w:t>
      </w:r>
      <w:r>
        <w:rPr>
          <w:lang w:val="mk-MK"/>
        </w:rPr>
        <w:t xml:space="preserve">50 </w:t>
      </w:r>
      <w:r w:rsidR="000F5EED">
        <w:rPr>
          <w:lang w:val="mk-MK"/>
        </w:rPr>
        <w:t>до</w:t>
      </w:r>
      <w:r>
        <w:rPr>
          <w:lang w:val="mk-MK"/>
        </w:rPr>
        <w:t xml:space="preserve"> </w:t>
      </w:r>
      <w:r w:rsidRPr="00C27DEA">
        <w:rPr>
          <w:lang w:val="mk-MK"/>
        </w:rPr>
        <w:t>250 вработени</w:t>
      </w:r>
      <w:r>
        <w:rPr>
          <w:lang w:val="mk-MK"/>
        </w:rPr>
        <w:t>,</w:t>
      </w:r>
      <w:r w:rsidRPr="00C27DEA">
        <w:rPr>
          <w:lang w:val="mk-MK"/>
        </w:rPr>
        <w:t xml:space="preserve"> прагот кој во македонскиот контекст ги опфаќа поголемите </w:t>
      </w:r>
      <w:r>
        <w:rPr>
          <w:lang w:val="mk-MK"/>
        </w:rPr>
        <w:t>трговски друштва</w:t>
      </w:r>
      <w:r w:rsidRPr="00C27DEA">
        <w:rPr>
          <w:lang w:val="mk-MK"/>
        </w:rPr>
        <w:t xml:space="preserve">, вклучувајќи дел од акционерски друштва </w:t>
      </w:r>
      <w:r>
        <w:rPr>
          <w:lang w:val="mk-MK"/>
        </w:rPr>
        <w:t>котирани на берза,</w:t>
      </w:r>
      <w:r w:rsidRPr="00C27DEA">
        <w:rPr>
          <w:lang w:val="mk-MK"/>
        </w:rPr>
        <w:t xml:space="preserve"> моделот би воспоставил задолжително гласачко право за претставниците на вработените во размер од една третина на надзорниот одбор, доколку компанијата го применува двостепениот систем на управување. За </w:t>
      </w:r>
      <w:r w:rsidR="00397AE0">
        <w:rPr>
          <w:lang w:val="mk-MK"/>
        </w:rPr>
        <w:t>друштва со</w:t>
      </w:r>
      <w:r w:rsidRPr="00C27DEA">
        <w:rPr>
          <w:lang w:val="mk-MK"/>
        </w:rPr>
        <w:t xml:space="preserve"> едностепен систем би се применувал сроден режим со задолжителна застапеност на неизвршни членови избрани </w:t>
      </w:r>
      <w:r w:rsidR="00FB5C2C">
        <w:rPr>
          <w:lang w:val="mk-MK"/>
        </w:rPr>
        <w:t>од</w:t>
      </w:r>
      <w:r w:rsidRPr="00C27DEA">
        <w:rPr>
          <w:lang w:val="mk-MK"/>
        </w:rPr>
        <w:t xml:space="preserve"> страна на вработените. Германскиот законодавен пристап прави јасна дистинкција</w:t>
      </w:r>
      <w:r w:rsidR="00FB5C2C">
        <w:rPr>
          <w:lang w:val="mk-MK"/>
        </w:rPr>
        <w:t>,</w:t>
      </w:r>
      <w:r w:rsidRPr="00C27DEA">
        <w:rPr>
          <w:lang w:val="mk-MK"/>
        </w:rPr>
        <w:t xml:space="preserve"> за компании </w:t>
      </w:r>
      <w:r w:rsidR="00FB5C2C">
        <w:rPr>
          <w:lang w:val="mk-MK"/>
        </w:rPr>
        <w:t>со</w:t>
      </w:r>
      <w:r w:rsidRPr="00C27DEA">
        <w:rPr>
          <w:lang w:val="mk-MK"/>
        </w:rPr>
        <w:t xml:space="preserve"> 500 до 2.000 </w:t>
      </w:r>
      <w:r w:rsidR="00FB5C2C">
        <w:rPr>
          <w:lang w:val="mk-MK"/>
        </w:rPr>
        <w:t>работници,</w:t>
      </w:r>
      <w:r w:rsidRPr="00C27DEA">
        <w:rPr>
          <w:lang w:val="mk-MK"/>
        </w:rPr>
        <w:t xml:space="preserve"> вработените имаат право на една третина од местата во надзорниот одбор, додека за оние со повеќе од 2.000 вработени важи паритетно застапување. Примената на ова скалилo во македонски услови би подразбирала дека прагот од </w:t>
      </w:r>
      <w:r w:rsidR="000C3E2A">
        <w:rPr>
          <w:lang w:val="mk-MK"/>
        </w:rPr>
        <w:t>25</w:t>
      </w:r>
      <w:r w:rsidRPr="00C27DEA">
        <w:rPr>
          <w:lang w:val="mk-MK"/>
        </w:rPr>
        <w:t>0 вработени</w:t>
      </w:r>
      <w:r w:rsidR="000C3E2A">
        <w:rPr>
          <w:lang w:val="mk-MK"/>
        </w:rPr>
        <w:t xml:space="preserve">, </w:t>
      </w:r>
      <w:r w:rsidRPr="00C27DEA">
        <w:rPr>
          <w:lang w:val="mk-MK"/>
        </w:rPr>
        <w:t>кој во германскиот систем е релативно ниска категорија</w:t>
      </w:r>
      <w:r w:rsidR="000C3E2A">
        <w:rPr>
          <w:lang w:val="mk-MK"/>
        </w:rPr>
        <w:t>,</w:t>
      </w:r>
      <w:r w:rsidRPr="00C27DEA">
        <w:rPr>
          <w:lang w:val="mk-MK"/>
        </w:rPr>
        <w:t xml:space="preserve"> во </w:t>
      </w:r>
      <w:r w:rsidR="000C3E2A">
        <w:rPr>
          <w:lang w:val="mk-MK"/>
        </w:rPr>
        <w:t>Македонија</w:t>
      </w:r>
      <w:r w:rsidRPr="00C27DEA">
        <w:rPr>
          <w:lang w:val="mk-MK"/>
        </w:rPr>
        <w:t xml:space="preserve"> би претставувал клучна демаркациона линија, бидејќи само мал број компании го надминуваат.</w:t>
      </w:r>
    </w:p>
    <w:p w14:paraId="47429F42" w14:textId="6B3DF6C3" w:rsidR="006053DD" w:rsidRDefault="006053DD" w:rsidP="00884503">
      <w:pPr>
        <w:pStyle w:val="BodyText"/>
        <w:spacing w:before="240"/>
        <w:ind w:firstLine="720"/>
        <w:jc w:val="both"/>
        <w:rPr>
          <w:lang w:val="en-US"/>
        </w:rPr>
      </w:pPr>
      <w:r w:rsidRPr="006053DD">
        <w:rPr>
          <w:lang w:val="mk-MK"/>
        </w:rPr>
        <w:t>Токму за таа категорија</w:t>
      </w:r>
      <w:r>
        <w:rPr>
          <w:lang w:val="mk-MK"/>
        </w:rPr>
        <w:t>,</w:t>
      </w:r>
      <w:r w:rsidRPr="006053DD">
        <w:rPr>
          <w:lang w:val="mk-MK"/>
        </w:rPr>
        <w:t xml:space="preserve"> </w:t>
      </w:r>
      <w:r>
        <w:rPr>
          <w:lang w:val="mk-MK"/>
        </w:rPr>
        <w:t>друштва</w:t>
      </w:r>
      <w:r w:rsidRPr="006053DD">
        <w:rPr>
          <w:lang w:val="mk-MK"/>
        </w:rPr>
        <w:t xml:space="preserve"> со повеќе од </w:t>
      </w:r>
      <w:r w:rsidR="000F5EED">
        <w:rPr>
          <w:lang w:val="mk-MK"/>
        </w:rPr>
        <w:t>25</w:t>
      </w:r>
      <w:r w:rsidRPr="006053DD">
        <w:rPr>
          <w:lang w:val="mk-MK"/>
        </w:rPr>
        <w:t xml:space="preserve">0 вработени, во Македонија </w:t>
      </w:r>
      <w:r w:rsidRPr="006053DD">
        <w:rPr>
          <w:lang w:val="mk-MK"/>
        </w:rPr>
        <w:lastRenderedPageBreak/>
        <w:t>претежно јавни претпријатија, енергетски компании и неколку приватни индустриски субјекти</w:t>
      </w:r>
      <w:r w:rsidR="000F5EED">
        <w:rPr>
          <w:lang w:val="mk-MK"/>
        </w:rPr>
        <w:t>,</w:t>
      </w:r>
      <w:r w:rsidRPr="006053DD">
        <w:rPr>
          <w:lang w:val="mk-MK"/>
        </w:rPr>
        <w:t xml:space="preserve"> моделот предлага паритетна или квази-паритетна застапеност, со мнозински гласачки глас за претставниците на акционерите во случај на </w:t>
      </w:r>
      <w:r w:rsidR="000F5EED">
        <w:rPr>
          <w:lang w:val="mk-MK"/>
        </w:rPr>
        <w:t>изедначеност</w:t>
      </w:r>
      <w:r w:rsidRPr="006053DD">
        <w:rPr>
          <w:lang w:val="mk-MK"/>
        </w:rPr>
        <w:t xml:space="preserve">, следејќи го германскиот принцип на „претседателски тај-брек". Германскиот систем на паритетно </w:t>
      </w:r>
      <w:r w:rsidR="00CC7D06">
        <w:rPr>
          <w:lang w:val="mk-MK"/>
        </w:rPr>
        <w:t>коодлучување</w:t>
      </w:r>
      <w:r w:rsidRPr="006053DD">
        <w:rPr>
          <w:lang w:val="mk-MK"/>
        </w:rPr>
        <w:t xml:space="preserve"> за компании со повеќе од 2.000 вработени предвидува дека надзорниот одбор се состои од 50% претставници на акционерите и 50% претставници на вработените, при </w:t>
      </w:r>
      <w:r w:rsidR="00361806">
        <w:rPr>
          <w:lang w:val="mk-MK"/>
        </w:rPr>
        <w:t>што</w:t>
      </w:r>
      <w:r w:rsidRPr="006053DD">
        <w:rPr>
          <w:lang w:val="mk-MK"/>
        </w:rPr>
        <w:t xml:space="preserve"> претседателот</w:t>
      </w:r>
      <w:r w:rsidR="00361806">
        <w:rPr>
          <w:lang w:val="mk-MK"/>
        </w:rPr>
        <w:t xml:space="preserve">, </w:t>
      </w:r>
      <w:r w:rsidRPr="006053DD">
        <w:rPr>
          <w:lang w:val="mk-MK"/>
        </w:rPr>
        <w:t>обично претставник на акционерите</w:t>
      </w:r>
      <w:r w:rsidR="00361806">
        <w:rPr>
          <w:lang w:val="mk-MK"/>
        </w:rPr>
        <w:t>,</w:t>
      </w:r>
      <w:r w:rsidRPr="006053DD">
        <w:rPr>
          <w:lang w:val="mk-MK"/>
        </w:rPr>
        <w:t xml:space="preserve"> го има одлучувачкиот глас во случај на изедначување.</w:t>
      </w:r>
      <w:r w:rsidR="00361806">
        <w:rPr>
          <w:rStyle w:val="FootnoteReference"/>
          <w:lang w:val="mk-MK"/>
        </w:rPr>
        <w:footnoteReference w:id="811"/>
      </w:r>
      <w:r w:rsidRPr="006053DD">
        <w:rPr>
          <w:lang w:val="mk-MK"/>
        </w:rPr>
        <w:t xml:space="preserve"> Уважувајќи ја македонската специфика на концентрирана сопственост и сè уште слаб синдикален капацитет, полниот паритет без такво тај-брек решение би создал практична блокада во одлучувањето, особено во приватни компании каде мнозинскиот акционер нема историска традиција на дељење на управната моќ</w:t>
      </w:r>
      <w:r w:rsidR="00E31C08">
        <w:rPr>
          <w:lang w:val="mk-MK"/>
        </w:rPr>
        <w:t xml:space="preserve">, што е најчест случај во македонскиот контекст. </w:t>
      </w:r>
    </w:p>
    <w:p w14:paraId="232879B5" w14:textId="549517FE" w:rsidR="002F5079" w:rsidRDefault="002F5079" w:rsidP="00884503">
      <w:pPr>
        <w:pStyle w:val="BodyText"/>
        <w:spacing w:before="240"/>
        <w:ind w:firstLine="720"/>
        <w:jc w:val="both"/>
        <w:rPr>
          <w:lang w:val="mk-MK"/>
        </w:rPr>
      </w:pPr>
      <w:r w:rsidRPr="002F5079">
        <w:rPr>
          <w:lang w:val="mk-MK"/>
        </w:rPr>
        <w:t xml:space="preserve">Паралелно со прагово-заснованата застапеност во органите, моделот мора да инкорпорира специфична регулација на финансиската партиципација диференцирана по категорија на друштво. Емпириски наодите во однос на врската помеѓу </w:t>
      </w:r>
      <w:r w:rsidR="00342FAC">
        <w:rPr>
          <w:lang w:val="mk-MK"/>
        </w:rPr>
        <w:t>застапеноста</w:t>
      </w:r>
      <w:r w:rsidRPr="002F5079">
        <w:rPr>
          <w:lang w:val="mk-MK"/>
        </w:rPr>
        <w:t xml:space="preserve"> и вредноста на компанијата посочуваат на релевантна нормативна дистинкција</w:t>
      </w:r>
      <w:r w:rsidR="00342FAC">
        <w:rPr>
          <w:lang w:val="mk-MK"/>
        </w:rPr>
        <w:t xml:space="preserve"> каде</w:t>
      </w:r>
      <w:r w:rsidRPr="002F5079">
        <w:rPr>
          <w:lang w:val="mk-MK"/>
        </w:rPr>
        <w:t xml:space="preserve"> доброволно усвоената застапеност на вработените на ниво на одбор позитивно влијае врз вредноста на компанијата во споредба со групата каде таквата застапеност е задолжителна, а компаниите од земји каде </w:t>
      </w:r>
      <w:r w:rsidR="00AD14DB">
        <w:rPr>
          <w:lang w:val="mk-MK"/>
        </w:rPr>
        <w:t>учеството</w:t>
      </w:r>
      <w:r w:rsidRPr="002F5079">
        <w:rPr>
          <w:lang w:val="mk-MK"/>
        </w:rPr>
        <w:t xml:space="preserve"> не е наметнат</w:t>
      </w:r>
      <w:r w:rsidR="00AD14DB">
        <w:rPr>
          <w:lang w:val="mk-MK"/>
        </w:rPr>
        <w:t>о</w:t>
      </w:r>
      <w:r w:rsidRPr="002F5079">
        <w:rPr>
          <w:lang w:val="mk-MK"/>
        </w:rPr>
        <w:t xml:space="preserve"> со закон имаат тенденција да исплаќаат повисоки дивиденди.</w:t>
      </w:r>
      <w:r w:rsidR="00AD14DB">
        <w:rPr>
          <w:rStyle w:val="FootnoteReference"/>
          <w:lang w:val="mk-MK"/>
        </w:rPr>
        <w:footnoteReference w:id="812"/>
      </w:r>
    </w:p>
    <w:p w14:paraId="486E7075" w14:textId="69D1D65D" w:rsidR="0073040F" w:rsidRDefault="0073040F" w:rsidP="00884503">
      <w:pPr>
        <w:pStyle w:val="BodyText"/>
        <w:spacing w:before="240"/>
        <w:ind w:firstLine="720"/>
        <w:jc w:val="both"/>
        <w:rPr>
          <w:lang w:val="mk-MK"/>
        </w:rPr>
      </w:pPr>
      <w:r w:rsidRPr="0073040F">
        <w:rPr>
          <w:lang w:val="mk-MK"/>
        </w:rPr>
        <w:t>Оваа емпириска констатација е теоретски значајна за дизајнот на македонскиот модел</w:t>
      </w:r>
      <w:r w:rsidR="002C0889">
        <w:rPr>
          <w:lang w:val="mk-MK"/>
        </w:rPr>
        <w:t xml:space="preserve"> затоа што</w:t>
      </w:r>
      <w:r w:rsidRPr="0073040F">
        <w:rPr>
          <w:lang w:val="mk-MK"/>
        </w:rPr>
        <w:t xml:space="preserve"> наместо да ги принуди малите и средни компании на задолжително акциско учество на вработените, моделот би требало да ги создаде даночните и структурни стимули кои ќе го направат доброволното воведување на ESOP шеми рационален избор за работодавачите. За акционерски</w:t>
      </w:r>
      <w:r w:rsidR="005F20B8">
        <w:rPr>
          <w:lang w:val="mk-MK"/>
        </w:rPr>
        <w:t>те</w:t>
      </w:r>
      <w:r w:rsidRPr="0073040F">
        <w:rPr>
          <w:lang w:val="mk-MK"/>
        </w:rPr>
        <w:t xml:space="preserve"> друштва</w:t>
      </w:r>
      <w:r w:rsidR="005F20B8">
        <w:rPr>
          <w:lang w:val="mk-MK"/>
        </w:rPr>
        <w:t xml:space="preserve"> кои котираат на берза</w:t>
      </w:r>
      <w:r w:rsidRPr="0073040F">
        <w:rPr>
          <w:lang w:val="mk-MK"/>
        </w:rPr>
        <w:t xml:space="preserve"> пак, каде постои поразвиена акционерска структура, задолжителната минимална квота за акции достапни за вработени</w:t>
      </w:r>
      <w:r w:rsidR="00BF4E8B">
        <w:rPr>
          <w:lang w:val="mk-MK"/>
        </w:rPr>
        <w:t>,</w:t>
      </w:r>
      <w:r w:rsidRPr="0073040F">
        <w:rPr>
          <w:lang w:val="mk-MK"/>
        </w:rPr>
        <w:t xml:space="preserve"> фиксирана по пример на постојната одредба во ЗТД која дозволува до 1/10 од основниот капитал</w:t>
      </w:r>
      <w:r w:rsidR="00BF4E8B">
        <w:rPr>
          <w:lang w:val="mk-MK"/>
        </w:rPr>
        <w:t xml:space="preserve">, </w:t>
      </w:r>
      <w:r w:rsidRPr="0073040F">
        <w:rPr>
          <w:lang w:val="mk-MK"/>
        </w:rPr>
        <w:t xml:space="preserve">би требало да биде придружена со даночна олеснување на трансферот, принуден </w:t>
      </w:r>
      <w:r w:rsidR="00BF4E8B">
        <w:rPr>
          <w:lang w:val="mk-MK"/>
        </w:rPr>
        <w:t>заклучен</w:t>
      </w:r>
      <w:r w:rsidRPr="0073040F">
        <w:rPr>
          <w:lang w:val="mk-MK"/>
        </w:rPr>
        <w:t xml:space="preserve"> период за спречување на шпекулативна продажба и гаранција за правата на вработените-акционери при корпоративни трансформации.</w:t>
      </w:r>
      <w:r w:rsidR="00803081">
        <w:rPr>
          <w:rStyle w:val="FootnoteReference"/>
          <w:lang w:val="mk-MK"/>
        </w:rPr>
        <w:footnoteReference w:id="813"/>
      </w:r>
    </w:p>
    <w:p w14:paraId="430390E8" w14:textId="313EE143" w:rsidR="00441C22" w:rsidRPr="002F5079" w:rsidRDefault="009B096C" w:rsidP="00884503">
      <w:pPr>
        <w:pStyle w:val="BodyText"/>
        <w:spacing w:before="240"/>
        <w:ind w:firstLine="720"/>
        <w:jc w:val="both"/>
        <w:rPr>
          <w:lang w:val="mk-MK"/>
        </w:rPr>
      </w:pPr>
      <w:r>
        <w:rPr>
          <w:lang w:val="mk-MK"/>
        </w:rPr>
        <w:t>За крај, з</w:t>
      </w:r>
      <w:r w:rsidR="00441C22" w:rsidRPr="00441C22">
        <w:rPr>
          <w:lang w:val="mk-MK"/>
        </w:rPr>
        <w:t>аконодавството кое ја поткрепува застапеноста на ниво на одбор постои во 1</w:t>
      </w:r>
      <w:r>
        <w:rPr>
          <w:lang w:val="mk-MK"/>
        </w:rPr>
        <w:t>7</w:t>
      </w:r>
      <w:r w:rsidR="00441C22" w:rsidRPr="00441C22">
        <w:rPr>
          <w:lang w:val="mk-MK"/>
        </w:rPr>
        <w:t xml:space="preserve"> земји-членки на ЕУ и Норвешка,</w:t>
      </w:r>
      <w:r w:rsidR="00AA70F1">
        <w:rPr>
          <w:lang w:val="mk-MK"/>
        </w:rPr>
        <w:t xml:space="preserve"> што претставува повеќе од половина од најзначајните економии во Европа,</w:t>
      </w:r>
      <w:r w:rsidR="00441C22" w:rsidRPr="00441C22">
        <w:rPr>
          <w:lang w:val="mk-MK"/>
        </w:rPr>
        <w:t xml:space="preserve"> но нејзините карактеристики значително варираат, ограничена во некои земји на државниот сектор и зависна во други од различни прагови на големина на компаниите. Оваа разновидност е финален академски аргумент во прилог на предложениот македонски модел</w:t>
      </w:r>
      <w:r w:rsidR="00AA70F1">
        <w:rPr>
          <w:lang w:val="mk-MK"/>
        </w:rPr>
        <w:t xml:space="preserve"> затоа што</w:t>
      </w:r>
      <w:r w:rsidR="00441C22" w:rsidRPr="00441C22">
        <w:rPr>
          <w:lang w:val="mk-MK"/>
        </w:rPr>
        <w:t xml:space="preserve"> тој не претендира да биде унифициран рецепт, туку нормативна рамка доволно</w:t>
      </w:r>
      <w:r w:rsidR="00803081">
        <w:rPr>
          <w:lang w:val="mk-MK"/>
        </w:rPr>
        <w:t xml:space="preserve"> флексибилна</w:t>
      </w:r>
      <w:r w:rsidR="00441C22" w:rsidRPr="00441C22">
        <w:rPr>
          <w:lang w:val="mk-MK"/>
        </w:rPr>
        <w:t xml:space="preserve"> за да абсорбира различни корпоративни форми и различни степени на синдикален и институционален развој</w:t>
      </w:r>
      <w:r w:rsidR="00803081">
        <w:rPr>
          <w:lang w:val="mk-MK"/>
        </w:rPr>
        <w:t>,</w:t>
      </w:r>
      <w:r w:rsidR="00441C22" w:rsidRPr="00441C22">
        <w:rPr>
          <w:lang w:val="mk-MK"/>
        </w:rPr>
        <w:t xml:space="preserve"> а доволно цврста за да произведе вистинска и мерлива промена во структурата на корпоративното управување во периодот на пристапување и по него.</w:t>
      </w:r>
      <w:r w:rsidR="00803081">
        <w:rPr>
          <w:rStyle w:val="FootnoteReference"/>
          <w:lang w:val="mk-MK"/>
        </w:rPr>
        <w:footnoteReference w:id="814"/>
      </w:r>
    </w:p>
    <w:p w14:paraId="7EB1E75A" w14:textId="6DA91318" w:rsidR="00884503" w:rsidRPr="00884503" w:rsidRDefault="00884503" w:rsidP="00884503">
      <w:pPr>
        <w:pStyle w:val="Heading2"/>
        <w:numPr>
          <w:ilvl w:val="1"/>
          <w:numId w:val="14"/>
        </w:numPr>
        <w:rPr>
          <w:rFonts w:ascii="Times New Roman" w:hAnsi="Times New Roman" w:cs="Times New Roman"/>
          <w:b w:val="0"/>
          <w:bCs w:val="0"/>
          <w:color w:val="000000" w:themeColor="text1"/>
          <w:sz w:val="24"/>
          <w:szCs w:val="24"/>
          <w:lang w:val="mk-MK"/>
        </w:rPr>
      </w:pPr>
      <w:r>
        <w:rPr>
          <w:lang w:val="mk-MK"/>
        </w:rPr>
        <w:lastRenderedPageBreak/>
        <w:t xml:space="preserve"> </w:t>
      </w:r>
      <w:bookmarkStart w:id="93" w:name="_Toc230523946"/>
      <w:r w:rsidRPr="00884503">
        <w:rPr>
          <w:rFonts w:ascii="Times New Roman" w:hAnsi="Times New Roman" w:cs="Times New Roman"/>
          <w:b w:val="0"/>
          <w:bCs w:val="0"/>
          <w:color w:val="000000" w:themeColor="text1"/>
          <w:sz w:val="24"/>
          <w:szCs w:val="24"/>
          <w:lang w:val="mk-MK"/>
        </w:rPr>
        <w:t>Институционални актери и нивните улоги во имплементацијата</w:t>
      </w:r>
      <w:bookmarkEnd w:id="93"/>
    </w:p>
    <w:p w14:paraId="1BB7FB8D" w14:textId="63CF2C24" w:rsidR="00806EC3" w:rsidRDefault="00BD703B" w:rsidP="00884503">
      <w:pPr>
        <w:pStyle w:val="BodyText"/>
        <w:spacing w:before="240"/>
        <w:ind w:firstLine="720"/>
        <w:jc w:val="both"/>
        <w:rPr>
          <w:lang w:val="en-US"/>
        </w:rPr>
      </w:pPr>
      <w:r w:rsidRPr="00BD703B">
        <w:rPr>
          <w:lang w:val="mk-MK"/>
        </w:rPr>
        <w:t>Имплементацијата на кој било модел на учество на вработените</w:t>
      </w:r>
      <w:r w:rsidR="00FB0386">
        <w:rPr>
          <w:lang w:val="en-US"/>
        </w:rPr>
        <w:t xml:space="preserve">, </w:t>
      </w:r>
      <w:r w:rsidRPr="00BD703B">
        <w:rPr>
          <w:lang w:val="mk-MK"/>
        </w:rPr>
        <w:t>без оглед на неговата нормативна елаборираност</w:t>
      </w:r>
      <w:r w:rsidR="00FB0386">
        <w:rPr>
          <w:lang w:val="en-US"/>
        </w:rPr>
        <w:t>,</w:t>
      </w:r>
      <w:r w:rsidRPr="00BD703B">
        <w:rPr>
          <w:lang w:val="mk-MK"/>
        </w:rPr>
        <w:t xml:space="preserve"> е функција на законодавната воља</w:t>
      </w:r>
      <w:r w:rsidR="00FB0386">
        <w:rPr>
          <w:lang w:val="en-US"/>
        </w:rPr>
        <w:t xml:space="preserve"> </w:t>
      </w:r>
      <w:r w:rsidR="00FB0386">
        <w:rPr>
          <w:lang w:val="mk-MK"/>
        </w:rPr>
        <w:t xml:space="preserve">и </w:t>
      </w:r>
      <w:r w:rsidRPr="00BD703B">
        <w:rPr>
          <w:lang w:val="mk-MK"/>
        </w:rPr>
        <w:t>на целокупниот институционален екосистем кој ја спроведува, следи, легитимира и репродуцира правната норма во секојдневната корпоративна стварност. Правните и регулаторните рамки мора да бидат придружени со силен и независен институционален надзор со цел да се обезбеди ефикасна супервизија и спроведување на кои пазарните учесници можат да се потпрат. Во македонскиот контекст, оваа констатација добива поголема тежина отколку во земјите со долга традиција на корпоративно управување  бидејќи институционалната мрежа мора истовремено да ги врши функциите на транспозиција, едукација, спроведување и легитимизација на реформи кои немаат доволна домашна историска подлога.</w:t>
      </w:r>
    </w:p>
    <w:p w14:paraId="14E6DFA5" w14:textId="7FB05B3F" w:rsidR="00A06D96" w:rsidRDefault="00A06D96" w:rsidP="00884503">
      <w:pPr>
        <w:pStyle w:val="BodyText"/>
        <w:spacing w:before="240"/>
        <w:ind w:firstLine="720"/>
        <w:jc w:val="both"/>
        <w:rPr>
          <w:lang w:val="mk-MK"/>
        </w:rPr>
      </w:pPr>
      <w:r>
        <w:rPr>
          <w:lang w:val="mk-MK"/>
        </w:rPr>
        <w:t>Од друга страна, с</w:t>
      </w:r>
      <w:r w:rsidRPr="00A06D96">
        <w:rPr>
          <w:lang w:val="mk-MK"/>
        </w:rPr>
        <w:t xml:space="preserve">тудијата за европската интеграција долго време осцилира помеѓу функционалистичкиот оптимизам за сѐ потесна унија и </w:t>
      </w:r>
      <w:r w:rsidR="00B36E2B">
        <w:rPr>
          <w:lang w:val="mk-MK"/>
        </w:rPr>
        <w:t xml:space="preserve">реалното </w:t>
      </w:r>
      <w:r w:rsidRPr="00A06D96">
        <w:rPr>
          <w:lang w:val="mk-MK"/>
        </w:rPr>
        <w:t>признавање на вето-актери, институционални заклучувања и адаптација поттикната од кризи.</w:t>
      </w:r>
      <w:r w:rsidR="00CD54CA">
        <w:rPr>
          <w:rStyle w:val="FootnoteReference"/>
          <w:lang w:val="mk-MK"/>
        </w:rPr>
        <w:footnoteReference w:id="815"/>
      </w:r>
      <w:r w:rsidRPr="00A06D96">
        <w:rPr>
          <w:lang w:val="mk-MK"/>
        </w:rPr>
        <w:t xml:space="preserve"> Ова упатува на едно подлабоко прашање за формирањето на политичката заедница</w:t>
      </w:r>
      <w:r w:rsidR="00CD54CA">
        <w:rPr>
          <w:lang w:val="mk-MK"/>
        </w:rPr>
        <w:t>,</w:t>
      </w:r>
      <w:r w:rsidRPr="00A06D96">
        <w:rPr>
          <w:lang w:val="mk-MK"/>
        </w:rPr>
        <w:t xml:space="preserve"> дали Европската унија, како повеќе</w:t>
      </w:r>
      <w:r w:rsidR="00875EEE">
        <w:rPr>
          <w:lang w:val="mk-MK"/>
        </w:rPr>
        <w:t>слоен</w:t>
      </w:r>
      <w:r w:rsidRPr="00A06D96">
        <w:rPr>
          <w:lang w:val="mk-MK"/>
        </w:rPr>
        <w:t xml:space="preserve"> систем создаден од пазарна интеграција, може да развие структурна кохерентност и механизми за создавање лојалност што некогаш ја одржуваа модерната држава? Надоврзувајќи се на делото на Stefano Bartolini „Restructuring Europe“ (2005) и Ferrera, Kriesi и Schelkle (2024) „Maintaining the EU’s Compound Polity during the Long Crisis Decade“, македонскиот случај истражува како отворените граници на ЕУ, фрагментираната власт и тенките слоеви на социјално поврзување парадоксално и ја ограничуваат и ја одржуваат нејзината еволуција како политичка заедница.</w:t>
      </w:r>
    </w:p>
    <w:p w14:paraId="341B4289" w14:textId="77777777" w:rsidR="00D60CDD" w:rsidRDefault="005F70ED" w:rsidP="00884503">
      <w:pPr>
        <w:pStyle w:val="BodyText"/>
        <w:spacing w:before="240"/>
        <w:ind w:firstLine="720"/>
        <w:jc w:val="both"/>
        <w:rPr>
          <w:lang w:val="mk-MK"/>
        </w:rPr>
      </w:pPr>
      <w:r w:rsidRPr="005F70ED">
        <w:rPr>
          <w:lang w:val="mk-MK"/>
        </w:rPr>
        <w:t>Рамката на Bartolini, втемелена во традицијата на Rokkan и Hirschman, сугерира дека секоја политичка заедница, за да опстане, мора да изгради механизми на разграничување, поврзување и сплотување</w:t>
      </w:r>
      <w:r>
        <w:rPr>
          <w:lang w:val="mk-MK"/>
        </w:rPr>
        <w:t>.</w:t>
      </w:r>
      <w:r>
        <w:rPr>
          <w:rStyle w:val="FootnoteReference"/>
          <w:lang w:val="mk-MK"/>
        </w:rPr>
        <w:footnoteReference w:id="816"/>
      </w:r>
      <w:r>
        <w:rPr>
          <w:lang w:val="mk-MK"/>
        </w:rPr>
        <w:t xml:space="preserve"> Впрочем, станува збор за</w:t>
      </w:r>
      <w:r w:rsidRPr="005F70ED">
        <w:rPr>
          <w:lang w:val="mk-MK"/>
        </w:rPr>
        <w:t xml:space="preserve"> граници што го дефинираат внатрешното и надворешното, власт што овозможува колективно одлучување и лојалност што го втемелува општественото припаѓање. Историски, формирањето на државите во Европа ја следеше секвенца</w:t>
      </w:r>
      <w:r w:rsidR="009808BE">
        <w:rPr>
          <w:lang w:val="mk-MK"/>
        </w:rPr>
        <w:t>та на</w:t>
      </w:r>
      <w:r w:rsidRPr="005F70ED">
        <w:rPr>
          <w:lang w:val="mk-MK"/>
        </w:rPr>
        <w:t xml:space="preserve"> надворешното затворање</w:t>
      </w:r>
      <w:r w:rsidR="009808BE">
        <w:rPr>
          <w:lang w:val="mk-MK"/>
        </w:rPr>
        <w:t xml:space="preserve"> кое</w:t>
      </w:r>
      <w:r w:rsidRPr="005F70ED">
        <w:rPr>
          <w:lang w:val="mk-MK"/>
        </w:rPr>
        <w:t xml:space="preserve"> поттикнува внатрешно структурирање, создавајќи спој </w:t>
      </w:r>
      <w:r w:rsidR="009808BE">
        <w:rPr>
          <w:lang w:val="mk-MK"/>
        </w:rPr>
        <w:t>по</w:t>
      </w:r>
      <w:r w:rsidRPr="005F70ED">
        <w:rPr>
          <w:lang w:val="mk-MK"/>
        </w:rPr>
        <w:t>меѓу територијален суверенитет, културен идентитет и редистрибутивна солидарност.</w:t>
      </w:r>
      <w:r w:rsidR="009808BE">
        <w:rPr>
          <w:rStyle w:val="FootnoteReference"/>
          <w:lang w:val="mk-MK"/>
        </w:rPr>
        <w:footnoteReference w:id="817"/>
      </w:r>
      <w:r w:rsidRPr="005F70ED">
        <w:rPr>
          <w:lang w:val="mk-MK"/>
        </w:rPr>
        <w:t xml:space="preserve"> Европската интеграција, пак, се одвиваше во обратна насока. Проектот на ЕУ за „градење пазар без држава“ ги отвори националните граници и ја распрсна власта на повеќе нивоа, често еродирајќи ги домашните институционални аранжмани што ја овозможуваа демократијата и социјалната држава.</w:t>
      </w:r>
      <w:r w:rsidR="00D60CDD">
        <w:rPr>
          <w:rStyle w:val="FootnoteReference"/>
          <w:lang w:val="mk-MK"/>
        </w:rPr>
        <w:footnoteReference w:id="818"/>
      </w:r>
      <w:r w:rsidRPr="005F70ED">
        <w:rPr>
          <w:lang w:val="mk-MK"/>
        </w:rPr>
        <w:t xml:space="preserve"> </w:t>
      </w:r>
    </w:p>
    <w:p w14:paraId="0FB1ECC7" w14:textId="77777777" w:rsidR="003A4B57" w:rsidRDefault="005F70ED" w:rsidP="00884503">
      <w:pPr>
        <w:pStyle w:val="BodyText"/>
        <w:spacing w:before="240"/>
        <w:ind w:firstLine="720"/>
        <w:jc w:val="both"/>
        <w:rPr>
          <w:lang w:val="mk-MK"/>
        </w:rPr>
      </w:pPr>
      <w:r w:rsidRPr="005F70ED">
        <w:rPr>
          <w:lang w:val="mk-MK"/>
        </w:rPr>
        <w:t>Во дијагнозата на Bartolini, ова двојно движење, деструктурирање на националното без супранационално реструктурирање, созда</w:t>
      </w:r>
      <w:r w:rsidR="00EB0C8E">
        <w:rPr>
          <w:lang w:val="mk-MK"/>
        </w:rPr>
        <w:t>ло</w:t>
      </w:r>
      <w:r w:rsidRPr="005F70ED">
        <w:rPr>
          <w:lang w:val="mk-MK"/>
        </w:rPr>
        <w:t xml:space="preserve"> трајна тензичност во сржта на европската интеграција, правејќи ја Унијата кревка и политички недовршена.</w:t>
      </w:r>
      <w:r w:rsidR="000955F1">
        <w:rPr>
          <w:lang w:val="mk-MK"/>
        </w:rPr>
        <w:t xml:space="preserve"> </w:t>
      </w:r>
      <w:r w:rsidR="000955F1" w:rsidRPr="000955F1">
        <w:rPr>
          <w:lang w:val="mk-MK"/>
        </w:rPr>
        <w:lastRenderedPageBreak/>
        <w:t>Теоријата на Bartolini за градење граници нуди особено корисна аналогија. Неговата идеја дека политичкото структурирање зависи од институционализацијата на членството и ограничувањето на можностите за излез резонира со македонскиот контекст, каде и капиталот и трудот остануваат високо мобилни, а компаниите се соочуваат со потешкотии да задржат квалификувани работници и да изградат долгорочна посветеност.</w:t>
      </w:r>
      <w:r w:rsidR="009F4F5A">
        <w:rPr>
          <w:rStyle w:val="FootnoteReference"/>
          <w:lang w:val="mk-MK"/>
        </w:rPr>
        <w:footnoteReference w:id="819"/>
      </w:r>
      <w:r w:rsidR="000955F1" w:rsidRPr="000955F1">
        <w:rPr>
          <w:lang w:val="mk-MK"/>
        </w:rPr>
        <w:t xml:space="preserve"> </w:t>
      </w:r>
    </w:p>
    <w:p w14:paraId="7A9970FB" w14:textId="7ACB6B81" w:rsidR="00875EEE" w:rsidRDefault="000955F1" w:rsidP="00884503">
      <w:pPr>
        <w:pStyle w:val="BodyText"/>
        <w:spacing w:before="240"/>
        <w:ind w:firstLine="720"/>
        <w:jc w:val="both"/>
        <w:rPr>
          <w:lang w:val="mk-MK"/>
        </w:rPr>
      </w:pPr>
      <w:r w:rsidRPr="000955F1">
        <w:rPr>
          <w:lang w:val="mk-MK"/>
        </w:rPr>
        <w:t>Како што „композитната политичка заедница“ на ЕУ се потпира на слоевит суверенитет и преговарана легитимност, така и македонските компании имаат потреба од слоевити форми на вклучување, преку работничко претставување, кодетерминација или сопственичко учество, кои повторно ги конструираат социјалните граници на фирмата како политичка заедница.</w:t>
      </w:r>
      <w:r w:rsidR="003A4B57">
        <w:rPr>
          <w:rStyle w:val="FootnoteReference"/>
          <w:lang w:val="mk-MK"/>
        </w:rPr>
        <w:footnoteReference w:id="820"/>
      </w:r>
      <w:r w:rsidRPr="000955F1">
        <w:rPr>
          <w:lang w:val="mk-MK"/>
        </w:rPr>
        <w:t xml:space="preserve"> Во ова гледиште, реформата на управувањето е вежба за правна модернизација</w:t>
      </w:r>
      <w:r w:rsidR="003A4B57">
        <w:rPr>
          <w:lang w:val="mk-MK"/>
        </w:rPr>
        <w:t xml:space="preserve"> и</w:t>
      </w:r>
      <w:r w:rsidRPr="000955F1">
        <w:rPr>
          <w:lang w:val="mk-MK"/>
        </w:rPr>
        <w:t xml:space="preserve"> обид за формирање политичка заедница на микро ниво, реконструирајќи ја власта преку учество и повторно вгнездувајќи ги фирмите во националниот и европскиот институционален контекст.</w:t>
      </w:r>
      <w:r w:rsidR="003A4B57">
        <w:rPr>
          <w:rStyle w:val="FootnoteReference"/>
          <w:lang w:val="mk-MK"/>
        </w:rPr>
        <w:footnoteReference w:id="821"/>
      </w:r>
    </w:p>
    <w:p w14:paraId="0E110321" w14:textId="3F0D4996" w:rsidR="000E2463" w:rsidRDefault="00437588" w:rsidP="00884503">
      <w:pPr>
        <w:pStyle w:val="BodyText"/>
        <w:spacing w:before="240"/>
        <w:ind w:firstLine="720"/>
        <w:jc w:val="both"/>
        <w:rPr>
          <w:lang w:val="en-US"/>
        </w:rPr>
      </w:pPr>
      <w:r w:rsidRPr="00437588">
        <w:rPr>
          <w:lang w:val="mk-MK"/>
        </w:rPr>
        <w:t>Ferrera, Kriesi и Schelkle ја реинтерпретираат оваа кревкост не само како слабост, туку како дефинирачка состојба на композитната политичка заедница. ЕУ не е прото-држава, туку историски нова конфигурација што ја црпи својата отпорност токму од распрснатоста на моќта.</w:t>
      </w:r>
      <w:r w:rsidR="00723B4E">
        <w:rPr>
          <w:rStyle w:val="FootnoteReference"/>
          <w:lang w:val="mk-MK"/>
        </w:rPr>
        <w:footnoteReference w:id="822"/>
      </w:r>
      <w:r w:rsidRPr="00437588">
        <w:rPr>
          <w:lang w:val="mk-MK"/>
        </w:rPr>
        <w:t xml:space="preserve"> Во моменти на криза, од еврозоната до миграцијата до пандемијата, слабиот центар на ЕУ парадоксално станува извор на сила: бидејќи ниеден поединечен актер не го контролира јадрото, сите имаат интерес да го одржат. Земјите членки, наместо да се соочуваат со Брисел како со ривал, повторно и повторно го овластуваат како координатор на мониторинг, финансирање и симболичка кохезија.</w:t>
      </w:r>
      <w:r w:rsidR="009A0E0A">
        <w:rPr>
          <w:rStyle w:val="FootnoteReference"/>
          <w:lang w:val="mk-MK"/>
        </w:rPr>
        <w:footnoteReference w:id="823"/>
      </w:r>
      <w:r w:rsidRPr="00437588">
        <w:rPr>
          <w:lang w:val="mk-MK"/>
        </w:rPr>
        <w:t xml:space="preserve"> Трите фундаментални конфликти што се појавија за време на „долгата деценија на кризи“, околу суверенитетот („кој одлучува“), солидарноста („кој добива што, кога и зошто“) и идентитетот („кои сме ние“), не ја распаднаа Унијата</w:t>
      </w:r>
      <w:r w:rsidR="009A0E0A">
        <w:rPr>
          <w:lang w:val="mk-MK"/>
        </w:rPr>
        <w:t>, туку</w:t>
      </w:r>
      <w:r w:rsidRPr="00437588">
        <w:rPr>
          <w:lang w:val="mk-MK"/>
        </w:rPr>
        <w:t xml:space="preserve"> ги редефинираа нејзините граници и наметнаа нови приспособувања </w:t>
      </w:r>
      <w:r w:rsidR="009A0E0A">
        <w:rPr>
          <w:lang w:val="mk-MK"/>
        </w:rPr>
        <w:t>по</w:t>
      </w:r>
      <w:r w:rsidRPr="00437588">
        <w:rPr>
          <w:lang w:val="mk-MK"/>
        </w:rPr>
        <w:t>меѓу нејзините составни нивоа.</w:t>
      </w:r>
    </w:p>
    <w:p w14:paraId="6D798319" w14:textId="5C6A4CC9" w:rsidR="00216979" w:rsidRDefault="00216979" w:rsidP="00884503">
      <w:pPr>
        <w:pStyle w:val="BodyText"/>
        <w:spacing w:before="240"/>
        <w:ind w:firstLine="720"/>
        <w:jc w:val="both"/>
        <w:rPr>
          <w:lang w:val="mk-MK"/>
        </w:rPr>
      </w:pPr>
      <w:r>
        <w:rPr>
          <w:lang w:val="mk-MK"/>
        </w:rPr>
        <w:t>Оттука, а</w:t>
      </w:r>
      <w:r w:rsidRPr="00216979">
        <w:rPr>
          <w:lang w:val="mk-MK"/>
        </w:rPr>
        <w:t>налитичката рамка за формирање на политичката заедница во ЕУ нуди убедлива перспектива за разбирање на реформата на корпоративното управување во Македонија. Слично како ЕУ, постсоцијалистичкиот корпоративен пејзаж во Македонија се карактеризира со слаби граници, фрагментирана власт и плитка лојалност, карактеристики на политичка заедница во формирање, а не на консолидиран државно-пазарен поредок. Истата Rokkan-Hirschman тензичност што Ferrera, Kriesi и Schelkle ја идентификуваат на супранационално ниво, помеѓу отвореност и деструктурирање, се јавува и кај компаниите во посттранзициската економија</w:t>
      </w:r>
      <w:r w:rsidR="00846AFD">
        <w:rPr>
          <w:lang w:val="mk-MK"/>
        </w:rPr>
        <w:t xml:space="preserve"> затоа што</w:t>
      </w:r>
      <w:r w:rsidRPr="00216979">
        <w:rPr>
          <w:lang w:val="mk-MK"/>
        </w:rPr>
        <w:t xml:space="preserve"> тие се отворени кон надворешен капитал и европско регулаторно влијание, но внатрешно се деструктурирани поради отсуството на стабилно учество, претставување и доверба. Реформата на управувањето, во оваа смисла, станува процес на градење граници и одржување на политичка заедница внатре во фирмата, насочен кон стабилизирање на власта, гласот и лојалноста </w:t>
      </w:r>
      <w:r w:rsidR="00BE5B80">
        <w:rPr>
          <w:lang w:val="mk-MK"/>
        </w:rPr>
        <w:t>по</w:t>
      </w:r>
      <w:r w:rsidRPr="00216979">
        <w:rPr>
          <w:lang w:val="mk-MK"/>
        </w:rPr>
        <w:t xml:space="preserve">меѓу клучните засегнати страни, пред сѐ вработените. Сепак, за разлика од ЕУ, Македонија не изгледа дека има корист од оваа </w:t>
      </w:r>
      <w:r w:rsidRPr="00216979">
        <w:rPr>
          <w:lang w:val="mk-MK"/>
        </w:rPr>
        <w:lastRenderedPageBreak/>
        <w:t>недовршеност.</w:t>
      </w:r>
    </w:p>
    <w:p w14:paraId="28FEC41A" w14:textId="5A92FD4C" w:rsidR="006B1CDD" w:rsidRDefault="006B1CDD" w:rsidP="00884503">
      <w:pPr>
        <w:pStyle w:val="BodyText"/>
        <w:spacing w:before="240"/>
        <w:ind w:firstLine="720"/>
        <w:jc w:val="both"/>
        <w:rPr>
          <w:lang w:val="mk-MK"/>
        </w:rPr>
      </w:pPr>
      <w:r w:rsidRPr="006B1CDD">
        <w:rPr>
          <w:lang w:val="mk-MK"/>
        </w:rPr>
        <w:t xml:space="preserve">Ова разбирање ја преобликува европската интеграција како процес на одржување на политичката заедница, наместо како градење држава. За разлика од </w:t>
      </w:r>
      <w:r w:rsidR="003E1F33">
        <w:rPr>
          <w:lang w:val="mk-MK"/>
        </w:rPr>
        <w:t>војниот</w:t>
      </w:r>
      <w:r w:rsidRPr="006B1CDD">
        <w:rPr>
          <w:lang w:val="mk-MK"/>
        </w:rPr>
        <w:t xml:space="preserve"> модел на Charles Tilly, каде водењето војни ја консолидираше внатрешната легитимност преку оданочување и одбрана, граничната политика на ЕУ се потпира на екстернализација, реторичко дејствување и експериментално управување со кризи.</w:t>
      </w:r>
      <w:r w:rsidR="003E1F33">
        <w:rPr>
          <w:rStyle w:val="FootnoteReference"/>
          <w:lang w:val="mk-MK"/>
        </w:rPr>
        <w:footnoteReference w:id="824"/>
      </w:r>
      <w:r w:rsidRPr="006B1CDD">
        <w:rPr>
          <w:lang w:val="mk-MK"/>
        </w:rPr>
        <w:t xml:space="preserve"> Фондот за закрепнување по пандемијата, на пример, претставуваше ембрионален фискален капацитет создаден не преку присилно оданочување, туку преку преговарана солидарност, чин на „сплотување“ преку фискална взаемност.</w:t>
      </w:r>
      <w:r w:rsidR="003E1F33">
        <w:rPr>
          <w:rStyle w:val="FootnoteReference"/>
          <w:lang w:val="mk-MK"/>
        </w:rPr>
        <w:footnoteReference w:id="825"/>
      </w:r>
      <w:r w:rsidRPr="006B1CDD">
        <w:rPr>
          <w:lang w:val="mk-MK"/>
        </w:rPr>
        <w:t xml:space="preserve"> Слично, банкарската унија и механизмите за миграција покажуваат како повратните циклуси генерирани од кризи поттикнуваат инкрементално институционално насл</w:t>
      </w:r>
      <w:r w:rsidR="003E1F33">
        <w:rPr>
          <w:lang w:val="mk-MK"/>
        </w:rPr>
        <w:t>о</w:t>
      </w:r>
      <w:r w:rsidRPr="006B1CDD">
        <w:rPr>
          <w:lang w:val="mk-MK"/>
        </w:rPr>
        <w:t>јување.</w:t>
      </w:r>
      <w:r w:rsidR="00AD5EFF">
        <w:rPr>
          <w:rStyle w:val="FootnoteReference"/>
          <w:lang w:val="mk-MK"/>
        </w:rPr>
        <w:footnoteReference w:id="826"/>
      </w:r>
      <w:r w:rsidRPr="006B1CDD">
        <w:rPr>
          <w:lang w:val="mk-MK"/>
        </w:rPr>
        <w:t xml:space="preserve"> Секоја реформа е делумна, оспорувана и реверзибилна, но кумулативно овие механизми го прошируваат капацитетот на Унијата за дејствување.</w:t>
      </w:r>
      <w:r w:rsidR="00571D04">
        <w:rPr>
          <w:rStyle w:val="FootnoteReference"/>
          <w:lang w:val="mk-MK"/>
        </w:rPr>
        <w:footnoteReference w:id="827"/>
      </w:r>
    </w:p>
    <w:p w14:paraId="4B025407" w14:textId="0E4BC98D" w:rsidR="00076621" w:rsidRPr="00216979" w:rsidRDefault="00076621" w:rsidP="00884503">
      <w:pPr>
        <w:pStyle w:val="BodyText"/>
        <w:spacing w:before="240"/>
        <w:ind w:firstLine="720"/>
        <w:jc w:val="both"/>
        <w:rPr>
          <w:lang w:val="mk-MK"/>
        </w:rPr>
      </w:pPr>
      <w:r w:rsidRPr="00076621">
        <w:rPr>
          <w:lang w:val="mk-MK"/>
        </w:rPr>
        <w:t>Гледано низ призма на институционализ</w:t>
      </w:r>
      <w:r w:rsidR="00C23790">
        <w:rPr>
          <w:lang w:val="mk-MK"/>
        </w:rPr>
        <w:t>мот центриран на актери</w:t>
      </w:r>
      <w:r w:rsidRPr="00076621">
        <w:rPr>
          <w:lang w:val="mk-MK"/>
        </w:rPr>
        <w:t>, формирањето на политичката заедница во ЕУ се одвива преку ограничена импровизација. Кризите ги разоткриваат асиметриите на моќ и легитимност, но истовремено создаваат поттици за координација. Политичките елити, ограничени од домашни вето-актери, често прибегнуваат кон симболички или реторички дејствија за да го одржат впечатокот за колективна волја, она што Ferrera, Kriesi и Schelkle го нарекуваат „јавна реторичка акција“. Овие перформативни гестови, иако тенки, помагаат да се одржат минималните врски на лојалност неопходни за континуитет.</w:t>
      </w:r>
      <w:r w:rsidR="00C23790">
        <w:rPr>
          <w:rStyle w:val="FootnoteReference"/>
          <w:lang w:val="mk-MK"/>
        </w:rPr>
        <w:footnoteReference w:id="828"/>
      </w:r>
      <w:r w:rsidRPr="00076621">
        <w:rPr>
          <w:lang w:val="mk-MK"/>
        </w:rPr>
        <w:t xml:space="preserve"> Во таа смисла, европската интеграција е политика на управување со недовршеноста: наместо да конвергира кон фиксна федерална цел, таа се стабилизира преку постојано прилагодување на </w:t>
      </w:r>
      <w:r w:rsidR="00C23790">
        <w:rPr>
          <w:lang w:val="mk-MK"/>
        </w:rPr>
        <w:t xml:space="preserve">процесите на </w:t>
      </w:r>
      <w:r w:rsidRPr="00076621">
        <w:rPr>
          <w:lang w:val="mk-MK"/>
        </w:rPr>
        <w:t>разграничување, поврзување и сплотување, како одговор на нови шокови.</w:t>
      </w:r>
    </w:p>
    <w:p w14:paraId="6FC56F40" w14:textId="64DEF575" w:rsidR="00884503" w:rsidRDefault="002A18A3" w:rsidP="00884503">
      <w:pPr>
        <w:pStyle w:val="BodyText"/>
        <w:spacing w:before="240"/>
        <w:ind w:firstLine="720"/>
        <w:jc w:val="both"/>
        <w:rPr>
          <w:lang w:val="mk-MK"/>
        </w:rPr>
      </w:pPr>
      <w:r>
        <w:rPr>
          <w:lang w:val="mk-MK"/>
        </w:rPr>
        <w:t xml:space="preserve">Во таа линија, </w:t>
      </w:r>
      <w:r w:rsidR="0001203B">
        <w:rPr>
          <w:lang w:val="mk-MK"/>
        </w:rPr>
        <w:t>о</w:t>
      </w:r>
      <w:r w:rsidRPr="002A18A3">
        <w:rPr>
          <w:lang w:val="mk-MK"/>
        </w:rPr>
        <w:t>тпорноста на ЕУ произлегува од парадоксална рамнотежа помеѓу кревкост и флексибилност. Она што изгледа како институционална слабост, пропустливи граници, распрсната власт и второстепена лојалност, создава адаптивна политичка заедница способна да преживее кризи без да ги разреши своите основни противречности. Тоа е систем во кој суверенитетот е споделен, солидарноста е условна, а идентитетот е оспоруван, но токму нестабилноста на овие елементи обезбедува динамика за институционално учење. ЕУ опстојува не затоа што ги надминала своите темели во националната држава, туку затоа што постојано ги преговара.</w:t>
      </w:r>
    </w:p>
    <w:p w14:paraId="45BA362E" w14:textId="5C59BA50" w:rsidR="003D77C6" w:rsidRDefault="00652487" w:rsidP="00884503">
      <w:pPr>
        <w:pStyle w:val="BodyText"/>
        <w:spacing w:before="240"/>
        <w:ind w:firstLine="720"/>
        <w:jc w:val="both"/>
        <w:rPr>
          <w:lang w:val="mk-MK"/>
        </w:rPr>
      </w:pPr>
      <w:r>
        <w:rPr>
          <w:lang w:val="mk-MK"/>
        </w:rPr>
        <w:t>Оттука</w:t>
      </w:r>
      <w:r w:rsidRPr="00652487">
        <w:rPr>
          <w:lang w:val="mk-MK"/>
        </w:rPr>
        <w:t xml:space="preserve">, формирањето на политичката заедница и европската интеграција не се последователни фази, туку меѓусебно испреплетени процеси. Интеграцијата ги отвора и реорганизира границите; формирањето на политичката заедница настојува да ги стабилизира. Траекторијата на ЕУ покажува дека политичка заедница може да се појави без затворање, легитимноста може да се одржи без хомогеност, а отпорноста може да произлезе од дисциплинирано управување со фрагментацијата. Како што потсетуваат Ferrera, Kriesi и Schelkle, Европската унија е политичка заедница што еволуира преку кризи. Таа опстојува не и покрај својата недовршеност, туку токму поради неа, како </w:t>
      </w:r>
      <w:r w:rsidRPr="00652487">
        <w:rPr>
          <w:lang w:val="mk-MK"/>
        </w:rPr>
        <w:lastRenderedPageBreak/>
        <w:t>политичка формација чија сила лежи во совладувањето на уметноста на управување со неизвесноста.</w:t>
      </w:r>
    </w:p>
    <w:p w14:paraId="217B49C9" w14:textId="77777777" w:rsidR="006143A0" w:rsidRDefault="00111E00" w:rsidP="00884503">
      <w:pPr>
        <w:pStyle w:val="BodyText"/>
        <w:spacing w:before="240"/>
        <w:ind w:firstLine="720"/>
        <w:jc w:val="both"/>
        <w:rPr>
          <w:lang w:val="mk-MK"/>
        </w:rPr>
      </w:pPr>
      <w:r>
        <w:rPr>
          <w:lang w:val="mk-MK"/>
        </w:rPr>
        <w:t>Токму од овие поенти, Македонија треба да црпи научени лекции и</w:t>
      </w:r>
      <w:r w:rsidRPr="00111E00">
        <w:rPr>
          <w:lang w:val="mk-MK"/>
        </w:rPr>
        <w:t xml:space="preserve"> искуството на ЕУ во одржување кохезија преку кризи, преку комбинација на реторичко уверување, функционална адаптација и екстернализација, </w:t>
      </w:r>
      <w:r w:rsidR="00074380">
        <w:rPr>
          <w:lang w:val="mk-MK"/>
        </w:rPr>
        <w:t>да го презема како</w:t>
      </w:r>
      <w:r w:rsidRPr="00111E00">
        <w:rPr>
          <w:lang w:val="mk-MK"/>
        </w:rPr>
        <w:t xml:space="preserve"> метафора за тоа како корпоративните актери во Македонија можат да опстојат во периоди на нестабилност. Компаниите, како и политичките заедници, можат да развијат отпорност преку мобилизирање на она што Ferrera и соработниците го нарекуваат „скриени сили“ на слабоста: флексибилност, дистрибуирана власт и отвореност кон преговарање. </w:t>
      </w:r>
    </w:p>
    <w:p w14:paraId="2E308461" w14:textId="11CA55ED" w:rsidR="00652487" w:rsidRDefault="00111E00" w:rsidP="00884503">
      <w:pPr>
        <w:pStyle w:val="BodyText"/>
        <w:spacing w:before="240"/>
        <w:ind w:firstLine="720"/>
        <w:jc w:val="both"/>
        <w:rPr>
          <w:lang w:val="mk-MK"/>
        </w:rPr>
      </w:pPr>
      <w:r w:rsidRPr="00111E00">
        <w:rPr>
          <w:lang w:val="mk-MK"/>
        </w:rPr>
        <w:t>Реформските напори што се потпираат исклучиво на централизирана контрола или увезени правни шаблони ризикуваат да ја репродуцираат кревкоста на политичка заедница без лојалност. Наместо тоа, корпоративното управување во Македонија може да се развива како композитна политичка заедница во минијатура, каде легитимноста произлегува од интернализирани норми на учество, преговарана солидарност и заедничко чувство на припадност, предуслови за трансформирање на компаниите од трансакциски ентитети во одржливи институции. Постојат неколку сценарија како властите би можеле да пристапат кон ова.</w:t>
      </w:r>
    </w:p>
    <w:p w14:paraId="13A2AF8E" w14:textId="77777777" w:rsidR="00C132B9" w:rsidRDefault="00547232" w:rsidP="00884503">
      <w:pPr>
        <w:pStyle w:val="BodyText"/>
        <w:spacing w:before="240"/>
        <w:ind w:firstLine="720"/>
        <w:jc w:val="both"/>
        <w:rPr>
          <w:lang w:val="mk-MK"/>
        </w:rPr>
      </w:pPr>
      <w:r w:rsidRPr="00547232">
        <w:rPr>
          <w:lang w:val="mk-MK"/>
        </w:rPr>
        <w:t>Централно</w:t>
      </w:r>
      <w:r w:rsidR="00870406">
        <w:rPr>
          <w:lang w:val="mk-MK"/>
        </w:rPr>
        <w:t>то</w:t>
      </w:r>
      <w:r w:rsidRPr="00547232">
        <w:rPr>
          <w:lang w:val="mk-MK"/>
        </w:rPr>
        <w:t xml:space="preserve"> место во оваа институционална мрежа му припаѓа на Министерството за економија</w:t>
      </w:r>
      <w:r w:rsidR="00124773">
        <w:rPr>
          <w:lang w:val="mk-MK"/>
        </w:rPr>
        <w:t xml:space="preserve"> и труд</w:t>
      </w:r>
      <w:r w:rsidRPr="00547232">
        <w:rPr>
          <w:lang w:val="mk-MK"/>
        </w:rPr>
        <w:t xml:space="preserve">, како примарен носител на реформата на компаниското право, чија надлежност е директно поврзана со транспозицијата на директивите за информирање, консултирање и учество. </w:t>
      </w:r>
      <w:r w:rsidR="00BD4ED5">
        <w:rPr>
          <w:lang w:val="mk-MK"/>
        </w:rPr>
        <w:t>И</w:t>
      </w:r>
      <w:r w:rsidR="00BD4ED5" w:rsidRPr="00BD4ED5">
        <w:rPr>
          <w:lang w:val="mk-MK"/>
        </w:rPr>
        <w:t xml:space="preserve">нституционалниот дизајн на оваа </w:t>
      </w:r>
      <w:r w:rsidR="00BD4ED5">
        <w:rPr>
          <w:lang w:val="mk-MK"/>
        </w:rPr>
        <w:t>област</w:t>
      </w:r>
      <w:r w:rsidR="00BD4ED5" w:rsidRPr="00BD4ED5">
        <w:rPr>
          <w:lang w:val="mk-MK"/>
        </w:rPr>
        <w:t xml:space="preserve"> открива длабока структурна слабост</w:t>
      </w:r>
      <w:r w:rsidR="00487443">
        <w:rPr>
          <w:lang w:val="mk-MK"/>
        </w:rPr>
        <w:t xml:space="preserve"> затоа што</w:t>
      </w:r>
      <w:r w:rsidR="00BD4ED5" w:rsidRPr="00BD4ED5">
        <w:rPr>
          <w:lang w:val="mk-MK"/>
        </w:rPr>
        <w:t xml:space="preserve"> историски </w:t>
      </w:r>
      <w:r w:rsidR="00487443">
        <w:rPr>
          <w:lang w:val="mk-MK"/>
        </w:rPr>
        <w:t>овие</w:t>
      </w:r>
      <w:r w:rsidR="00BD4ED5" w:rsidRPr="00BD4ED5">
        <w:rPr>
          <w:lang w:val="mk-MK"/>
        </w:rPr>
        <w:t xml:space="preserve"> надлежности</w:t>
      </w:r>
      <w:r w:rsidR="00487443">
        <w:rPr>
          <w:lang w:val="mk-MK"/>
        </w:rPr>
        <w:t>,</w:t>
      </w:r>
      <w:r w:rsidR="00BD4ED5" w:rsidRPr="00BD4ED5">
        <w:rPr>
          <w:lang w:val="mk-MK"/>
        </w:rPr>
        <w:t xml:space="preserve"> компаниско право и трудово право</w:t>
      </w:r>
      <w:r w:rsidR="00487443">
        <w:rPr>
          <w:lang w:val="mk-MK"/>
        </w:rPr>
        <w:t>,</w:t>
      </w:r>
      <w:r w:rsidR="00BD4ED5" w:rsidRPr="00BD4ED5">
        <w:rPr>
          <w:lang w:val="mk-MK"/>
        </w:rPr>
        <w:t xml:space="preserve"> во значителна мера</w:t>
      </w:r>
      <w:r w:rsidR="00487443">
        <w:rPr>
          <w:lang w:val="mk-MK"/>
        </w:rPr>
        <w:t xml:space="preserve"> се третирани</w:t>
      </w:r>
      <w:r w:rsidR="00BD4ED5" w:rsidRPr="00BD4ED5">
        <w:rPr>
          <w:lang w:val="mk-MK"/>
        </w:rPr>
        <w:t xml:space="preserve"> одвоено, токму она раздвојување </w:t>
      </w:r>
      <w:r w:rsidR="00C132B9">
        <w:rPr>
          <w:lang w:val="mk-MK"/>
        </w:rPr>
        <w:t>по</w:t>
      </w:r>
      <w:r w:rsidR="00BD4ED5" w:rsidRPr="00BD4ED5">
        <w:rPr>
          <w:lang w:val="mk-MK"/>
        </w:rPr>
        <w:t>меѓу правото на трговски друштва и работн</w:t>
      </w:r>
      <w:r w:rsidR="00C132B9">
        <w:rPr>
          <w:lang w:val="mk-MK"/>
        </w:rPr>
        <w:t>ичкото</w:t>
      </w:r>
      <w:r w:rsidR="00BD4ED5" w:rsidRPr="00BD4ED5">
        <w:rPr>
          <w:lang w:val="mk-MK"/>
        </w:rPr>
        <w:t xml:space="preserve"> право кое во академската литература е идентификувано како системска пречка за имплементацијата на учеството на вработените. </w:t>
      </w:r>
    </w:p>
    <w:p w14:paraId="4EED0AF2" w14:textId="1A015B40" w:rsidR="00AE41F4" w:rsidRDefault="00BD4ED5" w:rsidP="00884503">
      <w:pPr>
        <w:pStyle w:val="BodyText"/>
        <w:spacing w:before="240"/>
        <w:ind w:firstLine="720"/>
        <w:jc w:val="both"/>
        <w:rPr>
          <w:lang w:val="mk-MK"/>
        </w:rPr>
      </w:pPr>
      <w:r w:rsidRPr="00BD4ED5">
        <w:rPr>
          <w:lang w:val="mk-MK"/>
        </w:rPr>
        <w:t xml:space="preserve">Начинот на кој националните регулаторни актери ја третираат врската </w:t>
      </w:r>
      <w:r w:rsidR="00684A5E">
        <w:rPr>
          <w:lang w:val="mk-MK"/>
        </w:rPr>
        <w:t>по</w:t>
      </w:r>
      <w:r w:rsidRPr="00BD4ED5">
        <w:rPr>
          <w:lang w:val="mk-MK"/>
        </w:rPr>
        <w:t>меѓу компаниското право и трудовото право е директен индикатор за нивната концептуална рамка</w:t>
      </w:r>
      <w:r w:rsidR="00784642">
        <w:rPr>
          <w:lang w:val="mk-MK"/>
        </w:rPr>
        <w:t xml:space="preserve"> затоа што</w:t>
      </w:r>
      <w:r w:rsidRPr="00BD4ED5">
        <w:rPr>
          <w:lang w:val="mk-MK"/>
        </w:rPr>
        <w:t xml:space="preserve"> актери кои прават остра дистинкција меѓу овие две правни области и ги третираат нивните регулаторни производи независносе смета дека застапуваат поглед на светот во кој економската и социјалната сфера се разделени.</w:t>
      </w:r>
      <w:r w:rsidR="00784642">
        <w:rPr>
          <w:rStyle w:val="FootnoteReference"/>
          <w:lang w:val="mk-MK"/>
        </w:rPr>
        <w:footnoteReference w:id="829"/>
      </w:r>
      <w:r w:rsidRPr="00BD4ED5">
        <w:rPr>
          <w:lang w:val="mk-MK"/>
        </w:rPr>
        <w:t xml:space="preserve"> За Македонија, надминувањето на ова институционално размислување е предуслов за кохерентна имплементација на хибридниот модел.</w:t>
      </w:r>
    </w:p>
    <w:p w14:paraId="0AAFC928" w14:textId="7BE8FF61" w:rsidR="00244B73" w:rsidRDefault="00244B73" w:rsidP="00884503">
      <w:pPr>
        <w:pStyle w:val="BodyText"/>
        <w:spacing w:before="240"/>
        <w:ind w:firstLine="720"/>
        <w:jc w:val="both"/>
        <w:rPr>
          <w:lang w:val="mk-MK"/>
        </w:rPr>
      </w:pPr>
      <w:r w:rsidRPr="00244B73">
        <w:rPr>
          <w:lang w:val="mk-MK"/>
        </w:rPr>
        <w:t>Комисијата за хартии од вредност (КХВ) е вториот клучен регулаторен актер, чија улога стана сè позначајна по воведувањето на обврската за акционерски</w:t>
      </w:r>
      <w:r w:rsidR="001A7435">
        <w:rPr>
          <w:lang w:val="mk-MK"/>
        </w:rPr>
        <w:t>те</w:t>
      </w:r>
      <w:r w:rsidRPr="00244B73">
        <w:rPr>
          <w:lang w:val="mk-MK"/>
        </w:rPr>
        <w:t xml:space="preserve"> друштва</w:t>
      </w:r>
      <w:r w:rsidR="001A7435">
        <w:rPr>
          <w:lang w:val="mk-MK"/>
        </w:rPr>
        <w:t xml:space="preserve"> кои котираат на берза</w:t>
      </w:r>
      <w:r w:rsidRPr="00244B73">
        <w:rPr>
          <w:lang w:val="mk-MK"/>
        </w:rPr>
        <w:t xml:space="preserve"> да поднесуваат изјава за примена на Кодексот за корпоративно управување. Во сите </w:t>
      </w:r>
      <w:r w:rsidR="008F5A46">
        <w:rPr>
          <w:lang w:val="mk-MK"/>
        </w:rPr>
        <w:t>ју</w:t>
      </w:r>
      <w:r w:rsidRPr="00244B73">
        <w:rPr>
          <w:lang w:val="mk-MK"/>
        </w:rPr>
        <w:t xml:space="preserve">рисдикции, јавните регулатори имаат авторитет да го </w:t>
      </w:r>
      <w:r w:rsidR="008F5A46">
        <w:rPr>
          <w:lang w:val="mk-MK"/>
        </w:rPr>
        <w:t xml:space="preserve">надгледуваат </w:t>
      </w:r>
      <w:r w:rsidRPr="00244B73">
        <w:rPr>
          <w:lang w:val="mk-MK"/>
        </w:rPr>
        <w:t xml:space="preserve">и спроведуваат корпоративното управување на листираните компании, при </w:t>
      </w:r>
      <w:r w:rsidR="008F5A46">
        <w:rPr>
          <w:lang w:val="mk-MK"/>
        </w:rPr>
        <w:t>што</w:t>
      </w:r>
      <w:r w:rsidRPr="00244B73">
        <w:rPr>
          <w:lang w:val="mk-MK"/>
        </w:rPr>
        <w:t xml:space="preserve"> регулаторите на хартии од вредност или финансиски регулатори генерално играат клучна улога</w:t>
      </w:r>
      <w:r w:rsidR="00B110C0">
        <w:rPr>
          <w:lang w:val="mk-MK"/>
        </w:rPr>
        <w:t>.</w:t>
      </w:r>
    </w:p>
    <w:p w14:paraId="1AAD511B" w14:textId="74F809A5" w:rsidR="00B110C0" w:rsidRDefault="00B110C0" w:rsidP="00884503">
      <w:pPr>
        <w:pStyle w:val="BodyText"/>
        <w:spacing w:before="240"/>
        <w:ind w:firstLine="720"/>
        <w:jc w:val="both"/>
        <w:rPr>
          <w:lang w:val="mk-MK"/>
        </w:rPr>
      </w:pPr>
      <w:r w:rsidRPr="00B110C0">
        <w:rPr>
          <w:lang w:val="mk-MK"/>
        </w:rPr>
        <w:t>Меѓутоа, мандатот на КХВ е примарно ориентиран кон заштитата на акционерите и пазарниот интегритет, а не кон правата на вработените</w:t>
      </w:r>
      <w:r w:rsidR="0018648B">
        <w:rPr>
          <w:lang w:val="mk-MK"/>
        </w:rPr>
        <w:t>,</w:t>
      </w:r>
      <w:r w:rsidRPr="00B110C0">
        <w:rPr>
          <w:lang w:val="mk-MK"/>
        </w:rPr>
        <w:t xml:space="preserve"> со тоа таа е институционален </w:t>
      </w:r>
      <w:r w:rsidRPr="00B110C0">
        <w:rPr>
          <w:lang w:val="mk-MK"/>
        </w:rPr>
        <w:lastRenderedPageBreak/>
        <w:t>актер со значителен регулаторен капацитет, но со констит</w:t>
      </w:r>
      <w:r w:rsidR="00017522">
        <w:rPr>
          <w:lang w:val="mk-MK"/>
        </w:rPr>
        <w:t>утивен</w:t>
      </w:r>
      <w:r w:rsidRPr="00B110C0">
        <w:rPr>
          <w:lang w:val="mk-MK"/>
        </w:rPr>
        <w:t xml:space="preserve"> мандат кој не ги инкорпорира интересите на вработените. Ова упатува на потребата за воспоставување на механизам на координација</w:t>
      </w:r>
      <w:r w:rsidR="00017522">
        <w:rPr>
          <w:lang w:val="mk-MK"/>
        </w:rPr>
        <w:t>, како</w:t>
      </w:r>
      <w:r w:rsidRPr="00B110C0">
        <w:rPr>
          <w:lang w:val="mk-MK"/>
        </w:rPr>
        <w:t xml:space="preserve"> на пример интерминистерска работна група или постојано советодавно тело</w:t>
      </w:r>
      <w:r w:rsidR="00017522">
        <w:rPr>
          <w:lang w:val="mk-MK"/>
        </w:rPr>
        <w:t>,</w:t>
      </w:r>
      <w:r w:rsidRPr="00B110C0">
        <w:rPr>
          <w:lang w:val="mk-MK"/>
        </w:rPr>
        <w:t xml:space="preserve"> кое ќе ги артикулира регулаторните функции на КХВ</w:t>
      </w:r>
      <w:r w:rsidR="00017522">
        <w:rPr>
          <w:lang w:val="mk-MK"/>
        </w:rPr>
        <w:t xml:space="preserve"> и</w:t>
      </w:r>
      <w:r w:rsidRPr="00B110C0">
        <w:rPr>
          <w:lang w:val="mk-MK"/>
        </w:rPr>
        <w:t xml:space="preserve"> Министерството за економија и труд во единствена имплементациска рамка за учеството на вработените.</w:t>
      </w:r>
    </w:p>
    <w:p w14:paraId="3C5710BE" w14:textId="632053B7" w:rsidR="00017522" w:rsidRDefault="003659CC" w:rsidP="00884503">
      <w:pPr>
        <w:pStyle w:val="BodyText"/>
        <w:spacing w:before="240"/>
        <w:ind w:firstLine="720"/>
        <w:jc w:val="both"/>
        <w:rPr>
          <w:lang w:val="mk-MK"/>
        </w:rPr>
      </w:pPr>
      <w:r w:rsidRPr="003659CC">
        <w:rPr>
          <w:lang w:val="mk-MK"/>
        </w:rPr>
        <w:t>Државниот инспекторат за труд (ДИТ) е</w:t>
      </w:r>
      <w:r w:rsidR="00503A71">
        <w:rPr>
          <w:lang w:val="en-US"/>
        </w:rPr>
        <w:t xml:space="preserve"> </w:t>
      </w:r>
      <w:r w:rsidR="00503A71">
        <w:rPr>
          <w:lang w:val="mk-MK"/>
        </w:rPr>
        <w:t>веројатно</w:t>
      </w:r>
      <w:r w:rsidRPr="003659CC">
        <w:rPr>
          <w:lang w:val="mk-MK"/>
        </w:rPr>
        <w:t xml:space="preserve"> најнедоволно вреднуваниот институционален актер во оваа анализа. </w:t>
      </w:r>
      <w:r w:rsidR="008014D9">
        <w:rPr>
          <w:lang w:val="mk-MK"/>
        </w:rPr>
        <w:t>Трудовите инспектори</w:t>
      </w:r>
      <w:r w:rsidRPr="003659CC">
        <w:rPr>
          <w:lang w:val="mk-MK"/>
        </w:rPr>
        <w:t>, судови</w:t>
      </w:r>
      <w:r w:rsidR="00AD28CE">
        <w:rPr>
          <w:lang w:val="mk-MK"/>
        </w:rPr>
        <w:t>те</w:t>
      </w:r>
      <w:r w:rsidRPr="003659CC">
        <w:rPr>
          <w:lang w:val="mk-MK"/>
        </w:rPr>
        <w:t xml:space="preserve">, медијацијата, арбитражните и помирувачки тела, трипартитните комитети, комитетите за здравје и безбедност и економско-социјалните совети се клучни институции во управувањето со </w:t>
      </w:r>
      <w:r w:rsidR="00AD28CE">
        <w:rPr>
          <w:lang w:val="mk-MK"/>
        </w:rPr>
        <w:t xml:space="preserve">динамиките на </w:t>
      </w:r>
      <w:r w:rsidRPr="003659CC">
        <w:rPr>
          <w:lang w:val="mk-MK"/>
        </w:rPr>
        <w:t xml:space="preserve">работниот однос. Инспекциската функција е нужна рамнотежна тежина на нормативниот систем </w:t>
      </w:r>
      <w:r w:rsidR="00141D36">
        <w:rPr>
          <w:lang w:val="mk-MK"/>
        </w:rPr>
        <w:t>затоа што</w:t>
      </w:r>
      <w:r w:rsidRPr="003659CC">
        <w:rPr>
          <w:lang w:val="mk-MK"/>
        </w:rPr>
        <w:t xml:space="preserve"> без капацитет за следење на примената на правата за информирање и консултирање, а подоцна и на застапеноста во органите, санкционирањето на прекршоците и заштитата на поединечните претставници на вработените, целата архитектура на предложениот модел останува правно предвидена но практично неспроведлива. Особено критичен е капацитетот на ДИТ за следење на ESOP-договорите: доколку вработените-акционери не се заштитени при корпоративни трансформации или при разводнување на акциите, ESOP шемите ќе се перципираат не само како неефикасни, туку како потенцијален инструмент на корпоративна манипулација</w:t>
      </w:r>
      <w:r w:rsidR="00141D36">
        <w:rPr>
          <w:lang w:val="mk-MK"/>
        </w:rPr>
        <w:t>,</w:t>
      </w:r>
      <w:r w:rsidRPr="003659CC">
        <w:rPr>
          <w:lang w:val="mk-MK"/>
        </w:rPr>
        <w:t xml:space="preserve"> со директна последица на дефинитивн</w:t>
      </w:r>
      <w:r w:rsidR="00B5022D">
        <w:rPr>
          <w:lang w:val="mk-MK"/>
        </w:rPr>
        <w:t xml:space="preserve">а ерозија </w:t>
      </w:r>
      <w:r w:rsidRPr="003659CC">
        <w:rPr>
          <w:lang w:val="mk-MK"/>
        </w:rPr>
        <w:t>на довербата во целиот концепт на финансиска партиципација.</w:t>
      </w:r>
    </w:p>
    <w:p w14:paraId="2924DBC4" w14:textId="4F205CB2" w:rsidR="00B5022D" w:rsidRDefault="00B5022D" w:rsidP="00884503">
      <w:pPr>
        <w:pStyle w:val="BodyText"/>
        <w:spacing w:before="240"/>
        <w:ind w:firstLine="720"/>
        <w:jc w:val="both"/>
        <w:rPr>
          <w:lang w:val="mk-MK"/>
        </w:rPr>
      </w:pPr>
      <w:r w:rsidRPr="00B5022D">
        <w:rPr>
          <w:lang w:val="mk-MK"/>
        </w:rPr>
        <w:t>Улогата на социјалните партнери</w:t>
      </w:r>
      <w:r w:rsidR="00FF465D">
        <w:rPr>
          <w:lang w:val="mk-MK"/>
        </w:rPr>
        <w:t>,</w:t>
      </w:r>
      <w:r w:rsidRPr="00B5022D">
        <w:rPr>
          <w:lang w:val="mk-MK"/>
        </w:rPr>
        <w:t xml:space="preserve"> </w:t>
      </w:r>
      <w:r w:rsidR="00EB2C5A">
        <w:rPr>
          <w:lang w:val="mk-MK"/>
        </w:rPr>
        <w:t xml:space="preserve">односно </w:t>
      </w:r>
      <w:r w:rsidRPr="00B5022D">
        <w:rPr>
          <w:lang w:val="mk-MK"/>
        </w:rPr>
        <w:t>синдикати</w:t>
      </w:r>
      <w:r w:rsidR="00EB2C5A">
        <w:rPr>
          <w:lang w:val="mk-MK"/>
        </w:rPr>
        <w:t>те</w:t>
      </w:r>
      <w:r w:rsidRPr="00B5022D">
        <w:rPr>
          <w:lang w:val="mk-MK"/>
        </w:rPr>
        <w:t xml:space="preserve"> и здруженија</w:t>
      </w:r>
      <w:r w:rsidR="00EB2C5A">
        <w:rPr>
          <w:lang w:val="mk-MK"/>
        </w:rPr>
        <w:t>та на работодавачи,</w:t>
      </w:r>
      <w:r w:rsidRPr="00B5022D">
        <w:rPr>
          <w:lang w:val="mk-MK"/>
        </w:rPr>
        <w:t xml:space="preserve"> е теоретски централна, но практично компромитирана во македонскиот контекст. Артикулацијата </w:t>
      </w:r>
      <w:r w:rsidR="00AA1524">
        <w:rPr>
          <w:lang w:val="mk-MK"/>
        </w:rPr>
        <w:t>на</w:t>
      </w:r>
      <w:r w:rsidRPr="00B5022D">
        <w:rPr>
          <w:lang w:val="mk-MK"/>
        </w:rPr>
        <w:t xml:space="preserve"> националните системи на учество на вработените е клучен предуслов за ефикасно учество на вработените во европските совети на работници, а ефективноста на самиот систем длабоко зависи од капацитетот на синдикалните структури на национално ниво.</w:t>
      </w:r>
      <w:r w:rsidR="00695388">
        <w:rPr>
          <w:rStyle w:val="FootnoteReference"/>
          <w:lang w:val="mk-MK"/>
        </w:rPr>
        <w:footnoteReference w:id="830"/>
      </w:r>
      <w:r w:rsidRPr="00B5022D">
        <w:rPr>
          <w:lang w:val="mk-MK"/>
        </w:rPr>
        <w:t xml:space="preserve"> Фрагментираниот македонски синдикализам, со ниска стапка на членство и ограничен колективен договарачки капацитет, е институционален дефицит кој не може да биде компензиран со нормативна реформа. </w:t>
      </w:r>
      <w:r w:rsidR="00001343">
        <w:rPr>
          <w:lang w:val="mk-MK"/>
        </w:rPr>
        <w:t>Д</w:t>
      </w:r>
      <w:r w:rsidRPr="00B5022D">
        <w:rPr>
          <w:lang w:val="mk-MK"/>
        </w:rPr>
        <w:t>околку синдикатите немаат техничка и правна способност да ги образуваат, поддржат и застапуваат претставниците на вработените во надзорните одбори, воведувањето на таква застапеност ризикува да ги произведе формите без содржината. Оттука, градењето на синдикалниот капацитет</w:t>
      </w:r>
      <w:r w:rsidR="006B350B">
        <w:rPr>
          <w:lang w:val="mk-MK"/>
        </w:rPr>
        <w:t>,</w:t>
      </w:r>
      <w:r w:rsidRPr="00B5022D">
        <w:rPr>
          <w:lang w:val="mk-MK"/>
        </w:rPr>
        <w:t xml:space="preserve"> вклучувајќи образование за корпоративно управување, правна поддршка за претставниците и меѓународно поврзување преку ETUC</w:t>
      </w:r>
      <w:r w:rsidR="006B350B">
        <w:rPr>
          <w:lang w:val="mk-MK"/>
        </w:rPr>
        <w:t>,</w:t>
      </w:r>
      <w:r w:rsidRPr="00B5022D">
        <w:rPr>
          <w:lang w:val="mk-MK"/>
        </w:rPr>
        <w:t xml:space="preserve"> е институционален императив паралелен со законодавната реформа.</w:t>
      </w:r>
    </w:p>
    <w:p w14:paraId="7D190306" w14:textId="4FE0668A" w:rsidR="006B350B" w:rsidRDefault="00031E0C" w:rsidP="00884503">
      <w:pPr>
        <w:pStyle w:val="BodyText"/>
        <w:spacing w:before="240"/>
        <w:ind w:firstLine="720"/>
        <w:jc w:val="both"/>
        <w:rPr>
          <w:lang w:val="mk-MK"/>
        </w:rPr>
      </w:pPr>
      <w:r w:rsidRPr="00031E0C">
        <w:rPr>
          <w:lang w:val="mk-MK"/>
        </w:rPr>
        <w:t xml:space="preserve">Тука е </w:t>
      </w:r>
      <w:r w:rsidR="00032761">
        <w:rPr>
          <w:lang w:val="mk-MK"/>
        </w:rPr>
        <w:t>значајно</w:t>
      </w:r>
      <w:r w:rsidRPr="00031E0C">
        <w:rPr>
          <w:lang w:val="mk-MK"/>
        </w:rPr>
        <w:t xml:space="preserve"> да се артикулира аргументот кој во академската литература за реформа на корпоративното управување во транзициски економии е систематски потценет</w:t>
      </w:r>
      <w:r w:rsidR="00347AAF">
        <w:rPr>
          <w:lang w:val="mk-MK"/>
        </w:rPr>
        <w:t xml:space="preserve">. </w:t>
      </w:r>
      <w:r w:rsidR="00D829F9">
        <w:rPr>
          <w:lang w:val="mk-MK"/>
        </w:rPr>
        <w:t>Станува збор за е</w:t>
      </w:r>
      <w:r w:rsidRPr="00031E0C">
        <w:rPr>
          <w:lang w:val="mk-MK"/>
        </w:rPr>
        <w:t>фектот на демократска дифузија кој произлегува од имплементацијата на учеството на вработените во поголемите компании кон целата корпоративна структура на економијата. Прво, поголемите компании во Македонија</w:t>
      </w:r>
      <w:r w:rsidR="00D829F9">
        <w:rPr>
          <w:lang w:val="mk-MK"/>
        </w:rPr>
        <w:t>,</w:t>
      </w:r>
      <w:r w:rsidRPr="00031E0C">
        <w:rPr>
          <w:lang w:val="mk-MK"/>
        </w:rPr>
        <w:t xml:space="preserve"> јавните претпријатија, банките, енергетскиот сектор</w:t>
      </w:r>
      <w:r w:rsidR="00D829F9">
        <w:rPr>
          <w:lang w:val="mk-MK"/>
        </w:rPr>
        <w:t>,</w:t>
      </w:r>
      <w:r w:rsidRPr="00031E0C">
        <w:rPr>
          <w:lang w:val="mk-MK"/>
        </w:rPr>
        <w:t xml:space="preserve"> имаат улога на институционални обрасци</w:t>
      </w:r>
      <w:r w:rsidR="00922A45">
        <w:rPr>
          <w:lang w:val="mk-MK"/>
        </w:rPr>
        <w:t xml:space="preserve"> затоа што</w:t>
      </w:r>
      <w:r w:rsidRPr="00031E0C">
        <w:rPr>
          <w:lang w:val="mk-MK"/>
        </w:rPr>
        <w:t xml:space="preserve"> нивните практики на управување, нивните интерни норми и нивниот однос кон вработените функционираат како де-факто индустриски стандарди кои малите и средни претпријатија ги следат неформално. Доколку институционалните чувари не ја сменат својата ориентација, застапувањето кое бара од корпорациите да ги </w:t>
      </w:r>
      <w:r w:rsidRPr="00031E0C">
        <w:rPr>
          <w:lang w:val="mk-MK"/>
        </w:rPr>
        <w:lastRenderedPageBreak/>
        <w:t>земат предвид интересите на вработените, заедниците и животната средина, веројатно нема да успее освен ако таквиот напор не е врамен во контекст на унапредување на подлабоки институционални промени. Со воспоставување на функционални претставнички структури на вработените во поголемите компании, македонската корпоративна средина би генерирала критична маса на обучени претставници, развиени процедури и документирана практика која постепено ја нормализира идејата за учество на вработените и тоа не преку законска принуда кон малите фирми, туку преку механизмот на институционална имитација</w:t>
      </w:r>
    </w:p>
    <w:p w14:paraId="69521EDE" w14:textId="7820E608" w:rsidR="00AC4C8E" w:rsidRDefault="002D7C5E" w:rsidP="004D46A3">
      <w:pPr>
        <w:pStyle w:val="BodyText"/>
        <w:spacing w:before="240"/>
        <w:ind w:firstLine="720"/>
        <w:jc w:val="both"/>
        <w:rPr>
          <w:lang w:val="mk-MK"/>
        </w:rPr>
      </w:pPr>
      <w:r w:rsidRPr="002D7C5E">
        <w:rPr>
          <w:lang w:val="mk-MK"/>
        </w:rPr>
        <w:t>Второ, вработените во поголемите компании кои стекнале искуство во претставничките структури</w:t>
      </w:r>
      <w:r w:rsidR="00D7468C">
        <w:rPr>
          <w:lang w:val="mk-MK"/>
        </w:rPr>
        <w:t>, како</w:t>
      </w:r>
      <w:r w:rsidRPr="002D7C5E">
        <w:rPr>
          <w:lang w:val="mk-MK"/>
        </w:rPr>
        <w:t xml:space="preserve"> советите на работниците, надзорните одбори</w:t>
      </w:r>
      <w:r w:rsidR="00D7468C">
        <w:rPr>
          <w:lang w:val="mk-MK"/>
        </w:rPr>
        <w:t xml:space="preserve"> и/или</w:t>
      </w:r>
      <w:r w:rsidRPr="002D7C5E">
        <w:rPr>
          <w:lang w:val="mk-MK"/>
        </w:rPr>
        <w:t xml:space="preserve"> акциските шеми</w:t>
      </w:r>
      <w:r w:rsidR="00D7468C">
        <w:rPr>
          <w:lang w:val="mk-MK"/>
        </w:rPr>
        <w:t>,</w:t>
      </w:r>
      <w:r w:rsidRPr="002D7C5E">
        <w:rPr>
          <w:lang w:val="mk-MK"/>
        </w:rPr>
        <w:t xml:space="preserve"> со текот на времето стануваат носители на оваа практика во пошироката економија: преку преминување во мали и средни претпријатија, преку основање на свои бизниси, преку нивниот семеен и општествен круг. Ова е механизмот кој во социолошката теорија на институционалната промена се нарекува „когнитивна дифузија"</w:t>
      </w:r>
      <w:r w:rsidR="007B52DF">
        <w:rPr>
          <w:lang w:val="mk-MK"/>
        </w:rPr>
        <w:t>,</w:t>
      </w:r>
      <w:r w:rsidRPr="002D7C5E">
        <w:rPr>
          <w:lang w:val="mk-MK"/>
        </w:rPr>
        <w:t xml:space="preserve"> промена на колективниот концептуален вокабулар за тоа што е нормална и легитимна корпоративна практика.</w:t>
      </w:r>
      <w:r w:rsidR="007B52DF">
        <w:rPr>
          <w:rStyle w:val="FootnoteReference"/>
          <w:lang w:val="mk-MK"/>
        </w:rPr>
        <w:footnoteReference w:id="831"/>
      </w:r>
      <w:r w:rsidRPr="002D7C5E">
        <w:rPr>
          <w:lang w:val="mk-MK"/>
        </w:rPr>
        <w:t xml:space="preserve"> Низ Европа, се развиле разновидни форми на структури за претставување на вработените, кои им овозможуваат на работниците различни можности да ги изразат своите интереси, при </w:t>
      </w:r>
      <w:r w:rsidR="002D0DE8">
        <w:rPr>
          <w:lang w:val="mk-MK"/>
        </w:rPr>
        <w:t>што</w:t>
      </w:r>
      <w:r w:rsidRPr="002D7C5E">
        <w:rPr>
          <w:lang w:val="mk-MK"/>
        </w:rPr>
        <w:t xml:space="preserve"> успешноста на овие механизми зависи, меѓу другото, и од тоа дали временскиот распоред на информирање и консултирање ќе им овозможи на претставниците на вработените да влијаат врз одлуките на менаџментот пред тие да станат неповратни. </w:t>
      </w:r>
    </w:p>
    <w:p w14:paraId="6FA5A392" w14:textId="0961817F" w:rsidR="00394A20" w:rsidRDefault="002D7C5E" w:rsidP="00884503">
      <w:pPr>
        <w:pStyle w:val="BodyText"/>
        <w:spacing w:before="240"/>
        <w:ind w:firstLine="720"/>
        <w:jc w:val="both"/>
        <w:rPr>
          <w:lang w:val="mk-MK"/>
        </w:rPr>
      </w:pPr>
      <w:r w:rsidRPr="002D7C5E">
        <w:rPr>
          <w:lang w:val="mk-MK"/>
        </w:rPr>
        <w:t>Третото ниво на дифузија е правно</w:t>
      </w:r>
      <w:r w:rsidR="00AC4C8E">
        <w:rPr>
          <w:lang w:val="mk-MK"/>
        </w:rPr>
        <w:t xml:space="preserve"> и се однесува на</w:t>
      </w:r>
      <w:r w:rsidRPr="002D7C5E">
        <w:rPr>
          <w:lang w:val="mk-MK"/>
        </w:rPr>
        <w:t xml:space="preserve"> судовите, арбитражните тела и инспекторатите кои ќе добиваат предмети поврзани со правата на вработените во поголемите компании </w:t>
      </w:r>
      <w:r w:rsidR="00AC4C8E">
        <w:rPr>
          <w:lang w:val="mk-MK"/>
        </w:rPr>
        <w:t xml:space="preserve">и </w:t>
      </w:r>
      <w:r w:rsidRPr="002D7C5E">
        <w:rPr>
          <w:lang w:val="mk-MK"/>
        </w:rPr>
        <w:t xml:space="preserve">ќе изградат јуриспруденциска база </w:t>
      </w:r>
      <w:r w:rsidR="00AC4C8E">
        <w:rPr>
          <w:lang w:val="mk-MK"/>
        </w:rPr>
        <w:t xml:space="preserve">што ќе содржи </w:t>
      </w:r>
      <w:r w:rsidRPr="002D7C5E">
        <w:rPr>
          <w:lang w:val="mk-MK"/>
        </w:rPr>
        <w:t>толкувачки стандарди, процедурални решенија</w:t>
      </w:r>
      <w:r w:rsidR="00AC4C8E">
        <w:rPr>
          <w:lang w:val="mk-MK"/>
        </w:rPr>
        <w:t xml:space="preserve"> и преседани,</w:t>
      </w:r>
      <w:r w:rsidRPr="002D7C5E">
        <w:rPr>
          <w:lang w:val="mk-MK"/>
        </w:rPr>
        <w:t xml:space="preserve"> кoja подоцна ќе стане применлива и кон мали и средни претпријатија кога ќе дојде до проширување на регулаторниот праг.</w:t>
      </w:r>
    </w:p>
    <w:p w14:paraId="4D8EBDE5" w14:textId="159CA890" w:rsidR="00B110C0" w:rsidRDefault="002D7C5E" w:rsidP="002D7C5E">
      <w:pPr>
        <w:pStyle w:val="BodyText"/>
        <w:spacing w:before="240"/>
        <w:ind w:firstLine="720"/>
        <w:jc w:val="both"/>
        <w:rPr>
          <w:lang w:val="mk-MK"/>
        </w:rPr>
      </w:pPr>
      <w:r w:rsidRPr="002D7C5E">
        <w:rPr>
          <w:lang w:val="mk-MK"/>
        </w:rPr>
        <w:t>Институционалниот актер кој го поврзува сето ова во кохерентна имплементациска рамка е Економско-социјалниот совет на Македонија, чија улога во процесот на пристапување останува недоволно искористена. Трипартитниот карактер на овој орган</w:t>
      </w:r>
      <w:r w:rsidR="009B7C22">
        <w:rPr>
          <w:lang w:val="mk-MK"/>
        </w:rPr>
        <w:t>,</w:t>
      </w:r>
      <w:r w:rsidRPr="002D7C5E">
        <w:rPr>
          <w:lang w:val="mk-MK"/>
        </w:rPr>
        <w:t xml:space="preserve"> со претставници на Владата, синдикатите и работодавачите</w:t>
      </w:r>
      <w:r w:rsidR="009B7C22">
        <w:rPr>
          <w:lang w:val="mk-MK"/>
        </w:rPr>
        <w:t>,</w:t>
      </w:r>
      <w:r w:rsidRPr="002D7C5E">
        <w:rPr>
          <w:lang w:val="mk-MK"/>
        </w:rPr>
        <w:t xml:space="preserve"> го прави идеалното тело за мониторирање на постепената имплементација на хибридниот модел, за идентификување на практичните пречки и за препораки за корекција на регулаторниот пристап. Воедно, неговото учество во процесот на транспозиција на директивите поврзани со учеството на вработените би ги зајакнало и легитимитетот и практичната применливост на идните законски измени бидејќи норми договорени со социјалните партнери имаат значително поголема практична шанса за усогласеност отколку норми наметнати исклучиво преку законодавен процес.</w:t>
      </w:r>
      <w:r w:rsidR="00DF4CF5">
        <w:rPr>
          <w:rStyle w:val="FootnoteReference"/>
          <w:lang w:val="mk-MK"/>
        </w:rPr>
        <w:footnoteReference w:id="832"/>
      </w:r>
    </w:p>
    <w:p w14:paraId="31FD150F" w14:textId="0E356103" w:rsidR="006243EB" w:rsidRPr="002A18A3" w:rsidRDefault="006243EB" w:rsidP="002D7C5E">
      <w:pPr>
        <w:pStyle w:val="BodyText"/>
        <w:spacing w:before="240"/>
        <w:ind w:firstLine="720"/>
        <w:jc w:val="both"/>
        <w:rPr>
          <w:lang w:val="mk-MK"/>
        </w:rPr>
      </w:pPr>
      <w:r>
        <w:rPr>
          <w:lang w:val="mk-MK"/>
        </w:rPr>
        <w:t>Конечно,</w:t>
      </w:r>
      <w:r w:rsidRPr="006243EB">
        <w:rPr>
          <w:lang w:val="mk-MK"/>
        </w:rPr>
        <w:t xml:space="preserve"> идентификувањето на институционалните актери и дефинирањето на нивните улоги</w:t>
      </w:r>
      <w:r w:rsidR="00B807E2">
        <w:rPr>
          <w:lang w:val="mk-MK"/>
        </w:rPr>
        <w:t>,</w:t>
      </w:r>
      <w:r w:rsidRPr="006243EB">
        <w:rPr>
          <w:lang w:val="mk-MK"/>
        </w:rPr>
        <w:t xml:space="preserve"> колку и да е аналитички нужно</w:t>
      </w:r>
      <w:r w:rsidR="00B807E2">
        <w:rPr>
          <w:lang w:val="mk-MK"/>
        </w:rPr>
        <w:t>,</w:t>
      </w:r>
      <w:r w:rsidRPr="006243EB">
        <w:rPr>
          <w:lang w:val="mk-MK"/>
        </w:rPr>
        <w:t xml:space="preserve"> само по себе не конституира оперативна стратегија за реформа. Институционалната архитектура е статична категорија сè додека не е поставена во динамична временска рамка со јасно дефинирани секвенци, приоритети и меѓусебни зависности. Дури и најдобро дизајнираниот институционален </w:t>
      </w:r>
      <w:r w:rsidRPr="006243EB">
        <w:rPr>
          <w:lang w:val="mk-MK"/>
        </w:rPr>
        <w:lastRenderedPageBreak/>
        <w:t xml:space="preserve">систем ќе остане инертен доколку не е придружен со прашањата кога, во каков редослед и под кои политички и правни услови секој актер го активира својот мандат. Ова е особено значајно во македонскиот контекст, каде институционалниот капацитет </w:t>
      </w:r>
      <w:r w:rsidR="00AA6FF3">
        <w:rPr>
          <w:lang w:val="mk-MK"/>
        </w:rPr>
        <w:t>и</w:t>
      </w:r>
      <w:r w:rsidRPr="006243EB">
        <w:rPr>
          <w:lang w:val="mk-MK"/>
        </w:rPr>
        <w:t xml:space="preserve"> политичката волја за реформа </w:t>
      </w:r>
      <w:r w:rsidR="00AA6FF3">
        <w:rPr>
          <w:lang w:val="mk-MK"/>
        </w:rPr>
        <w:t>с</w:t>
      </w:r>
      <w:r w:rsidRPr="006243EB">
        <w:rPr>
          <w:lang w:val="mk-MK"/>
        </w:rPr>
        <w:t>е нестабилн</w:t>
      </w:r>
      <w:r w:rsidR="00AA6FF3">
        <w:rPr>
          <w:lang w:val="mk-MK"/>
        </w:rPr>
        <w:t>и</w:t>
      </w:r>
      <w:r w:rsidRPr="006243EB">
        <w:rPr>
          <w:lang w:val="mk-MK"/>
        </w:rPr>
        <w:t xml:space="preserve"> и подложн</w:t>
      </w:r>
      <w:r w:rsidR="00AA6FF3">
        <w:rPr>
          <w:lang w:val="mk-MK"/>
        </w:rPr>
        <w:t>и</w:t>
      </w:r>
      <w:r w:rsidRPr="006243EB">
        <w:rPr>
          <w:lang w:val="mk-MK"/>
        </w:rPr>
        <w:t xml:space="preserve"> на конјунктурни притисоци. Оттука, разработката на институционалните улоги нужно води кон </w:t>
      </w:r>
      <w:r w:rsidR="008D5F1C">
        <w:rPr>
          <w:lang w:val="mk-MK"/>
        </w:rPr>
        <w:t>прашања во однос на тоа</w:t>
      </w:r>
      <w:r w:rsidRPr="006243EB">
        <w:rPr>
          <w:lang w:val="mk-MK"/>
        </w:rPr>
        <w:t xml:space="preserve"> во кои фази на пристапниот процес, со кои законодавни инструменти и со кои мерливи приоритети треба овие актери да дејствуваат заеднички</w:t>
      </w:r>
      <w:r w:rsidR="008D5F1C">
        <w:rPr>
          <w:lang w:val="mk-MK"/>
        </w:rPr>
        <w:t>.</w:t>
      </w:r>
    </w:p>
    <w:p w14:paraId="0449DB52" w14:textId="71B222D8" w:rsidR="00884503" w:rsidRPr="00884503" w:rsidRDefault="00884503" w:rsidP="00884503">
      <w:pPr>
        <w:pStyle w:val="Heading2"/>
        <w:numPr>
          <w:ilvl w:val="1"/>
          <w:numId w:val="14"/>
        </w:numPr>
        <w:rPr>
          <w:rFonts w:ascii="Times New Roman" w:hAnsi="Times New Roman" w:cs="Times New Roman"/>
          <w:b w:val="0"/>
          <w:bCs w:val="0"/>
          <w:color w:val="000000" w:themeColor="text1"/>
          <w:sz w:val="24"/>
          <w:szCs w:val="24"/>
          <w:lang w:val="mk-MK"/>
        </w:rPr>
      </w:pPr>
      <w:r>
        <w:rPr>
          <w:lang w:val="mk-MK"/>
        </w:rPr>
        <w:t xml:space="preserve"> </w:t>
      </w:r>
      <w:bookmarkStart w:id="94" w:name="_Toc230523947"/>
      <w:r w:rsidR="00B65CB2" w:rsidRPr="00B65CB2">
        <w:rPr>
          <w:rFonts w:ascii="Times New Roman" w:hAnsi="Times New Roman" w:cs="Times New Roman"/>
          <w:b w:val="0"/>
          <w:bCs w:val="0"/>
          <w:color w:val="000000" w:themeColor="text1"/>
          <w:sz w:val="24"/>
          <w:szCs w:val="24"/>
          <w:lang w:val="mk-MK"/>
        </w:rPr>
        <w:t>Временска рамка и приоритети на реформата</w:t>
      </w:r>
      <w:bookmarkEnd w:id="94"/>
    </w:p>
    <w:p w14:paraId="206F9003" w14:textId="59BB12A1" w:rsidR="00884503" w:rsidRDefault="00BF6CB8" w:rsidP="00884503">
      <w:pPr>
        <w:pStyle w:val="BodyText"/>
        <w:spacing w:before="240"/>
        <w:ind w:firstLine="720"/>
        <w:jc w:val="both"/>
        <w:rPr>
          <w:lang w:val="mk-MK"/>
        </w:rPr>
      </w:pPr>
      <w:r w:rsidRPr="00BF6CB8">
        <w:rPr>
          <w:lang w:val="mk-MK"/>
        </w:rPr>
        <w:t>Временската рамка за реформата на корпоративното управување во Македонија, во делот на учеството на вработените, не може да биде конструирана изолирано од геополитичкиот ритам на процесот на пристапување</w:t>
      </w:r>
      <w:r w:rsidR="00997D3E">
        <w:rPr>
          <w:lang w:val="mk-MK"/>
        </w:rPr>
        <w:t xml:space="preserve">, но не може ни да остане </w:t>
      </w:r>
      <w:r w:rsidRPr="00BF6CB8">
        <w:rPr>
          <w:lang w:val="mk-MK"/>
        </w:rPr>
        <w:t>целосно зависна</w:t>
      </w:r>
      <w:r w:rsidR="00997D3E">
        <w:rPr>
          <w:lang w:val="mk-MK"/>
        </w:rPr>
        <w:t xml:space="preserve"> од него</w:t>
      </w:r>
      <w:r w:rsidRPr="00BF6CB8">
        <w:rPr>
          <w:lang w:val="mk-MK"/>
        </w:rPr>
        <w:t>. Ова е суштинска аналитичка дистинкција</w:t>
      </w:r>
      <w:r w:rsidR="00997D3E">
        <w:rPr>
          <w:lang w:val="mk-MK"/>
        </w:rPr>
        <w:t xml:space="preserve"> затоа што</w:t>
      </w:r>
      <w:r w:rsidRPr="00BF6CB8">
        <w:rPr>
          <w:lang w:val="mk-MK"/>
        </w:rPr>
        <w:t xml:space="preserve"> ако реформата се активира исклучиво под притисок на пристапувањето, нејзиниот временски хоризонт станува заложник на политичките блокади; доколку пак се третира како самостоен национален реформски приоритет кој го следи темпото на пристапувањето</w:t>
      </w:r>
      <w:r w:rsidR="00887600">
        <w:rPr>
          <w:lang w:val="mk-MK"/>
        </w:rPr>
        <w:t>,</w:t>
      </w:r>
      <w:r w:rsidRPr="00BF6CB8">
        <w:rPr>
          <w:lang w:val="mk-MK"/>
        </w:rPr>
        <w:t xml:space="preserve"> таа добива сопствена институционална инерција.</w:t>
      </w:r>
    </w:p>
    <w:p w14:paraId="34E2B920" w14:textId="0755682D" w:rsidR="00EC6AA3" w:rsidRDefault="00EC6AA3" w:rsidP="00884503">
      <w:pPr>
        <w:pStyle w:val="BodyText"/>
        <w:spacing w:before="240"/>
        <w:ind w:firstLine="720"/>
        <w:jc w:val="both"/>
        <w:rPr>
          <w:lang w:val="mk-MK"/>
        </w:rPr>
      </w:pPr>
      <w:r w:rsidRPr="00EC6AA3">
        <w:rPr>
          <w:lang w:val="mk-MK"/>
        </w:rPr>
        <w:t xml:space="preserve">Реалистичниот временски контекст </w:t>
      </w:r>
      <w:r w:rsidR="004167AE">
        <w:rPr>
          <w:lang w:val="mk-MK"/>
        </w:rPr>
        <w:t xml:space="preserve">за </w:t>
      </w:r>
      <w:r w:rsidRPr="00EC6AA3">
        <w:rPr>
          <w:lang w:val="mk-MK"/>
        </w:rPr>
        <w:t xml:space="preserve">можно пристапување до крајот на 2020-тите и почетокот на 2030-тите, потврдува дека пристапувањето на нови земји-членки </w:t>
      </w:r>
      <w:r w:rsidR="0031457D">
        <w:rPr>
          <w:lang w:val="mk-MK"/>
        </w:rPr>
        <w:t xml:space="preserve">не е толку </w:t>
      </w:r>
      <w:r w:rsidRPr="00EC6AA3">
        <w:rPr>
          <w:lang w:val="mk-MK"/>
        </w:rPr>
        <w:t>блиску</w:t>
      </w:r>
      <w:r w:rsidR="0031457D">
        <w:rPr>
          <w:lang w:val="mk-MK"/>
        </w:rPr>
        <w:t xml:space="preserve"> и дек</w:t>
      </w:r>
      <w:r w:rsidR="00972DAE">
        <w:rPr>
          <w:lang w:val="mk-MK"/>
        </w:rPr>
        <w:t>а</w:t>
      </w:r>
      <w:r w:rsidRPr="00EC6AA3">
        <w:rPr>
          <w:lang w:val="mk-MK"/>
        </w:rPr>
        <w:t xml:space="preserve"> темпото на реформите, особено во областите на демократијата, владеењето на правото и основните права, </w:t>
      </w:r>
      <w:r w:rsidR="00972DAE">
        <w:rPr>
          <w:lang w:val="mk-MK"/>
        </w:rPr>
        <w:t>не напредува доволно брзо</w:t>
      </w:r>
      <w:r w:rsidR="005E6C57">
        <w:rPr>
          <w:lang w:val="mk-MK"/>
        </w:rPr>
        <w:t>.</w:t>
      </w:r>
      <w:r w:rsidR="005E6C57">
        <w:rPr>
          <w:rStyle w:val="FootnoteReference"/>
          <w:lang w:val="mk-MK"/>
        </w:rPr>
        <w:footnoteReference w:id="833"/>
      </w:r>
      <w:r w:rsidR="005E6C57">
        <w:rPr>
          <w:lang w:val="mk-MK"/>
        </w:rPr>
        <w:t xml:space="preserve"> </w:t>
      </w:r>
      <w:r w:rsidRPr="00EC6AA3">
        <w:rPr>
          <w:lang w:val="mk-MK"/>
        </w:rPr>
        <w:t xml:space="preserve">Со оглед на тоа </w:t>
      </w:r>
      <w:r w:rsidR="004128A8">
        <w:rPr>
          <w:lang w:val="mk-MK"/>
        </w:rPr>
        <w:t xml:space="preserve">што </w:t>
      </w:r>
      <w:r w:rsidRPr="00EC6AA3">
        <w:rPr>
          <w:lang w:val="mk-MK"/>
        </w:rPr>
        <w:t>Македонија сè уште не ги отворила преговарачките кластери поради нерешеното прашање на уставните измени, временската рамка на реформата не може да се сведе на единствена линеарна прогресија кон конкретен датум. Наместо тоа, академски покохерентно е реформата да се разгледува во три функционални фази чие темпо е условено со реформскиот прогрес</w:t>
      </w:r>
      <w:r w:rsidR="00260D9E">
        <w:rPr>
          <w:lang w:val="mk-MK"/>
        </w:rPr>
        <w:t>.</w:t>
      </w:r>
    </w:p>
    <w:p w14:paraId="3D013801" w14:textId="05634E15" w:rsidR="00260D9E" w:rsidRDefault="004D32C7" w:rsidP="008001AB">
      <w:pPr>
        <w:pStyle w:val="BodyText"/>
        <w:spacing w:before="240"/>
        <w:ind w:firstLine="720"/>
        <w:jc w:val="both"/>
        <w:rPr>
          <w:lang w:val="mk-MK"/>
        </w:rPr>
      </w:pPr>
      <w:r w:rsidRPr="004D32C7">
        <w:rPr>
          <w:lang w:val="mk-MK"/>
        </w:rPr>
        <w:t>Прва</w:t>
      </w:r>
      <w:r>
        <w:rPr>
          <w:lang w:val="mk-MK"/>
        </w:rPr>
        <w:t>та</w:t>
      </w:r>
      <w:r w:rsidRPr="004D32C7">
        <w:rPr>
          <w:lang w:val="mk-MK"/>
        </w:rPr>
        <w:t xml:space="preserve"> фаза</w:t>
      </w:r>
      <w:r>
        <w:rPr>
          <w:lang w:val="mk-MK"/>
        </w:rPr>
        <w:t xml:space="preserve">, фазата </w:t>
      </w:r>
      <w:r w:rsidRPr="004D32C7">
        <w:rPr>
          <w:lang w:val="mk-MK"/>
        </w:rPr>
        <w:t>на нормативна подготовка, со хоризонт до отворањето на Кластер 2 и Кластер 3</w:t>
      </w:r>
      <w:r w:rsidR="00744F24">
        <w:rPr>
          <w:lang w:val="mk-MK"/>
        </w:rPr>
        <w:t>,</w:t>
      </w:r>
      <w:r w:rsidRPr="004D32C7">
        <w:rPr>
          <w:lang w:val="mk-MK"/>
        </w:rPr>
        <w:t xml:space="preserve"> е фаза која може и треба да започне независно од исходот на уставната дебата. Нејзи</w:t>
      </w:r>
      <w:r w:rsidR="00492A9E">
        <w:rPr>
          <w:lang w:val="mk-MK"/>
        </w:rPr>
        <w:t>ната основна задача</w:t>
      </w:r>
      <w:r w:rsidRPr="004D32C7">
        <w:rPr>
          <w:lang w:val="mk-MK"/>
        </w:rPr>
        <w:t xml:space="preserve"> е создавање на суштинска нормативна инфраструктура</w:t>
      </w:r>
      <w:r w:rsidR="00492A9E">
        <w:rPr>
          <w:lang w:val="mk-MK"/>
        </w:rPr>
        <w:t xml:space="preserve"> која ќе овозможи</w:t>
      </w:r>
      <w:r w:rsidRPr="004D32C7">
        <w:rPr>
          <w:lang w:val="mk-MK"/>
        </w:rPr>
        <w:t xml:space="preserve"> ревизија на ЗТД со цел да се операционализира постојната мртва одредба за акциски шеми за вработени, воведување на даночни поттикнувања за доброволно воведување на ESOP шеми, и транспозиција на Директивата 2002/14/ЕЗ со конкретни механизми за спроведување. Критично за оваа фаза е изградба</w:t>
      </w:r>
      <w:r w:rsidR="00A72EB3">
        <w:rPr>
          <w:lang w:val="mk-MK"/>
        </w:rPr>
        <w:t>та</w:t>
      </w:r>
      <w:r w:rsidRPr="004D32C7">
        <w:rPr>
          <w:lang w:val="mk-MK"/>
        </w:rPr>
        <w:t xml:space="preserve"> на капацитет за колективно преговарање. Без синдикати способни да преговараат за договори за учество на ниво на претпријатие, целата нормативна рамка останува полн</w:t>
      </w:r>
      <w:r w:rsidR="003D0602">
        <w:rPr>
          <w:lang w:val="mk-MK"/>
        </w:rPr>
        <w:t>оправна</w:t>
      </w:r>
      <w:r w:rsidR="008001AB">
        <w:rPr>
          <w:lang w:val="mk-MK"/>
        </w:rPr>
        <w:t>,</w:t>
      </w:r>
      <w:r w:rsidRPr="004D32C7">
        <w:rPr>
          <w:lang w:val="mk-MK"/>
        </w:rPr>
        <w:t xml:space="preserve"> но социолошки празна. </w:t>
      </w:r>
    </w:p>
    <w:p w14:paraId="0761C2E0" w14:textId="1151E2CD" w:rsidR="008001AB" w:rsidRDefault="0057282A" w:rsidP="008001AB">
      <w:pPr>
        <w:pStyle w:val="BodyText"/>
        <w:spacing w:before="240"/>
        <w:ind w:firstLine="720"/>
        <w:jc w:val="both"/>
        <w:rPr>
          <w:lang w:val="mk-MK"/>
        </w:rPr>
      </w:pPr>
      <w:r w:rsidRPr="0057282A">
        <w:rPr>
          <w:lang w:val="mk-MK"/>
        </w:rPr>
        <w:t>Втора фаза</w:t>
      </w:r>
      <w:r>
        <w:rPr>
          <w:lang w:val="mk-MK"/>
        </w:rPr>
        <w:t>,</w:t>
      </w:r>
      <w:r w:rsidRPr="0057282A">
        <w:rPr>
          <w:lang w:val="mk-MK"/>
        </w:rPr>
        <w:t xml:space="preserve"> фаза</w:t>
      </w:r>
      <w:r>
        <w:rPr>
          <w:lang w:val="mk-MK"/>
        </w:rPr>
        <w:t>та</w:t>
      </w:r>
      <w:r w:rsidRPr="0057282A">
        <w:rPr>
          <w:lang w:val="mk-MK"/>
        </w:rPr>
        <w:t xml:space="preserve"> на структурна имплементација, активна по отворањето на Кластер 2 и Кластер 3</w:t>
      </w:r>
      <w:r w:rsidR="001F2B29">
        <w:rPr>
          <w:lang w:val="mk-MK"/>
        </w:rPr>
        <w:t>,</w:t>
      </w:r>
      <w:r w:rsidRPr="0057282A">
        <w:rPr>
          <w:lang w:val="mk-MK"/>
        </w:rPr>
        <w:t xml:space="preserve"> е фазата во која предложениот прагово-заснован модел добива законска форма. Тука временскиот приоритет е </w:t>
      </w:r>
      <w:r w:rsidR="00BA1367">
        <w:rPr>
          <w:lang w:val="mk-MK"/>
        </w:rPr>
        <w:t>од двојно значење</w:t>
      </w:r>
      <w:r w:rsidRPr="0057282A">
        <w:rPr>
          <w:lang w:val="mk-MK"/>
        </w:rPr>
        <w:t>. Прво, воведување на советодавна застапеност за компании над прагот од 50 вработени, проследено со систематска обука на претставниците преку институционалните актери идентификувани во претходната анализа. Второ, подготовка на регулаторната рамка за задолжителна гласачка застапеност во компании над 50 вработени</w:t>
      </w:r>
      <w:r w:rsidR="008229A3">
        <w:rPr>
          <w:lang w:val="mk-MK"/>
        </w:rPr>
        <w:t>,</w:t>
      </w:r>
      <w:r w:rsidRPr="0057282A">
        <w:rPr>
          <w:lang w:val="mk-MK"/>
        </w:rPr>
        <w:t xml:space="preserve"> чие влегување во сила би следело по истекот на доволен транзициски период за прилагодување на корпоративните </w:t>
      </w:r>
      <w:r w:rsidRPr="0057282A">
        <w:rPr>
          <w:lang w:val="mk-MK"/>
        </w:rPr>
        <w:lastRenderedPageBreak/>
        <w:t>статути. Реформите на агендата за раст</w:t>
      </w:r>
      <w:r w:rsidR="003A3EAA">
        <w:rPr>
          <w:lang w:val="mk-MK"/>
        </w:rPr>
        <w:t xml:space="preserve"> го</w:t>
      </w:r>
      <w:r w:rsidRPr="0057282A">
        <w:rPr>
          <w:lang w:val="mk-MK"/>
        </w:rPr>
        <w:t xml:space="preserve"> покриваат</w:t>
      </w:r>
      <w:r w:rsidR="003A3EAA">
        <w:rPr>
          <w:lang w:val="mk-MK"/>
        </w:rPr>
        <w:t xml:space="preserve"> периодот од</w:t>
      </w:r>
      <w:r w:rsidRPr="0057282A">
        <w:rPr>
          <w:lang w:val="mk-MK"/>
        </w:rPr>
        <w:t xml:space="preserve"> 2024</w:t>
      </w:r>
      <w:r w:rsidR="003A3EAA">
        <w:rPr>
          <w:lang w:val="mk-MK"/>
        </w:rPr>
        <w:t xml:space="preserve"> до </w:t>
      </w:r>
      <w:r w:rsidRPr="0057282A">
        <w:rPr>
          <w:lang w:val="mk-MK"/>
        </w:rPr>
        <w:t xml:space="preserve">2027 година и </w:t>
      </w:r>
      <w:r w:rsidR="003A3EAA">
        <w:rPr>
          <w:lang w:val="mk-MK"/>
        </w:rPr>
        <w:t>го</w:t>
      </w:r>
      <w:r w:rsidRPr="0057282A">
        <w:rPr>
          <w:lang w:val="mk-MK"/>
        </w:rPr>
        <w:t xml:space="preserve"> наведуваат развојот на приватниот сектор и деловната средина како приоритет, создавајќи потенцијален прозорец за вградување на нормите за учество на вработените во поширокиот реформски </w:t>
      </w:r>
      <w:r w:rsidR="003A3EAA">
        <w:rPr>
          <w:lang w:val="mk-MK"/>
        </w:rPr>
        <w:t>процес.</w:t>
      </w:r>
      <w:r w:rsidRPr="0057282A">
        <w:rPr>
          <w:lang w:val="mk-MK"/>
        </w:rPr>
        <w:t xml:space="preserve"> Финансирањето на оваа фаза, вклучувајќи ги трошоците за обука на претставниците, изградба на капацитет на синдикатите и воспоставување на мониторинг механизми, е природно подобно за финансирање преку IPA III и Инструментот за раст и реформи бидејќи директно се поклопува со критериумите за поддршка на пазарни реформи и развој на граѓанскиот сектор.</w:t>
      </w:r>
    </w:p>
    <w:p w14:paraId="190B9549" w14:textId="0E25D14A" w:rsidR="00DB32F8" w:rsidRDefault="00DB32F8" w:rsidP="008001AB">
      <w:pPr>
        <w:pStyle w:val="BodyText"/>
        <w:spacing w:before="240"/>
        <w:ind w:firstLine="720"/>
        <w:jc w:val="both"/>
        <w:rPr>
          <w:lang w:val="mk-MK"/>
        </w:rPr>
      </w:pPr>
      <w:r w:rsidRPr="00DB32F8">
        <w:rPr>
          <w:lang w:val="mk-MK"/>
        </w:rPr>
        <w:t>Трета</w:t>
      </w:r>
      <w:r w:rsidR="00C427BC">
        <w:rPr>
          <w:lang w:val="mk-MK"/>
        </w:rPr>
        <w:t>та</w:t>
      </w:r>
      <w:r w:rsidRPr="00DB32F8">
        <w:rPr>
          <w:lang w:val="mk-MK"/>
        </w:rPr>
        <w:t xml:space="preserve"> фаза</w:t>
      </w:r>
      <w:r w:rsidR="00350639">
        <w:rPr>
          <w:lang w:val="mk-MK"/>
        </w:rPr>
        <w:t xml:space="preserve">, </w:t>
      </w:r>
      <w:r w:rsidRPr="00DB32F8">
        <w:rPr>
          <w:lang w:val="mk-MK"/>
        </w:rPr>
        <w:t>фаза</w:t>
      </w:r>
      <w:r w:rsidR="00350639">
        <w:rPr>
          <w:lang w:val="mk-MK"/>
        </w:rPr>
        <w:t>та</w:t>
      </w:r>
      <w:r w:rsidRPr="00DB32F8">
        <w:rPr>
          <w:lang w:val="mk-MK"/>
        </w:rPr>
        <w:t xml:space="preserve"> на пристапна консолидација, со активирање во финалниот период на преговарање</w:t>
      </w:r>
      <w:r w:rsidR="00C427BC">
        <w:rPr>
          <w:lang w:val="mk-MK"/>
        </w:rPr>
        <w:t>,</w:t>
      </w:r>
      <w:r w:rsidRPr="00DB32F8">
        <w:rPr>
          <w:lang w:val="mk-MK"/>
        </w:rPr>
        <w:t xml:space="preserve"> е фазата во која Македонија мора да демонстрира правна транспозиција и практична примена на усвоените норми. Европската комисија во своите извештаи последователно ја прави разликата помеѓу постоење на закон и негово спроведување, при </w:t>
      </w:r>
      <w:r w:rsidR="00B82DF8">
        <w:rPr>
          <w:lang w:val="mk-MK"/>
        </w:rPr>
        <w:t>што</w:t>
      </w:r>
      <w:r w:rsidRPr="00DB32F8">
        <w:rPr>
          <w:lang w:val="mk-MK"/>
        </w:rPr>
        <w:t xml:space="preserve"> иако законите постојат, нивното спроведување и универзална имплементација генерално се недоволни.</w:t>
      </w:r>
      <w:r w:rsidR="00B82DF8">
        <w:rPr>
          <w:rStyle w:val="FootnoteReference"/>
          <w:lang w:val="mk-MK"/>
        </w:rPr>
        <w:footnoteReference w:id="834"/>
      </w:r>
      <w:r w:rsidRPr="00DB32F8">
        <w:rPr>
          <w:lang w:val="mk-MK"/>
        </w:rPr>
        <w:t xml:space="preserve"> Практична</w:t>
      </w:r>
      <w:r w:rsidR="00CC3F3B">
        <w:rPr>
          <w:lang w:val="mk-MK"/>
        </w:rPr>
        <w:t>та</w:t>
      </w:r>
      <w:r w:rsidRPr="00DB32F8">
        <w:rPr>
          <w:lang w:val="mk-MK"/>
        </w:rPr>
        <w:t xml:space="preserve"> примена во овој контекст значи документирани случаи на застапеност на вработените во надзорни одбори, функционирачки ESOP шеми во барем дел од компании</w:t>
      </w:r>
      <w:r w:rsidR="004A7F05">
        <w:rPr>
          <w:lang w:val="mk-MK"/>
        </w:rPr>
        <w:t>те што котираат на берза</w:t>
      </w:r>
      <w:r w:rsidRPr="00DB32F8">
        <w:rPr>
          <w:lang w:val="mk-MK"/>
        </w:rPr>
        <w:t>, мерлива активност на советите на вработените и судска или арбитражна јуриспруденција во областа на правата на вработените во корпоративното управување. Без овие конкретни индикатори, Кластер 2 и Кластер 3 нема да можат да бидат затворени со задоволително оценети бенчмаркови.</w:t>
      </w:r>
    </w:p>
    <w:p w14:paraId="73DDF1E1" w14:textId="5F6D1B81" w:rsidR="00E97144" w:rsidRDefault="00E97144" w:rsidP="008001AB">
      <w:pPr>
        <w:pStyle w:val="BodyText"/>
        <w:spacing w:before="240"/>
        <w:ind w:firstLine="720"/>
        <w:jc w:val="both"/>
        <w:rPr>
          <w:lang w:val="mk-MK"/>
        </w:rPr>
      </w:pPr>
      <w:r w:rsidRPr="00E97144">
        <w:rPr>
          <w:lang w:val="mk-MK"/>
        </w:rPr>
        <w:t>Во однос на редоследот на приоритетите, академски аргументот е дека постои јасна хиерархија на нужноста. Конкретно</w:t>
      </w:r>
      <w:r w:rsidR="007822AC">
        <w:rPr>
          <w:lang w:val="mk-MK"/>
        </w:rPr>
        <w:t>,</w:t>
      </w:r>
      <w:r w:rsidRPr="00E97144">
        <w:rPr>
          <w:lang w:val="mk-MK"/>
        </w:rPr>
        <w:t xml:space="preserve"> усогласувањето со Директивата 2002/14/ЕЗ е нужен предуслов за транспозиција на EWC Директивата 2009/38/ЕЗ, а транспозицијата на EWC Директивата е нужен предуслов за ефикасна транспозиција на SE Директивата 2001/86/ЕЗ. Оваа секвенцијална логика произлегува од самата природа на правата</w:t>
      </w:r>
      <w:r w:rsidR="00B837F2">
        <w:rPr>
          <w:lang w:val="mk-MK"/>
        </w:rPr>
        <w:t xml:space="preserve"> затоа што</w:t>
      </w:r>
      <w:r w:rsidRPr="00E97144">
        <w:rPr>
          <w:lang w:val="mk-MK"/>
        </w:rPr>
        <w:t xml:space="preserve"> правото на информирање е основно и процедурално, правото на консултирање е покомплексно и бара развиена претставничка инфраструктура, а застапеноста на ниво на одбор </w:t>
      </w:r>
      <w:r w:rsidR="00B837F2">
        <w:rPr>
          <w:lang w:val="mk-MK"/>
        </w:rPr>
        <w:t xml:space="preserve">ги </w:t>
      </w:r>
      <w:r w:rsidRPr="00E97144">
        <w:rPr>
          <w:lang w:val="mk-MK"/>
        </w:rPr>
        <w:t>претпоставува двете претходни. Инвертирањето на оваа секвенца</w:t>
      </w:r>
      <w:r w:rsidR="00092E5F">
        <w:rPr>
          <w:lang w:val="mk-MK"/>
        </w:rPr>
        <w:t>,</w:t>
      </w:r>
      <w:r w:rsidRPr="00E97144">
        <w:rPr>
          <w:lang w:val="mk-MK"/>
        </w:rPr>
        <w:t xml:space="preserve"> воведување застапеност на ниво на одбор пред да постои функционален систем за информирање и консултирање</w:t>
      </w:r>
      <w:r w:rsidR="00092E5F">
        <w:rPr>
          <w:lang w:val="mk-MK"/>
        </w:rPr>
        <w:t>,</w:t>
      </w:r>
      <w:r w:rsidRPr="00E97144">
        <w:rPr>
          <w:lang w:val="mk-MK"/>
        </w:rPr>
        <w:t xml:space="preserve"> би произвело институционалн</w:t>
      </w:r>
      <w:r w:rsidR="00092E5F">
        <w:rPr>
          <w:lang w:val="mk-MK"/>
        </w:rPr>
        <w:t>о</w:t>
      </w:r>
      <w:r w:rsidRPr="00E97144">
        <w:rPr>
          <w:lang w:val="mk-MK"/>
        </w:rPr>
        <w:t xml:space="preserve"> несовпаѓање со директна последица на декредибилизација на целото реформско напојување.</w:t>
      </w:r>
    </w:p>
    <w:p w14:paraId="5F19E7F6" w14:textId="6EF24C58" w:rsidR="00092E5F" w:rsidRDefault="002B031E" w:rsidP="008001AB">
      <w:pPr>
        <w:pStyle w:val="BodyText"/>
        <w:spacing w:before="240"/>
        <w:ind w:firstLine="720"/>
        <w:jc w:val="both"/>
        <w:rPr>
          <w:lang w:val="mk-MK"/>
        </w:rPr>
      </w:pPr>
      <w:r>
        <w:rPr>
          <w:lang w:val="mk-MK"/>
        </w:rPr>
        <w:t>Сепак,</w:t>
      </w:r>
      <w:r w:rsidRPr="002B031E">
        <w:rPr>
          <w:lang w:val="mk-MK"/>
        </w:rPr>
        <w:t xml:space="preserve"> временската рамка е навистина критична во однос на конкурентниот притисок на регионалното заостанување. Одржувањето на стабилен прогрес во реформите и барањето широк политички консензус се клучни за постигнување на амбициозните цели </w:t>
      </w:r>
      <w:r w:rsidR="00F67A7E">
        <w:rPr>
          <w:lang w:val="mk-MK"/>
        </w:rPr>
        <w:t>затоа што</w:t>
      </w:r>
      <w:r w:rsidRPr="002B031E">
        <w:rPr>
          <w:lang w:val="mk-MK"/>
        </w:rPr>
        <w:t xml:space="preserve"> Македонија ризикува да остане зад другите </w:t>
      </w:r>
      <w:r w:rsidR="00F67A7E">
        <w:rPr>
          <w:lang w:val="mk-MK"/>
        </w:rPr>
        <w:t>држави од Западен Балкан</w:t>
      </w:r>
      <w:r w:rsidRPr="002B031E">
        <w:rPr>
          <w:lang w:val="mk-MK"/>
        </w:rPr>
        <w:t xml:space="preserve">. Хрватска, која пристапи во 2013 година, ги транспонираше директивите за учество на вработените во период од неколку години пред пристапувањето и тоа во средина со значително поразвиена традиција на работнички претставништва отколку Македонија денес. Словенија, Бугарија и Романија следеле слична патека. </w:t>
      </w:r>
      <w:r w:rsidR="000F1309">
        <w:rPr>
          <w:lang w:val="mk-MK"/>
        </w:rPr>
        <w:t>З</w:t>
      </w:r>
      <w:r w:rsidRPr="002B031E">
        <w:rPr>
          <w:lang w:val="mk-MK"/>
        </w:rPr>
        <w:t>емјите кои ја одложиле реформата на корпоративното управување до последниот момент пред пристапувањето</w:t>
      </w:r>
      <w:r w:rsidR="000F1309">
        <w:rPr>
          <w:lang w:val="mk-MK"/>
        </w:rPr>
        <w:t xml:space="preserve">, </w:t>
      </w:r>
      <w:r w:rsidR="006E4A90">
        <w:rPr>
          <w:lang w:val="mk-MK"/>
        </w:rPr>
        <w:t xml:space="preserve">како Кипар и Малта, </w:t>
      </w:r>
      <w:r w:rsidRPr="002B031E">
        <w:rPr>
          <w:lang w:val="mk-MK"/>
        </w:rPr>
        <w:t>влегле во ЕУ со правно-технички усогласен</w:t>
      </w:r>
      <w:r w:rsidR="006E4A90">
        <w:rPr>
          <w:lang w:val="mk-MK"/>
        </w:rPr>
        <w:t>,</w:t>
      </w:r>
      <w:r w:rsidRPr="002B031E">
        <w:rPr>
          <w:lang w:val="mk-MK"/>
        </w:rPr>
        <w:t xml:space="preserve"> но практично нефункционален систем, генерирајќи пост-пристапни проблеми со спроведувањето кои траеле со години. Оваа историска лекција е теоретски аргумент за рана и сериозна имплементација</w:t>
      </w:r>
      <w:r w:rsidR="00F60E89">
        <w:rPr>
          <w:lang w:val="mk-MK"/>
        </w:rPr>
        <w:t xml:space="preserve"> наместо</w:t>
      </w:r>
      <w:r w:rsidRPr="002B031E">
        <w:rPr>
          <w:lang w:val="mk-MK"/>
        </w:rPr>
        <w:t xml:space="preserve"> одложување до последен момент.</w:t>
      </w:r>
    </w:p>
    <w:p w14:paraId="04B537EA" w14:textId="10494B20" w:rsidR="00F60E89" w:rsidRDefault="00F60E89" w:rsidP="008001AB">
      <w:pPr>
        <w:pStyle w:val="BodyText"/>
        <w:spacing w:before="240"/>
        <w:ind w:firstLine="720"/>
        <w:jc w:val="both"/>
        <w:rPr>
          <w:lang w:val="mk-MK"/>
        </w:rPr>
      </w:pPr>
      <w:r w:rsidRPr="00F60E89">
        <w:rPr>
          <w:lang w:val="mk-MK"/>
        </w:rPr>
        <w:lastRenderedPageBreak/>
        <w:t>Конечно, временската рамка мора да инкорпорира реалистично сфаќање на еден структурен парадокс</w:t>
      </w:r>
      <w:r w:rsidR="00E54A7E">
        <w:rPr>
          <w:lang w:val="mk-MK"/>
        </w:rPr>
        <w:t>,</w:t>
      </w:r>
      <w:r w:rsidRPr="00F60E89">
        <w:rPr>
          <w:lang w:val="mk-MK"/>
        </w:rPr>
        <w:t xml:space="preserve"> реформите за учество на вработените во корпоративното управување ги бараат токму оние институционални предуслови</w:t>
      </w:r>
      <w:r w:rsidR="00E54A7E">
        <w:rPr>
          <w:lang w:val="mk-MK"/>
        </w:rPr>
        <w:t>,</w:t>
      </w:r>
      <w:r w:rsidRPr="00F60E89">
        <w:rPr>
          <w:lang w:val="mk-MK"/>
        </w:rPr>
        <w:t xml:space="preserve"> силно правосудство, функционален социјален дијалог</w:t>
      </w:r>
      <w:r w:rsidR="00E54A7E">
        <w:rPr>
          <w:lang w:val="mk-MK"/>
        </w:rPr>
        <w:t xml:space="preserve"> и</w:t>
      </w:r>
      <w:r w:rsidRPr="00F60E89">
        <w:rPr>
          <w:lang w:val="mk-MK"/>
        </w:rPr>
        <w:t xml:space="preserve"> административен капацитет</w:t>
      </w:r>
      <w:r w:rsidR="00E54A7E">
        <w:rPr>
          <w:lang w:val="mk-MK"/>
        </w:rPr>
        <w:t xml:space="preserve">, </w:t>
      </w:r>
      <w:r w:rsidRPr="00F60E89">
        <w:rPr>
          <w:lang w:val="mk-MK"/>
        </w:rPr>
        <w:t xml:space="preserve">кои и самите се предмет на реформа. Решавањето на овој </w:t>
      </w:r>
      <w:r w:rsidRPr="00944748">
        <w:rPr>
          <w:i/>
          <w:iCs/>
          <w:lang w:val="mk-MK"/>
        </w:rPr>
        <w:t>circulus vitiosus</w:t>
      </w:r>
      <w:r w:rsidRPr="00F60E89">
        <w:rPr>
          <w:lang w:val="mk-MK"/>
        </w:rPr>
        <w:t xml:space="preserve"> бара паралелна имплементација на повеќе реформски </w:t>
      </w:r>
      <w:r w:rsidR="005A3755">
        <w:rPr>
          <w:lang w:val="mk-MK"/>
        </w:rPr>
        <w:t>процеси</w:t>
      </w:r>
      <w:r w:rsidRPr="00F60E89">
        <w:rPr>
          <w:lang w:val="mk-MK"/>
        </w:rPr>
        <w:t>, со свесна прифатливост на тоа дека некои механизми ќе бидат воспоставени пред нивн</w:t>
      </w:r>
      <w:r w:rsidR="001226F8">
        <w:rPr>
          <w:lang w:val="mk-MK"/>
        </w:rPr>
        <w:t>ата</w:t>
      </w:r>
      <w:r w:rsidRPr="00F60E89">
        <w:rPr>
          <w:lang w:val="mk-MK"/>
        </w:rPr>
        <w:t xml:space="preserve"> институционал</w:t>
      </w:r>
      <w:r w:rsidR="001226F8">
        <w:rPr>
          <w:lang w:val="mk-MK"/>
        </w:rPr>
        <w:t>на поддршка</w:t>
      </w:r>
      <w:r w:rsidRPr="00F60E89">
        <w:rPr>
          <w:lang w:val="mk-MK"/>
        </w:rPr>
        <w:t xml:space="preserve"> да е целосно функционалн</w:t>
      </w:r>
      <w:r w:rsidR="001226F8">
        <w:rPr>
          <w:lang w:val="mk-MK"/>
        </w:rPr>
        <w:t>а</w:t>
      </w:r>
      <w:r w:rsidRPr="00F60E89">
        <w:rPr>
          <w:lang w:val="mk-MK"/>
        </w:rPr>
        <w:t xml:space="preserve">. Голема е неопходноста трансформациjата на </w:t>
      </w:r>
      <w:r w:rsidRPr="00B72230">
        <w:rPr>
          <w:i/>
          <w:iCs/>
          <w:lang w:val="mk-MK"/>
        </w:rPr>
        <w:t>acquis</w:t>
      </w:r>
      <w:r w:rsidRPr="00F60E89">
        <w:rPr>
          <w:lang w:val="mk-MK"/>
        </w:rPr>
        <w:t xml:space="preserve"> да биде домашно </w:t>
      </w:r>
      <w:r w:rsidR="00B72230">
        <w:rPr>
          <w:lang w:val="mk-MK"/>
        </w:rPr>
        <w:t>придвижувана за да не се третира како</w:t>
      </w:r>
      <w:r w:rsidRPr="00F60E89">
        <w:rPr>
          <w:lang w:val="mk-MK"/>
        </w:rPr>
        <w:t xml:space="preserve"> техничко-законодавна обврска бидејќи само таква реформа може да ја издржи испитната фаза на практична примена во предпристапниот мониторинг. Тоа е, на крај, и теоретскиот и практичниот императив на целата реформска патека: транспозицијата без институционална вградување не е реформа</w:t>
      </w:r>
      <w:r w:rsidR="007D46C5">
        <w:rPr>
          <w:lang w:val="mk-MK"/>
        </w:rPr>
        <w:t>,</w:t>
      </w:r>
      <w:r w:rsidRPr="00F60E89">
        <w:rPr>
          <w:lang w:val="mk-MK"/>
        </w:rPr>
        <w:t xml:space="preserve"> таа е само номинална усогласеност, а номиналната усогласеност, во контекст на пристапувањето, е легалниот еквивалент на застој.</w:t>
      </w:r>
    </w:p>
    <w:p w14:paraId="1D69065B" w14:textId="3B8CF348" w:rsidR="00E54A7E" w:rsidRDefault="00E54A7E" w:rsidP="008001AB">
      <w:pPr>
        <w:pStyle w:val="BodyText"/>
        <w:spacing w:before="240"/>
        <w:ind w:firstLine="720"/>
        <w:jc w:val="both"/>
        <w:rPr>
          <w:lang w:val="mk-MK"/>
        </w:rPr>
      </w:pPr>
      <w:r w:rsidRPr="00E54A7E">
        <w:rPr>
          <w:lang w:val="mk-MK"/>
        </w:rPr>
        <w:t>Целокупната анализа развиена во претходните потточки</w:t>
      </w:r>
      <w:r w:rsidR="007D46C5">
        <w:rPr>
          <w:lang w:val="mk-MK"/>
        </w:rPr>
        <w:t>,</w:t>
      </w:r>
      <w:r w:rsidRPr="00E54A7E">
        <w:rPr>
          <w:lang w:val="mk-MK"/>
        </w:rPr>
        <w:t xml:space="preserve"> од скринингот и усогласувањето со </w:t>
      </w:r>
      <w:r w:rsidRPr="007D46C5">
        <w:rPr>
          <w:i/>
          <w:iCs/>
          <w:lang w:val="mk-MK"/>
        </w:rPr>
        <w:t>acquis</w:t>
      </w:r>
      <w:r w:rsidRPr="00E54A7E">
        <w:rPr>
          <w:lang w:val="mk-MK"/>
        </w:rPr>
        <w:t>, преку структурната трансформација на корпоративното уредување, до предложениот хибриден модел, институционалните актери и временската рамка</w:t>
      </w:r>
      <w:r w:rsidR="00964362">
        <w:rPr>
          <w:lang w:val="mk-MK"/>
        </w:rPr>
        <w:t>,</w:t>
      </w:r>
      <w:r w:rsidRPr="00E54A7E">
        <w:rPr>
          <w:lang w:val="mk-MK"/>
        </w:rPr>
        <w:t xml:space="preserve"> се одвиваше на ниво на правна и институционална теорија. Меѓутоа, секоја нормативна реформа во крајна линија е вградена во конкретна макроекономска стварност која ги определува нејзините практични предуслови, нејзиниот политички момент и нејзините граници на остварливост. Токму затоа, пред да се навлезе во синтетичките заклучоци, неопходно е реформскиот предлог да се соочи со тековниот економски профил на Македонија заради негово реалистично позиционирање.</w:t>
      </w:r>
    </w:p>
    <w:p w14:paraId="4DDF07AA" w14:textId="116322E5" w:rsidR="001070C5" w:rsidRDefault="001070C5" w:rsidP="008001AB">
      <w:pPr>
        <w:pStyle w:val="BodyText"/>
        <w:spacing w:before="240"/>
        <w:ind w:firstLine="720"/>
        <w:jc w:val="both"/>
        <w:rPr>
          <w:lang w:val="mk-MK"/>
        </w:rPr>
      </w:pPr>
      <w:r w:rsidRPr="001070C5">
        <w:rPr>
          <w:lang w:val="mk-MK"/>
        </w:rPr>
        <w:t xml:space="preserve">Тековните макроекономски показатели за 2025 и почетокот на 2026 година нудат двосмислена слика. Од една страна, растот на БДП достигнал 3,5% во 2025 година, поддржан пред сè од јавните инвестиции и </w:t>
      </w:r>
      <w:r>
        <w:rPr>
          <w:lang w:val="mk-MK"/>
        </w:rPr>
        <w:t xml:space="preserve">приватниот </w:t>
      </w:r>
      <w:r w:rsidRPr="001070C5">
        <w:rPr>
          <w:lang w:val="mk-MK"/>
        </w:rPr>
        <w:t>сектор, создавајќи номинален простор за реформска активност. Од друга страна, структурните слабости на пазарот на труд</w:t>
      </w:r>
      <w:r w:rsidR="003B427C">
        <w:rPr>
          <w:lang w:val="mk-MK"/>
        </w:rPr>
        <w:t>,</w:t>
      </w:r>
      <w:r w:rsidRPr="001070C5">
        <w:rPr>
          <w:lang w:val="mk-MK"/>
        </w:rPr>
        <w:t xml:space="preserve"> невработеноста кај младите (15-29) достигнала 30,3% кај жените и 21,7% кај мажите</w:t>
      </w:r>
      <w:r w:rsidR="003B427C">
        <w:rPr>
          <w:lang w:val="mk-MK"/>
        </w:rPr>
        <w:t>,</w:t>
      </w:r>
      <w:r w:rsidRPr="001070C5">
        <w:rPr>
          <w:lang w:val="mk-MK"/>
        </w:rPr>
        <w:t xml:space="preserve"> директно ја потцртуваат итноста на реформите за кои се залага овој труд. Учеството на вработените во корпоративното управување не е апстрактно правно прашање кога просечната нето-плата изнесува приближно 762 евра, синдикатите вршат притисок за зголемување на минималната плата од 50%, а реалниот животен стандард е под систематски притисок.</w:t>
      </w:r>
      <w:r w:rsidR="00E354BE">
        <w:rPr>
          <w:rStyle w:val="FootnoteReference"/>
          <w:lang w:val="mk-MK"/>
        </w:rPr>
        <w:footnoteReference w:id="835"/>
      </w:r>
      <w:r w:rsidRPr="001070C5">
        <w:rPr>
          <w:lang w:val="mk-MK"/>
        </w:rPr>
        <w:t xml:space="preserve"> Токму во таква средина, моделите на финансиска партиципација</w:t>
      </w:r>
      <w:r w:rsidR="00E354BE">
        <w:rPr>
          <w:lang w:val="mk-MK"/>
        </w:rPr>
        <w:t>,</w:t>
      </w:r>
      <w:r w:rsidRPr="001070C5">
        <w:rPr>
          <w:lang w:val="mk-MK"/>
        </w:rPr>
        <w:t xml:space="preserve"> ESOP шемите</w:t>
      </w:r>
      <w:r w:rsidR="003E4BB0">
        <w:rPr>
          <w:lang w:val="mk-MK"/>
        </w:rPr>
        <w:t xml:space="preserve"> и</w:t>
      </w:r>
      <w:r w:rsidRPr="001070C5">
        <w:rPr>
          <w:lang w:val="mk-MK"/>
        </w:rPr>
        <w:t xml:space="preserve"> </w:t>
      </w:r>
      <w:r w:rsidRPr="003E4BB0">
        <w:rPr>
          <w:i/>
          <w:iCs/>
          <w:lang w:val="mk-MK"/>
        </w:rPr>
        <w:t>profit-sharing</w:t>
      </w:r>
      <w:r w:rsidRPr="001070C5">
        <w:rPr>
          <w:lang w:val="mk-MK"/>
        </w:rPr>
        <w:t xml:space="preserve"> аранжманите</w:t>
      </w:r>
      <w:r w:rsidR="003E4BB0">
        <w:rPr>
          <w:lang w:val="mk-MK"/>
        </w:rPr>
        <w:t xml:space="preserve">, </w:t>
      </w:r>
      <w:r w:rsidRPr="001070C5">
        <w:rPr>
          <w:lang w:val="mk-MK"/>
        </w:rPr>
        <w:t>добиваат поинакво практично значење</w:t>
      </w:r>
      <w:r w:rsidR="003E4BB0">
        <w:rPr>
          <w:lang w:val="mk-MK"/>
        </w:rPr>
        <w:t xml:space="preserve"> како</w:t>
      </w:r>
      <w:r w:rsidRPr="001070C5">
        <w:rPr>
          <w:lang w:val="mk-MK"/>
        </w:rPr>
        <w:t xml:space="preserve"> инструменти на корпоративна демократија и механизми за редистрибуција на производствените придобивки кон работниците кои инаку остануваат надвор од нив.</w:t>
      </w:r>
    </w:p>
    <w:p w14:paraId="29B18415" w14:textId="33026035" w:rsidR="003E4BB0" w:rsidRDefault="00953888" w:rsidP="008001AB">
      <w:pPr>
        <w:pStyle w:val="BodyText"/>
        <w:spacing w:before="240"/>
        <w:ind w:firstLine="720"/>
        <w:jc w:val="both"/>
        <w:rPr>
          <w:lang w:val="en-US"/>
        </w:rPr>
      </w:pPr>
      <w:r w:rsidRPr="00953888">
        <w:rPr>
          <w:lang w:val="mk-MK"/>
        </w:rPr>
        <w:t>Геополитичкиот шок предизвикан од воената интервенција во Иран дополнително ја усложнува временската рамка на реформата. Зголемувањето на цените на горивото</w:t>
      </w:r>
      <w:r w:rsidR="00647CD3">
        <w:rPr>
          <w:lang w:val="en-US"/>
        </w:rPr>
        <w:t>,</w:t>
      </w:r>
      <w:r w:rsidRPr="00953888">
        <w:rPr>
          <w:lang w:val="mk-MK"/>
        </w:rPr>
        <w:t xml:space="preserve"> дизелот за 30%, еуросупер за 18%</w:t>
      </w:r>
      <w:r w:rsidR="00647CD3">
        <w:rPr>
          <w:lang w:val="en-US"/>
        </w:rPr>
        <w:t>,</w:t>
      </w:r>
      <w:r w:rsidRPr="00953888">
        <w:rPr>
          <w:lang w:val="mk-MK"/>
        </w:rPr>
        <w:t xml:space="preserve"> директно ги засегнува секторите кои во македонскиот корпоративен пејзаж се и наjзначајни и наjподатливи за воведување на учество на вработените: транспортот и логистиката, градежништвото и извозно-ориентираните МСП во металопреработувачката индустрија. Компаниите соочени со нагло растечки трошоци на производство и намалена извозна конкурентност ќе ги гледаат реформите на корпоративното управување низ призмата на краткорочен </w:t>
      </w:r>
      <w:r w:rsidRPr="00953888">
        <w:rPr>
          <w:lang w:val="mk-MK"/>
        </w:rPr>
        <w:lastRenderedPageBreak/>
        <w:t>административен товар, а не на долгорочна вредносна инвестиција. Ова е реален политичко-економски ризик за темпото на имплементацијата</w:t>
      </w:r>
      <w:r w:rsidR="00A81E1C">
        <w:rPr>
          <w:lang w:val="en-US"/>
        </w:rPr>
        <w:t>,</w:t>
      </w:r>
      <w:r w:rsidRPr="00953888">
        <w:rPr>
          <w:lang w:val="mk-MK"/>
        </w:rPr>
        <w:t xml:space="preserve"> но истовремено и аргумент за тоа зошто реформата не смее да чека на „поволен момент" кој можеби никогаш нема да дојде. Буџетскиот дефицит од 4,9% на БДП во 2025 и планираното намалување на 3,5% во 2026 дополнително го стеснуваат фискалниот простор за финансирање на имплементациската инфраструктура, правејќи ги уште поважни IPA средствата и Инструментот за раст и реформи како надворешни лостови за реформа.</w:t>
      </w:r>
    </w:p>
    <w:p w14:paraId="436B146E" w14:textId="2970D662" w:rsidR="00884503" w:rsidRPr="00884503" w:rsidRDefault="00706568" w:rsidP="00933B7A">
      <w:pPr>
        <w:pStyle w:val="BodyText"/>
        <w:spacing w:before="240" w:after="240"/>
        <w:ind w:firstLine="720"/>
        <w:jc w:val="both"/>
        <w:rPr>
          <w:lang w:val="mk-MK"/>
        </w:rPr>
      </w:pPr>
      <w:r w:rsidRPr="00706568">
        <w:rPr>
          <w:lang w:val="mk-MK"/>
        </w:rPr>
        <w:t>Сепак, токму во оваа спрега на структурни слабости на пазарот на труд, растечка социјална нееднаквост и надворешни шокови</w:t>
      </w:r>
      <w:r w:rsidR="00B4101D">
        <w:rPr>
          <w:lang w:val="mk-MK"/>
        </w:rPr>
        <w:t>,</w:t>
      </w:r>
      <w:r w:rsidRPr="00706568">
        <w:rPr>
          <w:lang w:val="mk-MK"/>
        </w:rPr>
        <w:t xml:space="preserve"> лежи наjсилниот аргумент за реформата</w:t>
      </w:r>
      <w:r w:rsidR="00F85752">
        <w:rPr>
          <w:lang w:val="mk-MK"/>
        </w:rPr>
        <w:t xml:space="preserve"> затоа што се посочува дека реформата е</w:t>
      </w:r>
      <w:r w:rsidRPr="00706568">
        <w:rPr>
          <w:lang w:val="mk-MK"/>
        </w:rPr>
        <w:t xml:space="preserve"> институционална нужност сега. Системот на учество на вработените во корпоративното управување</w:t>
      </w:r>
      <w:r w:rsidR="00F85752">
        <w:rPr>
          <w:lang w:val="mk-MK"/>
        </w:rPr>
        <w:t>,</w:t>
      </w:r>
      <w:r w:rsidRPr="00706568">
        <w:rPr>
          <w:lang w:val="mk-MK"/>
        </w:rPr>
        <w:t xml:space="preserve"> во органите и преку финансиска партиципација</w:t>
      </w:r>
      <w:r w:rsidR="00F85752">
        <w:rPr>
          <w:lang w:val="mk-MK"/>
        </w:rPr>
        <w:t>,</w:t>
      </w:r>
      <w:r w:rsidRPr="00706568">
        <w:rPr>
          <w:lang w:val="mk-MK"/>
        </w:rPr>
        <w:t xml:space="preserve"> е токму оној механизам кој ги трансформира работниците од пасивни примачи на плата во активни чинители со структурен интерес во долгорочната одржливост на </w:t>
      </w:r>
      <w:r w:rsidR="00933B7A">
        <w:rPr>
          <w:lang w:val="mk-MK"/>
        </w:rPr>
        <w:t>друштвото</w:t>
      </w:r>
      <w:r w:rsidRPr="00706568">
        <w:rPr>
          <w:lang w:val="mk-MK"/>
        </w:rPr>
        <w:t xml:space="preserve">. Во земја каде ранливите домаќинства се наjизложени на инфлаторни шокови, а младите масовно го напуштаат пазарот на труд, демократизацијата на корпоративното управување </w:t>
      </w:r>
      <w:r w:rsidR="00933B7A">
        <w:rPr>
          <w:lang w:val="mk-MK"/>
        </w:rPr>
        <w:t>е</w:t>
      </w:r>
      <w:r w:rsidRPr="00706568">
        <w:rPr>
          <w:lang w:val="mk-MK"/>
        </w:rPr>
        <w:t xml:space="preserve"> правна обврска кон ЕУ </w:t>
      </w:r>
      <w:r w:rsidRPr="00933B7A">
        <w:rPr>
          <w:i/>
          <w:iCs/>
          <w:lang w:val="mk-MK"/>
        </w:rPr>
        <w:t>acquis</w:t>
      </w:r>
      <w:r w:rsidRPr="00706568">
        <w:rPr>
          <w:lang w:val="mk-MK"/>
        </w:rPr>
        <w:t xml:space="preserve"> и социо-економски императив со директна врска со прашањата за кохезија, задржување на работната сила и долгорочна економска конвергенција со ЕУ.</w:t>
      </w:r>
      <w:r w:rsidR="007D2FE0">
        <w:rPr>
          <w:rStyle w:val="FootnoteReference"/>
          <w:lang w:val="mk-MK"/>
        </w:rPr>
        <w:footnoteReference w:id="836"/>
      </w:r>
      <w:r w:rsidRPr="00706568">
        <w:rPr>
          <w:lang w:val="mk-MK"/>
        </w:rPr>
        <w:t xml:space="preserve"> Со оваа двојна нормативна и емпириска заснованост, анализата природно се насочува кон синтетичките заклучоци на </w:t>
      </w:r>
      <w:r w:rsidR="00442E1E">
        <w:rPr>
          <w:lang w:val="mk-MK"/>
        </w:rPr>
        <w:t xml:space="preserve">ова поглавје од трудот. </w:t>
      </w:r>
    </w:p>
    <w:p w14:paraId="0B7F9E51" w14:textId="71E40A2E" w:rsidR="009334DB" w:rsidRPr="00976A2C" w:rsidRDefault="009334DB" w:rsidP="009334DB">
      <w:pPr>
        <w:pStyle w:val="Heading1"/>
        <w:numPr>
          <w:ilvl w:val="0"/>
          <w:numId w:val="14"/>
        </w:numPr>
        <w:jc w:val="both"/>
      </w:pPr>
      <w:bookmarkStart w:id="95" w:name="_Toc230523948"/>
      <w:r>
        <w:rPr>
          <w:lang w:val="mk-MK"/>
        </w:rPr>
        <w:t>Заклуч</w:t>
      </w:r>
      <w:r w:rsidR="0087719A">
        <w:rPr>
          <w:lang w:val="mk-MK"/>
        </w:rPr>
        <w:t>ни согледувања</w:t>
      </w:r>
      <w:bookmarkEnd w:id="95"/>
    </w:p>
    <w:p w14:paraId="39E93CFA" w14:textId="78C1F9D7" w:rsidR="009334DB" w:rsidRDefault="008218C9" w:rsidP="008218C9">
      <w:pPr>
        <w:pStyle w:val="BodyText"/>
        <w:spacing w:before="240"/>
        <w:ind w:firstLine="720"/>
        <w:jc w:val="both"/>
        <w:rPr>
          <w:lang w:val="mk-MK"/>
        </w:rPr>
      </w:pPr>
      <w:r w:rsidRPr="008218C9">
        <w:rPr>
          <w:lang w:val="mk-MK"/>
        </w:rPr>
        <w:t>Анализата на релевантните директиви на ЕУ, состојбата на транспонирање и поширокиот институционален контекст во Македонија води кон неколку јасни</w:t>
      </w:r>
      <w:r>
        <w:rPr>
          <w:lang w:val="mk-MK"/>
        </w:rPr>
        <w:t xml:space="preserve"> и</w:t>
      </w:r>
      <w:r w:rsidRPr="008218C9">
        <w:rPr>
          <w:lang w:val="mk-MK"/>
        </w:rPr>
        <w:t xml:space="preserve"> меѓусебно поврзани заклучоци.</w:t>
      </w:r>
      <w:r>
        <w:rPr>
          <w:lang w:val="mk-MK"/>
        </w:rPr>
        <w:t xml:space="preserve"> </w:t>
      </w:r>
      <w:r w:rsidR="00682CC0" w:rsidRPr="00682CC0">
        <w:rPr>
          <w:lang w:val="mk-MK"/>
        </w:rPr>
        <w:t xml:space="preserve">Процесот на пристапување на Македонија бара системско усогласување на ЗТД со целокупниот EU </w:t>
      </w:r>
      <w:r w:rsidR="00682CC0" w:rsidRPr="008218C9">
        <w:rPr>
          <w:i/>
          <w:iCs/>
          <w:lang w:val="mk-MK"/>
        </w:rPr>
        <w:t>acquis</w:t>
      </w:r>
      <w:r w:rsidR="00682CC0" w:rsidRPr="00682CC0">
        <w:rPr>
          <w:lang w:val="mk-MK"/>
        </w:rPr>
        <w:t xml:space="preserve"> во областа на корпоративното управување. Учеството на вработените</w:t>
      </w:r>
      <w:r>
        <w:rPr>
          <w:lang w:val="mk-MK"/>
        </w:rPr>
        <w:t>,</w:t>
      </w:r>
      <w:r w:rsidR="00682CC0" w:rsidRPr="00682CC0">
        <w:rPr>
          <w:lang w:val="mk-MK"/>
        </w:rPr>
        <w:t xml:space="preserve"> и преку органите на друштвото и преку акциски шеми</w:t>
      </w:r>
      <w:r>
        <w:rPr>
          <w:lang w:val="mk-MK"/>
        </w:rPr>
        <w:t>,</w:t>
      </w:r>
      <w:r w:rsidR="00682CC0" w:rsidRPr="00682CC0">
        <w:rPr>
          <w:lang w:val="mk-MK"/>
        </w:rPr>
        <w:t xml:space="preserve"> претставува стандард кој ЕУ го бара</w:t>
      </w:r>
      <w:r>
        <w:rPr>
          <w:lang w:val="mk-MK"/>
        </w:rPr>
        <w:t>,</w:t>
      </w:r>
      <w:r w:rsidR="00682CC0" w:rsidRPr="00682CC0">
        <w:rPr>
          <w:lang w:val="mk-MK"/>
        </w:rPr>
        <w:t xml:space="preserve"> но сè уште не е целосно имплементиран во македонскиот правен систем. </w:t>
      </w:r>
      <w:r w:rsidR="00A525FD">
        <w:rPr>
          <w:lang w:val="mk-MK"/>
        </w:rPr>
        <w:t>За Македонија, о</w:t>
      </w:r>
      <w:r w:rsidR="00682CC0" w:rsidRPr="00682CC0">
        <w:rPr>
          <w:lang w:val="mk-MK"/>
        </w:rPr>
        <w:t>собено важни ќе бидат транспозицијата на SE Директивата, EWC Директивата и новата Директива 2019/2121, кои директно ги регулираат правата на вработените во контекст на корпоративното управување</w:t>
      </w:r>
      <w:r w:rsidR="00A525FD">
        <w:rPr>
          <w:lang w:val="mk-MK"/>
        </w:rPr>
        <w:t xml:space="preserve">, но пред тоа, се истакнуваат неколку важни поенти за опсервација. </w:t>
      </w:r>
    </w:p>
    <w:p w14:paraId="296B0568" w14:textId="5761D19E" w:rsidR="007D2FE0" w:rsidRDefault="007D2FE0" w:rsidP="008218C9">
      <w:pPr>
        <w:pStyle w:val="BodyText"/>
        <w:spacing w:before="240"/>
        <w:ind w:firstLine="720"/>
        <w:jc w:val="both"/>
        <w:rPr>
          <w:lang w:val="mk-MK"/>
        </w:rPr>
      </w:pPr>
      <w:r w:rsidRPr="007D2FE0">
        <w:rPr>
          <w:lang w:val="mk-MK"/>
        </w:rPr>
        <w:t xml:space="preserve">Прво, прашањето за учество на вработените во корпоративното управување не може да се редуцира на техничка транспозиција на </w:t>
      </w:r>
      <w:r w:rsidRPr="0051150B">
        <w:rPr>
          <w:i/>
          <w:iCs/>
          <w:lang w:val="mk-MK"/>
        </w:rPr>
        <w:t>acquis</w:t>
      </w:r>
      <w:r w:rsidRPr="007D2FE0">
        <w:rPr>
          <w:lang w:val="mk-MK"/>
        </w:rPr>
        <w:t>. Иако формалното усогласување со директивите како Директивата 2002/14/ЕЗ, Директивата 2009/38/ЕЗ и Директивата 2019/2121/ЕУ претставува неопходен предуслов, тоа не е доволно. Клучниот дефицит во македонскиот контекст е отсуството на правна и корпоративна култура која го препознава учеството на вработените како легитимен и продуктивен елемент на управувањето</w:t>
      </w:r>
      <w:r w:rsidR="007B65FC">
        <w:rPr>
          <w:lang w:val="mk-MK"/>
        </w:rPr>
        <w:t xml:space="preserve">, наместо </w:t>
      </w:r>
      <w:r w:rsidRPr="007D2FE0">
        <w:rPr>
          <w:lang w:val="mk-MK"/>
        </w:rPr>
        <w:t>како</w:t>
      </w:r>
      <w:r w:rsidR="007B65FC">
        <w:rPr>
          <w:lang w:val="mk-MK"/>
        </w:rPr>
        <w:t xml:space="preserve"> потенцијално</w:t>
      </w:r>
      <w:r w:rsidRPr="007D2FE0">
        <w:rPr>
          <w:lang w:val="mk-MK"/>
        </w:rPr>
        <w:t xml:space="preserve"> ограничување на сопственичките прерогативи. Оттука, транспозицијата без институционална интернализација останува празна форма.</w:t>
      </w:r>
    </w:p>
    <w:p w14:paraId="24D2A198" w14:textId="030BA2DE" w:rsidR="007B65FC" w:rsidRDefault="007B65FC" w:rsidP="008218C9">
      <w:pPr>
        <w:pStyle w:val="BodyText"/>
        <w:spacing w:before="240"/>
        <w:ind w:firstLine="720"/>
        <w:jc w:val="both"/>
        <w:rPr>
          <w:lang w:val="en-US"/>
        </w:rPr>
      </w:pPr>
      <w:r w:rsidRPr="007B65FC">
        <w:rPr>
          <w:lang w:val="mk-MK"/>
        </w:rPr>
        <w:t>Второ, постои јасен расчекор помеѓу нормативната архитектура и емпириската реалност. Македонскиот Закон за трговски</w:t>
      </w:r>
      <w:r w:rsidR="00EC11D3">
        <w:rPr>
          <w:lang w:val="mk-MK"/>
        </w:rPr>
        <w:t>те</w:t>
      </w:r>
      <w:r w:rsidRPr="007B65FC">
        <w:rPr>
          <w:lang w:val="mk-MK"/>
        </w:rPr>
        <w:t xml:space="preserve"> друштва формално овозможува одредени форми на финансиска партиципација, но нивната практична неприменливост укажува на </w:t>
      </w:r>
      <w:r w:rsidRPr="007B65FC">
        <w:rPr>
          <w:lang w:val="mk-MK"/>
        </w:rPr>
        <w:lastRenderedPageBreak/>
        <w:t>подлабока структурна инерција. Овој јаз е производ на комбинација од концентрирана сопственост, слаб социјален дијалог и ограничена синдикална моќ. Во таква конфигурација, доброволните модели на учество на вработените остануваат маргинални, додека задолжителните модели се перципираат како политички и економски ризични.</w:t>
      </w:r>
    </w:p>
    <w:p w14:paraId="66306BCA" w14:textId="32D7A7BC" w:rsidR="00096C92" w:rsidRDefault="00636FCF" w:rsidP="008218C9">
      <w:pPr>
        <w:pStyle w:val="BodyText"/>
        <w:spacing w:before="240"/>
        <w:ind w:firstLine="720"/>
        <w:jc w:val="both"/>
        <w:rPr>
          <w:lang w:val="en-US"/>
        </w:rPr>
      </w:pPr>
      <w:r w:rsidRPr="00636FCF">
        <w:rPr>
          <w:lang w:val="mk-MK"/>
        </w:rPr>
        <w:t xml:space="preserve">Трето, темпото на транспонирање на </w:t>
      </w:r>
      <w:r w:rsidRPr="00BB69C3">
        <w:rPr>
          <w:i/>
          <w:iCs/>
          <w:lang w:val="mk-MK"/>
        </w:rPr>
        <w:t>acquis</w:t>
      </w:r>
      <w:r w:rsidRPr="00636FCF">
        <w:rPr>
          <w:lang w:val="mk-MK"/>
        </w:rPr>
        <w:t xml:space="preserve"> во Македонија е условено повеќе од политичко-структурни фактори отколку од административни капацитети. Механизмот на условување на Европската унија, кој во теорија треба да функционира како силен реформски поттик, во пракса е еродиран од билатерални блокади, намалена веродостојност на перспективата за членство и внатрешна политичка поларизација. Ова создава ситуација во која рационалната калкулација на актерите ја намалува мотивацијата за скапи и политички чувствителни реформи, каква што е реформата на корпоративното управување.</w:t>
      </w:r>
    </w:p>
    <w:p w14:paraId="27A5389C" w14:textId="2328FE18" w:rsidR="00054EFB" w:rsidRDefault="00054EFB" w:rsidP="008218C9">
      <w:pPr>
        <w:pStyle w:val="BodyText"/>
        <w:spacing w:before="240"/>
        <w:ind w:firstLine="720"/>
        <w:jc w:val="both"/>
        <w:rPr>
          <w:lang w:val="mk-MK"/>
        </w:rPr>
      </w:pPr>
      <w:r w:rsidRPr="00054EFB">
        <w:rPr>
          <w:lang w:val="mk-MK"/>
        </w:rPr>
        <w:t>Четврто, реформата на корпоративното управување во Македонија се одвива во рамки на класичната логика на ограничена рационалност и инкрементализам. Наместо парадигматска трансформација кон модели на коодлучување или значајна вклученост на вработените, промените се сведуваат на мали, преговарани прилагодувања кои не ја нарушуваат основната распределба на моќта</w:t>
      </w:r>
      <w:r w:rsidR="00BF2CCB" w:rsidRPr="00BF2CCB">
        <w:rPr>
          <w:lang w:val="mk-MK"/>
        </w:rPr>
        <w:t xml:space="preserve">. </w:t>
      </w:r>
      <w:r w:rsidR="00E84B8F">
        <w:rPr>
          <w:lang w:val="mk-MK"/>
        </w:rPr>
        <w:t>Ова не важи само за Македонија, туку к</w:t>
      </w:r>
      <w:r w:rsidR="00BF2CCB" w:rsidRPr="00BF2CCB">
        <w:rPr>
          <w:lang w:val="mk-MK"/>
        </w:rPr>
        <w:t>ако што аргументира The Divide: A Brief Guide to Global Inequality and Its Solutions од Jason Hickel, современите економски системи често се структурирани така што ја репродуцираат нееднаквоста преку институционални правила кои формално изгледаат неутрални, но суштински фаворизираат одредени актери.</w:t>
      </w:r>
      <w:r w:rsidR="00863979">
        <w:rPr>
          <w:rStyle w:val="FootnoteReference"/>
          <w:lang w:val="mk-MK"/>
        </w:rPr>
        <w:footnoteReference w:id="837"/>
      </w:r>
      <w:r w:rsidR="00BF2CCB" w:rsidRPr="00BF2CCB">
        <w:rPr>
          <w:lang w:val="mk-MK"/>
        </w:rPr>
        <w:t xml:space="preserve"> Во македонскиот корпоративен контекст, ова се манифестира преку правни и пазарни аранжмани кои систематски ја зајакнуваат позицијата на капиталот во однос на трудот. Отсуството на учество на вработените не е само пропуст, туку дел од поширока логика на институционална асиметрија.</w:t>
      </w:r>
    </w:p>
    <w:p w14:paraId="1EE6F0EF" w14:textId="4D3FDD66" w:rsidR="00285FF5" w:rsidRDefault="00285FF5" w:rsidP="008218C9">
      <w:pPr>
        <w:pStyle w:val="BodyText"/>
        <w:spacing w:before="240"/>
        <w:ind w:firstLine="720"/>
        <w:jc w:val="both"/>
        <w:rPr>
          <w:lang w:val="en-US"/>
        </w:rPr>
      </w:pPr>
      <w:r w:rsidRPr="00285FF5">
        <w:rPr>
          <w:lang w:val="mk-MK"/>
        </w:rPr>
        <w:t xml:space="preserve">Петто, структурните карактеристики на македонската економија, особено доминацијата на концентрирана сопственост, создаваат системски отпор кон модели на споделување на управувачката моќ. Во такви услови, секој обид за институционализирање на учество на вработените директно </w:t>
      </w:r>
      <w:r w:rsidR="00BF0A99">
        <w:rPr>
          <w:lang w:val="mk-MK"/>
        </w:rPr>
        <w:t>го</w:t>
      </w:r>
      <w:r w:rsidRPr="00285FF5">
        <w:rPr>
          <w:lang w:val="mk-MK"/>
        </w:rPr>
        <w:t xml:space="preserve"> допира јадрото на корпоративната контрола. Оттука, реформата </w:t>
      </w:r>
      <w:r w:rsidR="00BF0A99">
        <w:rPr>
          <w:lang w:val="mk-MK"/>
        </w:rPr>
        <w:t>станува</w:t>
      </w:r>
      <w:r w:rsidRPr="00285FF5">
        <w:rPr>
          <w:lang w:val="mk-MK"/>
        </w:rPr>
        <w:t xml:space="preserve"> правно прашање</w:t>
      </w:r>
      <w:r w:rsidR="00BF0A99">
        <w:rPr>
          <w:lang w:val="mk-MK"/>
        </w:rPr>
        <w:t xml:space="preserve"> и истовремено</w:t>
      </w:r>
      <w:r w:rsidRPr="00285FF5">
        <w:rPr>
          <w:lang w:val="mk-MK"/>
        </w:rPr>
        <w:t xml:space="preserve"> прашање на политичка економија и распределба на моќ.</w:t>
      </w:r>
      <w:r w:rsidR="001E5E8F">
        <w:rPr>
          <w:lang w:val="mk-MK"/>
        </w:rPr>
        <w:t xml:space="preserve"> Ако се погледн</w:t>
      </w:r>
      <w:r w:rsidR="002107CD">
        <w:rPr>
          <w:lang w:val="mk-MK"/>
        </w:rPr>
        <w:t>ат нарацијата и наодите на</w:t>
      </w:r>
      <w:r w:rsidR="001E5E8F" w:rsidRPr="001E5E8F">
        <w:rPr>
          <w:lang w:val="mk-MK"/>
        </w:rPr>
        <w:t xml:space="preserve"> The Dawn of Everything: A New History of Humanity на David Graeber и David Wengrow нè потсетува дека хиерархиските форми на организација не се историска нужност, туку контингентен избор.</w:t>
      </w:r>
      <w:r w:rsidR="002107CD">
        <w:rPr>
          <w:rStyle w:val="FootnoteReference"/>
          <w:lang w:val="mk-MK"/>
        </w:rPr>
        <w:footnoteReference w:id="838"/>
      </w:r>
      <w:r w:rsidR="001E5E8F" w:rsidRPr="001E5E8F">
        <w:rPr>
          <w:lang w:val="mk-MK"/>
        </w:rPr>
        <w:t xml:space="preserve"> Човечките општества историски експериментирале со различни форми на распределба на моќта, вклучително и модели на колективно одлучување и ротација на авторитет. Во тој поглед, современите корпорации не треба да се третираат како фиксни институции, туку како структури кои можат да бидат редизајнирани. Ова отвора концептуален простор да се размислува за учеството на вработените како легитимна варијанта на организациски дизајн.</w:t>
      </w:r>
    </w:p>
    <w:p w14:paraId="19F0310B" w14:textId="44C88B03" w:rsidR="00BF66A5" w:rsidRDefault="00BF66A5" w:rsidP="008218C9">
      <w:pPr>
        <w:pStyle w:val="BodyText"/>
        <w:spacing w:before="240"/>
        <w:ind w:firstLine="720"/>
        <w:jc w:val="both"/>
        <w:rPr>
          <w:lang w:val="mk-MK"/>
        </w:rPr>
      </w:pPr>
      <w:r w:rsidRPr="00BF66A5">
        <w:rPr>
          <w:lang w:val="mk-MK"/>
        </w:rPr>
        <w:t xml:space="preserve">Шесто, правосудството и владеењето на правото се појавуваат како клучен предуслов за секоја суштинска реформа. Без ефикасни судски механизми за заштита на </w:t>
      </w:r>
      <w:r w:rsidRPr="00BF66A5">
        <w:rPr>
          <w:lang w:val="mk-MK"/>
        </w:rPr>
        <w:lastRenderedPageBreak/>
        <w:t>правата на вработените, сите модели на учество остануваат нормативно кревки и практично неизводливи. Ова ја потврдува тезата дека Поглавје 26 не е периферно, туку централно за функционирањето на целокупната корпоративна архитектура.</w:t>
      </w:r>
    </w:p>
    <w:p w14:paraId="53DCFE48" w14:textId="0038D846" w:rsidR="00023863" w:rsidRDefault="00023863" w:rsidP="00DD7EF5">
      <w:pPr>
        <w:pStyle w:val="BodyText"/>
        <w:spacing w:before="240"/>
        <w:ind w:firstLine="720"/>
        <w:jc w:val="both"/>
        <w:rPr>
          <w:lang w:val="mk-MK"/>
        </w:rPr>
      </w:pPr>
      <w:r w:rsidRPr="00023863">
        <w:rPr>
          <w:lang w:val="mk-MK"/>
        </w:rPr>
        <w:t>Седмо, реформата на корпоративното управување треба да се разбере како дел од поширока парадигматска трансформација кон модели на социјална инвестиција и инклузивен раст. Учество</w:t>
      </w:r>
      <w:r w:rsidR="00A43416">
        <w:rPr>
          <w:lang w:val="mk-MK"/>
        </w:rPr>
        <w:t>то</w:t>
      </w:r>
      <w:r w:rsidRPr="00023863">
        <w:rPr>
          <w:lang w:val="mk-MK"/>
        </w:rPr>
        <w:t xml:space="preserve"> на вработените </w:t>
      </w:r>
      <w:r w:rsidR="00A43416">
        <w:rPr>
          <w:lang w:val="mk-MK"/>
        </w:rPr>
        <w:t>е прашање на</w:t>
      </w:r>
      <w:r w:rsidRPr="00023863">
        <w:rPr>
          <w:lang w:val="mk-MK"/>
        </w:rPr>
        <w:t xml:space="preserve"> економска ефикасност, организациска одржливост и задржување на човечки капитал. Во контекст на значајно иселување на работната сила, ова прашање добива дополнителна стратешка тежина.</w:t>
      </w:r>
      <w:r w:rsidR="00DD7EF5">
        <w:rPr>
          <w:lang w:val="mk-MK"/>
        </w:rPr>
        <w:t xml:space="preserve"> Оттука, </w:t>
      </w:r>
      <w:r w:rsidRPr="00023863">
        <w:rPr>
          <w:lang w:val="mk-MK"/>
        </w:rPr>
        <w:t>централниот синтетички заклучок е дека реформата на корпоративното управување во Македонија не може да се постигне преку изолирана законодавна интервенција. Таа бара координирана трансформација на правниот систем, политичките стимули и корпоративната култура. Без таква мултидимензионална промена, учеството на вработените ќе продолжи да постои како нормативна можност без реална имплементација, а институционалниот јаз помеѓу европските стандарди и домашната практика ќе остане отворен.</w:t>
      </w:r>
    </w:p>
    <w:p w14:paraId="2DD8D4D9" w14:textId="1B2EADE8" w:rsidR="00DD7EF5" w:rsidRDefault="003C6670" w:rsidP="00DD7EF5">
      <w:pPr>
        <w:pStyle w:val="BodyText"/>
        <w:spacing w:before="240"/>
        <w:ind w:firstLine="720"/>
        <w:jc w:val="both"/>
        <w:rPr>
          <w:lang w:val="mk-MK"/>
        </w:rPr>
      </w:pPr>
      <w:r w:rsidRPr="003C6670">
        <w:rPr>
          <w:lang w:val="mk-MK"/>
        </w:rPr>
        <w:t>Во оваа завршна аналитичка линија, клучниот придонес на трудот лежи во артикулацијата на еден нормативно кохерентен модел</w:t>
      </w:r>
      <w:r w:rsidR="00497EC7">
        <w:rPr>
          <w:lang w:val="mk-MK"/>
        </w:rPr>
        <w:t xml:space="preserve"> и</w:t>
      </w:r>
      <w:r w:rsidRPr="003C6670">
        <w:rPr>
          <w:lang w:val="mk-MK"/>
        </w:rPr>
        <w:t xml:space="preserve"> во демонстрацијата дека реформата на корпоративното управување во Македонија мора да се разбере како процес на истовремено институционално градење и социо-економска адаптација. Она што произлегува како централна синтеза е дека успехот на предложениот хибриден модел не зависи првенствено од неговата правна прецизност, туку од способноста да се вгради во конкретната динамика на македонската економија, политичкиот систем и културата на корпоративно однесување.</w:t>
      </w:r>
    </w:p>
    <w:p w14:paraId="68A4864F" w14:textId="2800E642" w:rsidR="00497EC7" w:rsidRDefault="00497EC7" w:rsidP="00DD7EF5">
      <w:pPr>
        <w:pStyle w:val="BodyText"/>
        <w:spacing w:before="240"/>
        <w:ind w:firstLine="720"/>
        <w:jc w:val="both"/>
        <w:rPr>
          <w:lang w:val="mk-MK"/>
        </w:rPr>
      </w:pPr>
      <w:r w:rsidRPr="00497EC7">
        <w:rPr>
          <w:lang w:val="mk-MK"/>
        </w:rPr>
        <w:t>Во таа смисла, предложената архитектура на постепено воведување на учеството на вработените не треба да се чита како компромис, туку како рационална стратегија на институционално учење. Таа го следи истиот принцип кој се појавува и во пошироките теории на политичка заедница и трансформација</w:t>
      </w:r>
      <w:r w:rsidR="007C12AE">
        <w:rPr>
          <w:lang w:val="mk-MK"/>
        </w:rPr>
        <w:t xml:space="preserve"> затоа што</w:t>
      </w:r>
      <w:r w:rsidRPr="00497EC7">
        <w:rPr>
          <w:lang w:val="mk-MK"/>
        </w:rPr>
        <w:t xml:space="preserve"> стабилните системи не се создаваат преку нагли прекини, туку преку кумулативни процеси на адаптација, експериментација и корекција. Ова е особено релевантно за Македонија, каде историското отсуство на силни работнички институции и ограничената практика на социјален дијалог создаваат средина во која правниот трансплант без институционална подлога</w:t>
      </w:r>
      <w:r w:rsidR="001A739F">
        <w:rPr>
          <w:lang w:val="mk-MK"/>
        </w:rPr>
        <w:t xml:space="preserve"> повторно</w:t>
      </w:r>
      <w:r w:rsidRPr="00497EC7">
        <w:rPr>
          <w:lang w:val="mk-MK"/>
        </w:rPr>
        <w:t xml:space="preserve"> ризикува да остане симболичен.</w:t>
      </w:r>
    </w:p>
    <w:p w14:paraId="549D28F4" w14:textId="3B86C0A3" w:rsidR="001A739F" w:rsidRDefault="001A739F" w:rsidP="00DD7EF5">
      <w:pPr>
        <w:pStyle w:val="BodyText"/>
        <w:spacing w:before="240"/>
        <w:ind w:firstLine="720"/>
        <w:jc w:val="both"/>
        <w:rPr>
          <w:lang w:val="en-US"/>
        </w:rPr>
      </w:pPr>
      <w:r w:rsidRPr="001A739F">
        <w:rPr>
          <w:lang w:val="mk-MK"/>
        </w:rPr>
        <w:t xml:space="preserve">Токму затоа, реформата мора да се разбере како процес на создавање на „внатрешна логика“ на системот, каде секое ново право или обврска генерира соодветен институционален одговор. Воведувањето на информирање и консултирање создава потреба од претставнички структури; тие структури, пак, генерираат знаење и капацитет кои ја прават можна застапеноста во органите; а застапеноста, на крај, создава услови за понапредни форми на финансиска партиципација. Оваа секвенцијалност </w:t>
      </w:r>
      <w:r w:rsidR="00EB1D59">
        <w:rPr>
          <w:lang w:val="en-US"/>
        </w:rPr>
        <w:t xml:space="preserve">e </w:t>
      </w:r>
      <w:r w:rsidRPr="001A739F">
        <w:rPr>
          <w:lang w:val="mk-MK"/>
        </w:rPr>
        <w:t>суштински услов за избегнување на феноменот на „празни институции“.</w:t>
      </w:r>
      <w:r w:rsidR="00DC1D07">
        <w:rPr>
          <w:rStyle w:val="FootnoteReference"/>
          <w:lang w:val="mk-MK"/>
        </w:rPr>
        <w:footnoteReference w:id="839"/>
      </w:r>
    </w:p>
    <w:p w14:paraId="02F7279F" w14:textId="1F645F51" w:rsidR="00615C78" w:rsidRDefault="00615C78" w:rsidP="00DD7EF5">
      <w:pPr>
        <w:pStyle w:val="BodyText"/>
        <w:spacing w:before="240"/>
        <w:ind w:firstLine="720"/>
        <w:jc w:val="both"/>
        <w:rPr>
          <w:lang w:val="mk-MK"/>
        </w:rPr>
      </w:pPr>
      <w:r w:rsidRPr="00615C78">
        <w:rPr>
          <w:lang w:val="mk-MK"/>
        </w:rPr>
        <w:t>Во поширока теоретска перспектива, овој пристап резонира со идејата дека институциите не се само формални правила, туку живи структури кои се одржуваат преку практика и верување. Во таа смисла, можеби не е случајно што некои од најинтересните историски примери на алтернативни форми на управување</w:t>
      </w:r>
      <w:r w:rsidR="005E01D9">
        <w:rPr>
          <w:lang w:val="mk-MK"/>
        </w:rPr>
        <w:t xml:space="preserve"> </w:t>
      </w:r>
      <w:r w:rsidRPr="00615C78">
        <w:rPr>
          <w:lang w:val="mk-MK"/>
        </w:rPr>
        <w:t xml:space="preserve">се појавуваат </w:t>
      </w:r>
      <w:r w:rsidRPr="00615C78">
        <w:rPr>
          <w:lang w:val="mk-MK"/>
        </w:rPr>
        <w:lastRenderedPageBreak/>
        <w:t>токму таму каде формалната власт е слаба, но постои силна потреба за самоорганизација.</w:t>
      </w:r>
      <w:r w:rsidR="00075867">
        <w:rPr>
          <w:rStyle w:val="FootnoteReference"/>
          <w:lang w:val="mk-MK"/>
        </w:rPr>
        <w:footnoteReference w:id="840"/>
      </w:r>
      <w:r w:rsidRPr="00615C78">
        <w:rPr>
          <w:lang w:val="mk-MK"/>
        </w:rPr>
        <w:t xml:space="preserve"> Иако контекстот е радикално различен, поентата останува релевантна</w:t>
      </w:r>
      <w:r w:rsidR="006737F4">
        <w:rPr>
          <w:lang w:val="en-US"/>
        </w:rPr>
        <w:t>,</w:t>
      </w:r>
      <w:r w:rsidRPr="00615C78">
        <w:rPr>
          <w:lang w:val="mk-MK"/>
        </w:rPr>
        <w:t xml:space="preserve"> одржливите институции се оние кои се интернализирани од актерите</w:t>
      </w:r>
      <w:r w:rsidR="006737F4">
        <w:rPr>
          <w:lang w:val="en-US"/>
        </w:rPr>
        <w:t xml:space="preserve"> </w:t>
      </w:r>
      <w:r w:rsidR="006737F4">
        <w:rPr>
          <w:lang w:val="mk-MK"/>
        </w:rPr>
        <w:t>дури и кога не се нужно</w:t>
      </w:r>
      <w:r w:rsidRPr="00615C78">
        <w:rPr>
          <w:lang w:val="mk-MK"/>
        </w:rPr>
        <w:t xml:space="preserve"> само наметнати одозгора.</w:t>
      </w:r>
      <w:r w:rsidR="006737F4">
        <w:rPr>
          <w:rStyle w:val="FootnoteReference"/>
          <w:lang w:val="mk-MK"/>
        </w:rPr>
        <w:footnoteReference w:id="841"/>
      </w:r>
    </w:p>
    <w:p w14:paraId="19AA7809" w14:textId="3724A4C9" w:rsidR="002019A0" w:rsidRDefault="002019A0" w:rsidP="00DD7EF5">
      <w:pPr>
        <w:pStyle w:val="BodyText"/>
        <w:spacing w:before="240"/>
        <w:ind w:firstLine="720"/>
        <w:jc w:val="both"/>
        <w:rPr>
          <w:lang w:val="en-US"/>
        </w:rPr>
      </w:pPr>
      <w:r w:rsidRPr="002019A0">
        <w:rPr>
          <w:lang w:val="mk-MK"/>
        </w:rPr>
        <w:t xml:space="preserve">Слично на тоа, прашањето на припадност и учество, кое во корпоративниот контекст се манифестира како однос помеѓу работникот и фирмата, може да се чита и низ поинакви наративи. </w:t>
      </w:r>
      <w:r w:rsidR="005707B1">
        <w:rPr>
          <w:lang w:val="mk-MK"/>
        </w:rPr>
        <w:t>Надвор од темата, но симболично, в</w:t>
      </w:r>
      <w:r w:rsidRPr="002019A0">
        <w:rPr>
          <w:lang w:val="mk-MK"/>
        </w:rPr>
        <w:t xml:space="preserve">о „My Cat Yugoslavia“ на </w:t>
      </w:r>
      <w:r w:rsidR="005707B1">
        <w:rPr>
          <w:lang w:val="mk-MK"/>
        </w:rPr>
        <w:t>Пајтим Статовци</w:t>
      </w:r>
      <w:r w:rsidRPr="002019A0">
        <w:rPr>
          <w:lang w:val="mk-MK"/>
        </w:rPr>
        <w:t>, темата на идентитет и оттурнатост се развива во услови на распаднати структури на припадност. Во економски контекст, компанијата која не успева да изгради чувство на вклученост и заеднички интерес кај своите вработени се соочува со сличен проблем</w:t>
      </w:r>
      <w:r w:rsidR="005707B1">
        <w:rPr>
          <w:lang w:val="mk-MK"/>
        </w:rPr>
        <w:t xml:space="preserve"> затоа што</w:t>
      </w:r>
      <w:r w:rsidRPr="002019A0">
        <w:rPr>
          <w:lang w:val="mk-MK"/>
        </w:rPr>
        <w:t xml:space="preserve"> формално постои, но суштински е празна од лојалност и доверба. Токму тука моделите на учество на вработените добиваат пошироко значење како механизми за реконструкција на таа врска.</w:t>
      </w:r>
      <w:r w:rsidR="00AB1E97">
        <w:rPr>
          <w:rStyle w:val="FootnoteReference"/>
          <w:lang w:val="mk-MK"/>
        </w:rPr>
        <w:footnoteReference w:id="842"/>
      </w:r>
    </w:p>
    <w:p w14:paraId="25263771" w14:textId="3C932402" w:rsidR="00490CEB" w:rsidRDefault="00490CEB" w:rsidP="00DD7EF5">
      <w:pPr>
        <w:pStyle w:val="BodyText"/>
        <w:spacing w:before="240"/>
        <w:ind w:firstLine="720"/>
        <w:jc w:val="both"/>
        <w:rPr>
          <w:lang w:val="mk-MK"/>
        </w:rPr>
      </w:pPr>
      <w:r w:rsidRPr="00490CEB">
        <w:rPr>
          <w:lang w:val="mk-MK"/>
        </w:rPr>
        <w:t>Дополнително, димензијата на економска правда и распределба, која е имплицитна во моделите на финансиска партиципација, директно се поврзува со пошироките дебати за демократија и нееднаквост.</w:t>
      </w:r>
      <w:r w:rsidR="005F3E5A">
        <w:rPr>
          <w:rStyle w:val="FootnoteReference"/>
          <w:lang w:val="mk-MK"/>
        </w:rPr>
        <w:footnoteReference w:id="843"/>
      </w:r>
      <w:r w:rsidRPr="00490CEB">
        <w:rPr>
          <w:lang w:val="mk-MK"/>
        </w:rPr>
        <w:t xml:space="preserve"> </w:t>
      </w:r>
      <w:r w:rsidR="005F3E5A">
        <w:rPr>
          <w:lang w:val="mk-MK"/>
        </w:rPr>
        <w:t>П</w:t>
      </w:r>
      <w:r w:rsidRPr="00490CEB">
        <w:rPr>
          <w:lang w:val="mk-MK"/>
        </w:rPr>
        <w:t>рашањата на економска моќ и политичка вклученост се нераздвоиви</w:t>
      </w:r>
      <w:r w:rsidR="005F3E5A">
        <w:rPr>
          <w:lang w:val="mk-MK"/>
        </w:rPr>
        <w:t xml:space="preserve"> и в</w:t>
      </w:r>
      <w:r w:rsidRPr="00490CEB">
        <w:rPr>
          <w:lang w:val="mk-MK"/>
        </w:rPr>
        <w:t>о македонскиот контекст, ова значи дека реформата на корпоративното управување не може да се третира како изолирана правна реформа, туку како дел од поширок проект на редефинирање на односите помеѓу капиталот и трудот.</w:t>
      </w:r>
      <w:r w:rsidR="005F3E5A">
        <w:rPr>
          <w:lang w:val="mk-MK"/>
        </w:rPr>
        <w:t xml:space="preserve"> </w:t>
      </w:r>
      <w:r w:rsidR="005F3E5A" w:rsidRPr="005F3E5A">
        <w:rPr>
          <w:lang w:val="mk-MK"/>
        </w:rPr>
        <w:t xml:space="preserve">Оттука, финалниот заклучок на трудот е двоен. Прво, Македонија има реална можност да дизајнира сопствен модел на учество на вработените кој е усогласен со </w:t>
      </w:r>
      <w:r w:rsidR="005F3E5A" w:rsidRPr="000B66C9">
        <w:rPr>
          <w:i/>
          <w:iCs/>
          <w:lang w:val="mk-MK"/>
        </w:rPr>
        <w:t>acquis</w:t>
      </w:r>
      <w:r w:rsidR="005F3E5A" w:rsidRPr="005F3E5A">
        <w:rPr>
          <w:lang w:val="mk-MK"/>
        </w:rPr>
        <w:t>, но истовремено адаптиран на нејзините институционални и економски специфики. Второ, успехот на тој модел ќе зависи помалку од формалното усвојување, а повеќе од способноста да се создаде критична маса на актери, институции и практики кои ќе го направат функционален.</w:t>
      </w:r>
    </w:p>
    <w:p w14:paraId="4D13B2EA" w14:textId="64E31AE0" w:rsidR="00F533C3" w:rsidRDefault="00423896" w:rsidP="00423896">
      <w:pPr>
        <w:pStyle w:val="BodyText"/>
        <w:spacing w:before="240"/>
        <w:ind w:firstLine="720"/>
        <w:jc w:val="both"/>
        <w:rPr>
          <w:lang w:val="mk-MK"/>
        </w:rPr>
      </w:pPr>
      <w:r w:rsidRPr="00423896">
        <w:rPr>
          <w:lang w:val="mk-MK"/>
        </w:rPr>
        <w:t>Во таа смисла, реформата на корпоративното управување не е крајна точка</w:t>
      </w:r>
      <w:r w:rsidR="00C56A94">
        <w:rPr>
          <w:lang w:val="mk-MK"/>
        </w:rPr>
        <w:t xml:space="preserve"> и претставува</w:t>
      </w:r>
      <w:r w:rsidRPr="00423896">
        <w:rPr>
          <w:lang w:val="mk-MK"/>
        </w:rPr>
        <w:t xml:space="preserve"> почеток на процес. Процес во кој </w:t>
      </w:r>
      <w:r w:rsidR="00C56A94">
        <w:rPr>
          <w:lang w:val="mk-MK"/>
        </w:rPr>
        <w:t>друштвата</w:t>
      </w:r>
      <w:r w:rsidRPr="00423896">
        <w:rPr>
          <w:lang w:val="mk-MK"/>
        </w:rPr>
        <w:t xml:space="preserve"> постепено се трансформираат од затворени структури на сопственост во отворени институции на учество; во кој работниците од објекти на управување стануваат субјекти на одлучување; и во кој правото, наместо да биде само инструмент на формална усогласеност, станува средство за реална институционална и социјална промена.</w:t>
      </w:r>
      <w:r>
        <w:rPr>
          <w:lang w:val="mk-MK"/>
        </w:rPr>
        <w:t xml:space="preserve"> </w:t>
      </w:r>
      <w:r w:rsidRPr="00423896">
        <w:rPr>
          <w:lang w:val="mk-MK"/>
        </w:rPr>
        <w:t>Токму во таа трансформација лежи и најсилниот аргумент на овој труд: дека корпоративното управување, правилно дизајнирано и имплементирано, може да стане еден од клучните механизми преку кои Македонија не само што ќе се усогласи со Европската унија, туку и ќе изгради поодржлива, поинклузивна и поотпорна економска и општествена структура.</w:t>
      </w:r>
    </w:p>
    <w:p w14:paraId="5BF29468" w14:textId="77777777" w:rsidR="00E555B4" w:rsidRPr="004E3579" w:rsidRDefault="00E555B4" w:rsidP="004E3579">
      <w:pPr>
        <w:jc w:val="both"/>
        <w:rPr>
          <w:sz w:val="24"/>
          <w:szCs w:val="24"/>
          <w:lang w:val="en-US"/>
        </w:rPr>
      </w:pPr>
    </w:p>
    <w:p w14:paraId="15625175" w14:textId="77777777" w:rsidR="00423896" w:rsidRDefault="00423896" w:rsidP="00423896">
      <w:pPr>
        <w:ind w:firstLine="478"/>
        <w:jc w:val="both"/>
        <w:rPr>
          <w:sz w:val="24"/>
          <w:szCs w:val="24"/>
          <w:lang w:val="mk-MK"/>
        </w:rPr>
      </w:pPr>
    </w:p>
    <w:p w14:paraId="79E5C126" w14:textId="77777777" w:rsidR="006E2597" w:rsidRDefault="006E2597" w:rsidP="00423896">
      <w:pPr>
        <w:ind w:firstLine="478"/>
        <w:jc w:val="both"/>
        <w:rPr>
          <w:sz w:val="24"/>
          <w:szCs w:val="24"/>
          <w:lang w:val="mk-MK"/>
        </w:rPr>
      </w:pPr>
    </w:p>
    <w:p w14:paraId="4EFCDDA8" w14:textId="77777777" w:rsidR="00423896" w:rsidRDefault="00423896" w:rsidP="00423896">
      <w:pPr>
        <w:ind w:firstLine="478"/>
        <w:jc w:val="both"/>
        <w:rPr>
          <w:sz w:val="24"/>
          <w:szCs w:val="24"/>
          <w:lang w:val="mk-MK"/>
        </w:rPr>
      </w:pPr>
    </w:p>
    <w:p w14:paraId="559D6A8E" w14:textId="77777777" w:rsidR="00423896" w:rsidRPr="005D62DB" w:rsidRDefault="00423896" w:rsidP="004E3579">
      <w:pPr>
        <w:spacing w:after="240"/>
        <w:ind w:firstLine="478"/>
        <w:jc w:val="both"/>
        <w:rPr>
          <w:sz w:val="24"/>
          <w:szCs w:val="24"/>
          <w:lang w:val="mk-MK"/>
        </w:rPr>
      </w:pPr>
    </w:p>
    <w:p w14:paraId="043435F2" w14:textId="3C061D5D" w:rsidR="00E555B4" w:rsidRPr="00830E2B" w:rsidRDefault="00E555B4" w:rsidP="00423896">
      <w:pPr>
        <w:pStyle w:val="Heading1"/>
        <w:ind w:left="478"/>
        <w:jc w:val="both"/>
        <w:rPr>
          <w:sz w:val="26"/>
          <w:szCs w:val="26"/>
          <w:lang w:val="en-US"/>
        </w:rPr>
      </w:pPr>
      <w:bookmarkStart w:id="96" w:name="_Toc230523949"/>
      <w:r>
        <w:rPr>
          <w:sz w:val="26"/>
          <w:szCs w:val="26"/>
          <w:lang w:val="mk-MK"/>
        </w:rPr>
        <w:lastRenderedPageBreak/>
        <w:t>Д. Новиот Закон за трговски друштва и соврем</w:t>
      </w:r>
      <w:r w:rsidR="00F533C3">
        <w:rPr>
          <w:sz w:val="26"/>
          <w:szCs w:val="26"/>
          <w:lang w:val="mk-MK"/>
        </w:rPr>
        <w:t>ените трендови во деловното право</w:t>
      </w:r>
      <w:bookmarkEnd w:id="96"/>
    </w:p>
    <w:p w14:paraId="020F429D" w14:textId="77777777" w:rsidR="00696D2E" w:rsidRDefault="00E555B4" w:rsidP="003404C4">
      <w:pPr>
        <w:pStyle w:val="BodyText"/>
        <w:spacing w:before="240"/>
        <w:jc w:val="both"/>
        <w:rPr>
          <w:lang w:val="mk-MK"/>
        </w:rPr>
      </w:pPr>
      <w:r>
        <w:rPr>
          <w:lang w:val="mk-MK"/>
        </w:rPr>
        <w:tab/>
      </w:r>
      <w:r w:rsidRPr="00133874">
        <w:rPr>
          <w:lang w:val="mk-MK"/>
        </w:rPr>
        <w:t xml:space="preserve">Претходните поглавја ја разработија нормативната рамка на корпоративното управување, компаративните модели на учество на вработените и нивната позиција во рамките на разновидностите на </w:t>
      </w:r>
      <w:r>
        <w:rPr>
          <w:lang w:val="mk-MK"/>
        </w:rPr>
        <w:t>системите</w:t>
      </w:r>
      <w:r w:rsidR="00A73E46">
        <w:rPr>
          <w:lang w:val="mk-MK"/>
        </w:rPr>
        <w:t xml:space="preserve">. </w:t>
      </w:r>
      <w:r w:rsidR="00A73E46" w:rsidRPr="00A73E46">
        <w:rPr>
          <w:lang w:val="mk-MK"/>
        </w:rPr>
        <w:t xml:space="preserve">Македонија неодамна </w:t>
      </w:r>
      <w:r w:rsidR="001E510D">
        <w:rPr>
          <w:lang w:val="mk-MK"/>
        </w:rPr>
        <w:t>влезе во процесот на ревизија на</w:t>
      </w:r>
      <w:r w:rsidR="00A73E46" w:rsidRPr="00A73E46">
        <w:rPr>
          <w:lang w:val="mk-MK"/>
        </w:rPr>
        <w:t xml:space="preserve"> Законот за трговски друштва со цел модернизација на корпоративното право и усогласување со стандардите на ЕУ. Кон крајот на 2024 година</w:t>
      </w:r>
      <w:r w:rsidR="00270FA5">
        <w:rPr>
          <w:lang w:val="en-US"/>
        </w:rPr>
        <w:t xml:space="preserve"> </w:t>
      </w:r>
      <w:r w:rsidR="00270FA5">
        <w:rPr>
          <w:lang w:val="mk-MK"/>
        </w:rPr>
        <w:t>и потоа повторно во 2025</w:t>
      </w:r>
      <w:r w:rsidR="00A73E46" w:rsidRPr="00A73E46">
        <w:rPr>
          <w:lang w:val="mk-MK"/>
        </w:rPr>
        <w:t xml:space="preserve">, Собранието усвои измени кои </w:t>
      </w:r>
      <w:r w:rsidR="001E510D">
        <w:rPr>
          <w:lang w:val="mk-MK"/>
        </w:rPr>
        <w:t>ја</w:t>
      </w:r>
      <w:r w:rsidR="00A73E46" w:rsidRPr="00A73E46">
        <w:rPr>
          <w:lang w:val="mk-MK"/>
        </w:rPr>
        <w:t xml:space="preserve"> спроведуваат реформск</w:t>
      </w:r>
      <w:r w:rsidR="001E510D">
        <w:rPr>
          <w:lang w:val="mk-MK"/>
        </w:rPr>
        <w:t>ата</w:t>
      </w:r>
      <w:r w:rsidR="00A73E46" w:rsidRPr="00A73E46">
        <w:rPr>
          <w:lang w:val="mk-MK"/>
        </w:rPr>
        <w:t xml:space="preserve"> агенда на Планот за раст на Западен Балкан, со ветена финансиска поддршка за усогласување со правилата на ЕУ.</w:t>
      </w:r>
      <w:r w:rsidR="009866C4">
        <w:rPr>
          <w:rStyle w:val="FootnoteReference"/>
          <w:lang w:val="mk-MK"/>
        </w:rPr>
        <w:footnoteReference w:id="844"/>
      </w:r>
      <w:r w:rsidR="00A73E46" w:rsidRPr="00A73E46">
        <w:rPr>
          <w:lang w:val="mk-MK"/>
        </w:rPr>
        <w:t xml:space="preserve"> Измените ги намалуваат капиталните барања за друштва со ограничена одговорност и ги ревидираат корпоративните санкции според големината на компанијата</w:t>
      </w:r>
      <w:r w:rsidR="003404C4">
        <w:rPr>
          <w:lang w:val="mk-MK"/>
        </w:rPr>
        <w:t xml:space="preserve">. </w:t>
      </w:r>
      <w:r w:rsidR="003F6714" w:rsidRPr="003F6714">
        <w:rPr>
          <w:lang w:val="mk-MK"/>
        </w:rPr>
        <w:t>Сепак, промените не таргетираа ниту еден сегмент што беше предмет на оваа дисертација и наведените анализи се очекува да бидат вклучени дури во текстот на новиот-предлог закон на трговските друштва.</w:t>
      </w:r>
    </w:p>
    <w:p w14:paraId="0BE3A19B" w14:textId="1BF6F533" w:rsidR="00694CCB" w:rsidRDefault="007E4350" w:rsidP="00694CCB">
      <w:pPr>
        <w:pStyle w:val="BodyText"/>
        <w:spacing w:before="240"/>
        <w:ind w:firstLine="720"/>
        <w:jc w:val="both"/>
        <w:rPr>
          <w:lang w:val="mk-MK"/>
        </w:rPr>
      </w:pPr>
      <w:r w:rsidRPr="00941C3E">
        <w:rPr>
          <w:lang w:val="mk-MK"/>
        </w:rPr>
        <w:t>Детална</w:t>
      </w:r>
      <w:r>
        <w:rPr>
          <w:lang w:val="mk-MK"/>
        </w:rPr>
        <w:t>та</w:t>
      </w:r>
      <w:r w:rsidRPr="00941C3E">
        <w:rPr>
          <w:lang w:val="mk-MK"/>
        </w:rPr>
        <w:t xml:space="preserve"> анализа на </w:t>
      </w:r>
      <w:r>
        <w:rPr>
          <w:lang w:val="mk-MK"/>
        </w:rPr>
        <w:t>п</w:t>
      </w:r>
      <w:r w:rsidRPr="00941C3E">
        <w:rPr>
          <w:lang w:val="mk-MK"/>
        </w:rPr>
        <w:t xml:space="preserve">редлог-Законот за трговски друштва </w:t>
      </w:r>
      <w:r>
        <w:rPr>
          <w:lang w:val="mk-MK"/>
        </w:rPr>
        <w:t xml:space="preserve">од </w:t>
      </w:r>
      <w:r w:rsidRPr="00941C3E">
        <w:rPr>
          <w:lang w:val="mk-MK"/>
        </w:rPr>
        <w:t>август 2023</w:t>
      </w:r>
      <w:r>
        <w:rPr>
          <w:lang w:val="mk-MK"/>
        </w:rPr>
        <w:t xml:space="preserve"> година во однос на м</w:t>
      </w:r>
      <w:r w:rsidRPr="00941C3E">
        <w:rPr>
          <w:lang w:val="mk-MK"/>
        </w:rPr>
        <w:t>одели</w:t>
      </w:r>
      <w:r>
        <w:rPr>
          <w:lang w:val="mk-MK"/>
        </w:rPr>
        <w:t>те</w:t>
      </w:r>
      <w:r w:rsidRPr="00941C3E">
        <w:rPr>
          <w:lang w:val="mk-MK"/>
        </w:rPr>
        <w:t xml:space="preserve"> преку кои трговските друштва овозможуваат вклученост на вработените</w:t>
      </w:r>
      <w:r>
        <w:rPr>
          <w:lang w:val="mk-MK"/>
        </w:rPr>
        <w:t>, со особен фокус на у</w:t>
      </w:r>
      <w:r w:rsidRPr="00941C3E">
        <w:rPr>
          <w:lang w:val="mk-MK"/>
        </w:rPr>
        <w:t>чество</w:t>
      </w:r>
      <w:r>
        <w:rPr>
          <w:lang w:val="mk-MK"/>
        </w:rPr>
        <w:t>то</w:t>
      </w:r>
      <w:r w:rsidRPr="00941C3E">
        <w:rPr>
          <w:lang w:val="mk-MK"/>
        </w:rPr>
        <w:t xml:space="preserve"> во органите на друштвото и распределба</w:t>
      </w:r>
      <w:r>
        <w:rPr>
          <w:lang w:val="mk-MK"/>
        </w:rPr>
        <w:t>та</w:t>
      </w:r>
      <w:r w:rsidRPr="00941C3E">
        <w:rPr>
          <w:lang w:val="mk-MK"/>
        </w:rPr>
        <w:t xml:space="preserve"> на акции </w:t>
      </w:r>
      <w:r>
        <w:rPr>
          <w:lang w:val="mk-MK"/>
        </w:rPr>
        <w:t xml:space="preserve">покажува значителен прогрес и вклученост на голем број релевантни одредби. </w:t>
      </w:r>
      <w:r w:rsidR="00A73E46" w:rsidRPr="00A73E46">
        <w:rPr>
          <w:lang w:val="mk-MK"/>
        </w:rPr>
        <w:t>Овие промени</w:t>
      </w:r>
      <w:r w:rsidR="00696D2E">
        <w:rPr>
          <w:lang w:val="mk-MK"/>
        </w:rPr>
        <w:t xml:space="preserve"> треба да</w:t>
      </w:r>
      <w:r w:rsidR="00A73E46" w:rsidRPr="00A73E46">
        <w:rPr>
          <w:lang w:val="mk-MK"/>
        </w:rPr>
        <w:t xml:space="preserve"> произлегуваат од член 58(1) на Уставот</w:t>
      </w:r>
      <w:r w:rsidR="00696D2E">
        <w:rPr>
          <w:lang w:val="mk-MK"/>
        </w:rPr>
        <w:t>,</w:t>
      </w:r>
      <w:r w:rsidR="00A73E46" w:rsidRPr="00A73E46">
        <w:rPr>
          <w:lang w:val="mk-MK"/>
        </w:rPr>
        <w:t xml:space="preserve"> кој ги третира „сопственоста и трудот </w:t>
      </w:r>
      <w:r w:rsidR="00696D2E">
        <w:rPr>
          <w:lang w:val="en-US"/>
        </w:rPr>
        <w:t>[</w:t>
      </w:r>
      <w:r w:rsidR="00A73E46" w:rsidRPr="00A73E46">
        <w:rPr>
          <w:lang w:val="mk-MK"/>
        </w:rPr>
        <w:t>како] основа на управувањето и учеството во одлучувањето"</w:t>
      </w:r>
      <w:r w:rsidR="00696D2E">
        <w:rPr>
          <w:lang w:val="mk-MK"/>
        </w:rPr>
        <w:t>, и</w:t>
      </w:r>
      <w:r w:rsidR="00B8660A">
        <w:rPr>
          <w:lang w:val="mk-MK"/>
        </w:rPr>
        <w:t xml:space="preserve"> </w:t>
      </w:r>
      <w:r w:rsidR="00A73E46" w:rsidRPr="00A73E46">
        <w:rPr>
          <w:lang w:val="mk-MK"/>
        </w:rPr>
        <w:t xml:space="preserve">со тоа </w:t>
      </w:r>
      <w:r w:rsidR="00696D2E">
        <w:rPr>
          <w:lang w:val="mk-MK"/>
        </w:rPr>
        <w:t>декларативно и вредносно</w:t>
      </w:r>
      <w:r w:rsidR="00A73E46" w:rsidRPr="00A73E46">
        <w:rPr>
          <w:lang w:val="mk-MK"/>
        </w:rPr>
        <w:t xml:space="preserve"> им овозможува на работниците да стекнат капитал во компанијата и да членуваат во управните или надзорните одбори. Таму каде што Законот за трговски друштва од 2004 година молчел, новиот закон изречно предвидува доверители на вработени да седат рамо до рамо со независни директори и директори избрани од инвеститорите. Ова вклучување на работниците е директно поврзано со искуството на ЕУ</w:t>
      </w:r>
      <w:r w:rsidR="0025636E">
        <w:rPr>
          <w:lang w:val="en-US"/>
        </w:rPr>
        <w:t xml:space="preserve"> </w:t>
      </w:r>
      <w:r w:rsidR="0025636E">
        <w:rPr>
          <w:lang w:val="mk-MK"/>
        </w:rPr>
        <w:t>затоа што</w:t>
      </w:r>
      <w:r w:rsidR="00A73E46" w:rsidRPr="00A73E46">
        <w:rPr>
          <w:lang w:val="mk-MK"/>
        </w:rPr>
        <w:t xml:space="preserve"> нацрт-измените упатуваат на правилата на ЕУ за учество на работниците од 2001 година (Societas Europaea) и најавуваат идна кодификација на корпоративното </w:t>
      </w:r>
      <w:r w:rsidR="005B6FE0">
        <w:rPr>
          <w:lang w:val="mk-MK"/>
        </w:rPr>
        <w:t>ко-</w:t>
      </w:r>
      <w:r w:rsidR="00A73E46" w:rsidRPr="00A73E46">
        <w:rPr>
          <w:lang w:val="mk-MK"/>
        </w:rPr>
        <w:t xml:space="preserve">детерминирање, засновано на уставни, </w:t>
      </w:r>
      <w:r w:rsidR="005B6FE0">
        <w:rPr>
          <w:lang w:val="mk-MK"/>
        </w:rPr>
        <w:t>трудови</w:t>
      </w:r>
      <w:r w:rsidR="00A73E46" w:rsidRPr="00A73E46">
        <w:rPr>
          <w:lang w:val="mk-MK"/>
        </w:rPr>
        <w:t xml:space="preserve"> и корпоративни одредби.</w:t>
      </w:r>
      <w:r w:rsidR="007A78E4">
        <w:rPr>
          <w:rStyle w:val="FootnoteReference"/>
          <w:lang w:val="mk-MK"/>
        </w:rPr>
        <w:footnoteReference w:id="845"/>
      </w:r>
    </w:p>
    <w:p w14:paraId="0C2475CB" w14:textId="013BBB35" w:rsidR="00E7440C" w:rsidRPr="002A1699" w:rsidRDefault="007E4350" w:rsidP="002A1699">
      <w:pPr>
        <w:pStyle w:val="BodyText"/>
        <w:spacing w:before="240"/>
        <w:ind w:firstLine="720"/>
        <w:jc w:val="both"/>
        <w:rPr>
          <w:lang w:val="en-US"/>
        </w:rPr>
      </w:pPr>
      <w:r w:rsidRPr="007E4350">
        <w:rPr>
          <w:lang w:val="mk-MK"/>
        </w:rPr>
        <w:t xml:space="preserve">Реформите исто така создаваат рамки за ЕСОП кои им овозможуваат на компаниите да издаваат опции за акции или акции на вработените под поволни услови. Овие шеми имаат за цел да ги усогласат интересите на трудот со долгорочните деловни перформанси. </w:t>
      </w:r>
      <w:r w:rsidR="005775E8">
        <w:rPr>
          <w:lang w:val="mk-MK"/>
        </w:rPr>
        <w:t>Во</w:t>
      </w:r>
      <w:r w:rsidRPr="007E4350">
        <w:rPr>
          <w:lang w:val="mk-MK"/>
        </w:rPr>
        <w:t xml:space="preserve"> практика, ваквите мерки ги отсликуваат трендовите во ЕУ</w:t>
      </w:r>
      <w:r w:rsidR="005775E8">
        <w:rPr>
          <w:lang w:val="mk-MK"/>
        </w:rPr>
        <w:t xml:space="preserve">, како </w:t>
      </w:r>
      <w:r w:rsidRPr="007E4350">
        <w:rPr>
          <w:lang w:val="mk-MK"/>
        </w:rPr>
        <w:t>на пр</w:t>
      </w:r>
      <w:r w:rsidR="005775E8">
        <w:rPr>
          <w:lang w:val="mk-MK"/>
        </w:rPr>
        <w:t>имер</w:t>
      </w:r>
      <w:r w:rsidRPr="007E4350">
        <w:rPr>
          <w:lang w:val="mk-MK"/>
        </w:rPr>
        <w:t xml:space="preserve"> предлозите за Европска директива за </w:t>
      </w:r>
      <w:r w:rsidR="00E61383">
        <w:rPr>
          <w:lang w:val="mk-MK"/>
        </w:rPr>
        <w:t>работничко акционерство</w:t>
      </w:r>
      <w:r w:rsidR="005775E8">
        <w:rPr>
          <w:lang w:val="mk-MK"/>
        </w:rPr>
        <w:t>,</w:t>
      </w:r>
      <w:r w:rsidRPr="007E4350">
        <w:rPr>
          <w:lang w:val="mk-MK"/>
        </w:rPr>
        <w:t xml:space="preserve"> и се гледаат како надополнување на учеството во одборите.</w:t>
      </w:r>
      <w:r w:rsidR="000A574B">
        <w:rPr>
          <w:rStyle w:val="FootnoteReference"/>
          <w:lang w:val="mk-MK"/>
        </w:rPr>
        <w:footnoteReference w:id="846"/>
      </w:r>
      <w:r w:rsidRPr="007E4350">
        <w:rPr>
          <w:lang w:val="mk-MK"/>
        </w:rPr>
        <w:t xml:space="preserve"> Накусо, </w:t>
      </w:r>
      <w:r w:rsidR="00E61383">
        <w:rPr>
          <w:lang w:val="mk-MK"/>
        </w:rPr>
        <w:t>предлог-измените</w:t>
      </w:r>
      <w:r w:rsidRPr="007E4350">
        <w:rPr>
          <w:lang w:val="mk-MK"/>
        </w:rPr>
        <w:t xml:space="preserve"> ги вградуваат интересите на вработените во македонското корпоративно право</w:t>
      </w:r>
      <w:r w:rsidR="00EA5EA7">
        <w:rPr>
          <w:lang w:val="mk-MK"/>
        </w:rPr>
        <w:t>,</w:t>
      </w:r>
      <w:r w:rsidRPr="007E4350">
        <w:rPr>
          <w:lang w:val="mk-MK"/>
        </w:rPr>
        <w:t xml:space="preserve"> реформа одамна најавена со уставните гаранции за трудот</w:t>
      </w:r>
      <w:r w:rsidR="00EA5EA7">
        <w:rPr>
          <w:lang w:val="mk-MK"/>
        </w:rPr>
        <w:t>,</w:t>
      </w:r>
      <w:r w:rsidRPr="007E4350">
        <w:rPr>
          <w:lang w:val="mk-MK"/>
        </w:rPr>
        <w:t xml:space="preserve"> и утврдуваат детални правила за управување со доверба во рамките на ЕСОП, стекнување права и заштита од разводнување.</w:t>
      </w:r>
      <w:r w:rsidR="00C3526F">
        <w:rPr>
          <w:rStyle w:val="FootnoteReference"/>
          <w:lang w:val="mk-MK"/>
        </w:rPr>
        <w:footnoteReference w:id="847"/>
      </w:r>
    </w:p>
    <w:p w14:paraId="6DC7A2C4" w14:textId="358DA622" w:rsidR="00E7440C" w:rsidRPr="001B24DD" w:rsidRDefault="006A24AD" w:rsidP="006A24AD">
      <w:pPr>
        <w:pStyle w:val="Heading1"/>
        <w:numPr>
          <w:ilvl w:val="0"/>
          <w:numId w:val="70"/>
        </w:numPr>
        <w:spacing w:after="240"/>
        <w:jc w:val="both"/>
      </w:pPr>
      <w:bookmarkStart w:id="97" w:name="_Toc230523950"/>
      <w:r w:rsidRPr="006A24AD">
        <w:rPr>
          <w:lang w:val="mk-MK"/>
        </w:rPr>
        <w:lastRenderedPageBreak/>
        <w:t xml:space="preserve">Клучни </w:t>
      </w:r>
      <w:r w:rsidR="00113A86">
        <w:rPr>
          <w:lang w:val="mk-MK"/>
        </w:rPr>
        <w:t xml:space="preserve">концепти </w:t>
      </w:r>
      <w:r w:rsidRPr="006A24AD">
        <w:rPr>
          <w:lang w:val="mk-MK"/>
        </w:rPr>
        <w:t xml:space="preserve">на </w:t>
      </w:r>
      <w:r>
        <w:rPr>
          <w:lang w:val="mk-MK"/>
        </w:rPr>
        <w:t>предлог-</w:t>
      </w:r>
      <w:r w:rsidRPr="006A24AD">
        <w:rPr>
          <w:lang w:val="mk-MK"/>
        </w:rPr>
        <w:t>Законот за трговски друштва</w:t>
      </w:r>
      <w:bookmarkEnd w:id="97"/>
    </w:p>
    <w:p w14:paraId="1B399C0E" w14:textId="11014B6E" w:rsidR="00E7440C" w:rsidRDefault="00797A78" w:rsidP="00E7440C">
      <w:pPr>
        <w:pStyle w:val="BodyText"/>
        <w:spacing w:before="240"/>
        <w:ind w:firstLine="720"/>
        <w:jc w:val="both"/>
        <w:rPr>
          <w:lang w:val="mk-MK"/>
        </w:rPr>
      </w:pPr>
      <w:r>
        <w:rPr>
          <w:lang w:val="mk-MK"/>
        </w:rPr>
        <w:t>Во неговата сегашна форма, предлог-</w:t>
      </w:r>
      <w:r w:rsidRPr="00797A78">
        <w:rPr>
          <w:lang w:val="mk-MK"/>
        </w:rPr>
        <w:t>закон</w:t>
      </w:r>
      <w:r>
        <w:rPr>
          <w:lang w:val="mk-MK"/>
        </w:rPr>
        <w:t>от</w:t>
      </w:r>
      <w:r w:rsidRPr="00797A78">
        <w:rPr>
          <w:lang w:val="mk-MK"/>
        </w:rPr>
        <w:t xml:space="preserve"> е изречно поставен во контекст на хармонизација со ЕУ. Конкретно, Македонија се обвр</w:t>
      </w:r>
      <w:r w:rsidR="00426CC9">
        <w:rPr>
          <w:lang w:val="mk-MK"/>
        </w:rPr>
        <w:t>зува</w:t>
      </w:r>
      <w:r w:rsidRPr="00797A78">
        <w:rPr>
          <w:lang w:val="mk-MK"/>
        </w:rPr>
        <w:t xml:space="preserve"> да ја транспонира Директивата II за права на акционерите на ЕУ (SRD II) и поврзаните правила за транспарентност преку оваа ревизија на Законот за трговски друштва. </w:t>
      </w:r>
      <w:r w:rsidR="002703A9">
        <w:rPr>
          <w:lang w:val="mk-MK"/>
        </w:rPr>
        <w:t>Дел од измените на ЗТД беа</w:t>
      </w:r>
      <w:r w:rsidRPr="00797A78">
        <w:rPr>
          <w:lang w:val="mk-MK"/>
        </w:rPr>
        <w:t xml:space="preserve"> забрзано донесен</w:t>
      </w:r>
      <w:r w:rsidR="002703A9">
        <w:rPr>
          <w:lang w:val="mk-MK"/>
        </w:rPr>
        <w:t>и во декември 2024 година</w:t>
      </w:r>
      <w:r w:rsidRPr="00797A78">
        <w:rPr>
          <w:lang w:val="mk-MK"/>
        </w:rPr>
        <w:t xml:space="preserve"> за да се исполни рокот на SRD II, проширувајќи ги правилата за ангажирање на акционерите и на приватните и на јавните компании. На пример, одредбите сега бараат издавачите годишно да известуваат за политиките за наградување, трансакциите со поврзани страни и транспарентноста при гласањето, во согласност со Директива 2017/828/ЕУ. Прекуграничните спојувања и поделби исто така се усогласени</w:t>
      </w:r>
      <w:r w:rsidR="0026349C">
        <w:rPr>
          <w:lang w:val="en-US"/>
        </w:rPr>
        <w:t xml:space="preserve"> </w:t>
      </w:r>
      <w:r w:rsidR="0026349C">
        <w:rPr>
          <w:lang w:val="mk-MK"/>
        </w:rPr>
        <w:t>затоа што</w:t>
      </w:r>
      <w:r w:rsidRPr="00797A78">
        <w:rPr>
          <w:lang w:val="mk-MK"/>
        </w:rPr>
        <w:t xml:space="preserve"> постоечкиот закон веќе ги опфаќа домашните спојувања/поделби, а со измените тие процеси целосно се усогласуваат со Директива 2005/56/ЕЗ. Генерално, Законот за трговски друштва сега ги задоволува повеќето правила на ЕУ за основање и реструктурирање на компании.</w:t>
      </w:r>
    </w:p>
    <w:p w14:paraId="2E7AE5C0" w14:textId="27443083" w:rsidR="00B1235C" w:rsidRDefault="00B1235C" w:rsidP="00E7440C">
      <w:pPr>
        <w:pStyle w:val="BodyText"/>
        <w:spacing w:before="240"/>
        <w:ind w:firstLine="720"/>
        <w:jc w:val="both"/>
        <w:rPr>
          <w:lang w:val="mk-MK"/>
        </w:rPr>
      </w:pPr>
      <w:r w:rsidRPr="00B1235C">
        <w:rPr>
          <w:lang w:val="mk-MK"/>
        </w:rPr>
        <w:t xml:space="preserve">Во поглед на финансиското обелоденување, македонскиот </w:t>
      </w:r>
      <w:r w:rsidR="009E285F">
        <w:rPr>
          <w:lang w:val="mk-MK"/>
        </w:rPr>
        <w:t xml:space="preserve">правен </w:t>
      </w:r>
      <w:r w:rsidRPr="00B1235C">
        <w:rPr>
          <w:lang w:val="mk-MK"/>
        </w:rPr>
        <w:t xml:space="preserve">режим во голема мера го </w:t>
      </w:r>
      <w:r w:rsidR="00FB1056">
        <w:rPr>
          <w:lang w:val="mk-MK"/>
        </w:rPr>
        <w:t>отсликува</w:t>
      </w:r>
      <w:r w:rsidRPr="00B1235C">
        <w:rPr>
          <w:lang w:val="mk-MK"/>
        </w:rPr>
        <w:t xml:space="preserve"> правото на ЕУ</w:t>
      </w:r>
      <w:r w:rsidR="00FB1056">
        <w:rPr>
          <w:lang w:val="mk-MK"/>
        </w:rPr>
        <w:t>,</w:t>
      </w:r>
      <w:r w:rsidRPr="00B1235C">
        <w:rPr>
          <w:lang w:val="mk-MK"/>
        </w:rPr>
        <w:t xml:space="preserve"> компаниите мора да објавуваат ревидирани годишни сметки и податоци за </w:t>
      </w:r>
      <w:r w:rsidR="005E685A">
        <w:rPr>
          <w:lang w:val="mk-MK"/>
        </w:rPr>
        <w:t>вистинските</w:t>
      </w:r>
      <w:r w:rsidRPr="00B1235C">
        <w:rPr>
          <w:lang w:val="mk-MK"/>
        </w:rPr>
        <w:t xml:space="preserve"> сопственици преку Централниот регистар. Извештајот на Европската комисија за скрининг за 2025 година забележува дека македонскиот закон е „во </w:t>
      </w:r>
      <w:r w:rsidR="0066736A">
        <w:rPr>
          <w:lang w:val="mk-MK"/>
        </w:rPr>
        <w:t>солидна</w:t>
      </w:r>
      <w:r w:rsidRPr="00B1235C">
        <w:rPr>
          <w:lang w:val="mk-MK"/>
        </w:rPr>
        <w:t xml:space="preserve"> мер</w:t>
      </w:r>
      <w:r w:rsidR="0066736A">
        <w:rPr>
          <w:lang w:val="mk-MK"/>
        </w:rPr>
        <w:t>к</w:t>
      </w:r>
      <w:r w:rsidRPr="00B1235C">
        <w:rPr>
          <w:lang w:val="mk-MK"/>
        </w:rPr>
        <w:t>а хармонизиран" со барањата на ЕУ за транспарентност и ревизија, иако сè уште треба да го заврши усогласувањето со Директивата за корпоративно известување за одржливост и другите нови правила на ЕУ. Конкретно, планираните измени на законот за сметководство ќе ги имплементираат Директивата за сметководство на ЕУ (2013/34) и Директивата за транспарентност, обезбедувајќи големите компании да обелоденуваат еколошки</w:t>
      </w:r>
      <w:r w:rsidR="00BF122A">
        <w:rPr>
          <w:lang w:val="mk-MK"/>
        </w:rPr>
        <w:t xml:space="preserve"> и </w:t>
      </w:r>
      <w:r w:rsidRPr="00B1235C">
        <w:rPr>
          <w:lang w:val="mk-MK"/>
        </w:rPr>
        <w:t>социјални податоци во рамките на CSRD</w:t>
      </w:r>
      <w:r w:rsidR="00BF122A">
        <w:rPr>
          <w:lang w:val="mk-MK"/>
        </w:rPr>
        <w:t>, што во Македонија с</w:t>
      </w:r>
      <w:r w:rsidR="008C651D" w:rsidRPr="008C651D">
        <w:rPr>
          <w:lang w:val="mk-MK"/>
        </w:rPr>
        <w:t>ѐ</w:t>
      </w:r>
      <w:r w:rsidR="00BF122A">
        <w:rPr>
          <w:lang w:val="mk-MK"/>
        </w:rPr>
        <w:t xml:space="preserve"> уште не се случува. </w:t>
      </w:r>
    </w:p>
    <w:p w14:paraId="516143DD" w14:textId="57AC676D" w:rsidR="009F409E" w:rsidRDefault="009F409E" w:rsidP="00E7440C">
      <w:pPr>
        <w:pStyle w:val="BodyText"/>
        <w:spacing w:before="240"/>
        <w:ind w:firstLine="720"/>
        <w:jc w:val="both"/>
        <w:rPr>
          <w:lang w:val="en-US"/>
        </w:rPr>
      </w:pPr>
      <w:r w:rsidRPr="009F409E">
        <w:rPr>
          <w:lang w:val="mk-MK"/>
        </w:rPr>
        <w:t xml:space="preserve">Во меѓувреме, усогласеноста со кодексите за корпоративно управување </w:t>
      </w:r>
      <w:r w:rsidR="00B611E8">
        <w:rPr>
          <w:lang w:val="mk-MK"/>
        </w:rPr>
        <w:t xml:space="preserve">благо </w:t>
      </w:r>
      <w:r w:rsidRPr="009F409E">
        <w:rPr>
          <w:lang w:val="mk-MK"/>
        </w:rPr>
        <w:t xml:space="preserve">се подобрува. Задолжителниот </w:t>
      </w:r>
      <w:r w:rsidR="00FB2307">
        <w:rPr>
          <w:lang w:val="mk-MK"/>
        </w:rPr>
        <w:t>м</w:t>
      </w:r>
      <w:r w:rsidRPr="009F409E">
        <w:rPr>
          <w:lang w:val="mk-MK"/>
        </w:rPr>
        <w:t>акедонски кодекс за корпоративно управување (2021) се применува на котираните компании и бара обелоденување на структурите на управување, разновидноста на одборот и односите со засегнатите страни.</w:t>
      </w:r>
      <w:r w:rsidR="008A5D2A">
        <w:rPr>
          <w:rStyle w:val="FootnoteReference"/>
          <w:lang w:val="mk-MK"/>
        </w:rPr>
        <w:footnoteReference w:id="848"/>
      </w:r>
      <w:r w:rsidRPr="009F409E">
        <w:rPr>
          <w:lang w:val="mk-MK"/>
        </w:rPr>
        <w:t xml:space="preserve"> Новиот Закон за трговски друштва ова го засилува со тоа што бара сите издавачи на берзата да објавуваат преку електронскиот систем SEI-NET на МЦКГ целосни информации за изборот на директори, комисиите на одборот и правата на акционерите. Овие чекори изречно имаат за цел да ги исполнат правилата на ЕУ за ангажирање на акционерите и надзор на ревизијата. </w:t>
      </w:r>
    </w:p>
    <w:p w14:paraId="7FDDE804" w14:textId="218176EC" w:rsidR="009023CF" w:rsidRDefault="009023CF" w:rsidP="00E7440C">
      <w:pPr>
        <w:pStyle w:val="BodyText"/>
        <w:spacing w:before="240"/>
        <w:ind w:firstLine="720"/>
        <w:jc w:val="both"/>
        <w:rPr>
          <w:lang w:val="mk-MK"/>
        </w:rPr>
      </w:pPr>
      <w:r w:rsidRPr="009023CF">
        <w:rPr>
          <w:lang w:val="mk-MK"/>
        </w:rPr>
        <w:t>Македонија</w:t>
      </w:r>
      <w:r>
        <w:rPr>
          <w:lang w:val="mk-MK"/>
        </w:rPr>
        <w:t>, до одреден степен,</w:t>
      </w:r>
      <w:r w:rsidRPr="009023CF">
        <w:rPr>
          <w:lang w:val="mk-MK"/>
        </w:rPr>
        <w:t xml:space="preserve"> </w:t>
      </w:r>
      <w:r>
        <w:rPr>
          <w:lang w:val="mk-MK"/>
        </w:rPr>
        <w:t xml:space="preserve">во изминатиот период има </w:t>
      </w:r>
      <w:r w:rsidRPr="009023CF">
        <w:rPr>
          <w:lang w:val="mk-MK"/>
        </w:rPr>
        <w:t>инвестира</w:t>
      </w:r>
      <w:r>
        <w:rPr>
          <w:lang w:val="mk-MK"/>
        </w:rPr>
        <w:t>но</w:t>
      </w:r>
      <w:r w:rsidRPr="009023CF">
        <w:rPr>
          <w:lang w:val="mk-MK"/>
        </w:rPr>
        <w:t xml:space="preserve"> во дигитална инфраструктура за компании. Централниот регистар (ЦРРСМ) нуди целосно електронски систем со едно </w:t>
      </w:r>
      <w:r w:rsidR="00572DCD">
        <w:rPr>
          <w:lang w:val="mk-MK"/>
        </w:rPr>
        <w:t>унифицирано место</w:t>
      </w:r>
      <w:r w:rsidRPr="009023CF">
        <w:rPr>
          <w:lang w:val="mk-MK"/>
        </w:rPr>
        <w:t xml:space="preserve"> за регистрација на стопански субјекти и поднесување документи. Сите видови субјекти</w:t>
      </w:r>
      <w:r w:rsidR="00572DCD">
        <w:rPr>
          <w:lang w:val="mk-MK"/>
        </w:rPr>
        <w:t>,</w:t>
      </w:r>
      <w:r w:rsidRPr="009023CF">
        <w:rPr>
          <w:lang w:val="mk-MK"/>
        </w:rPr>
        <w:t xml:space="preserve"> ДОО, акционерски друштва, претставништва, здруженија и сл</w:t>
      </w:r>
      <w:r w:rsidR="00572DCD">
        <w:rPr>
          <w:lang w:val="mk-MK"/>
        </w:rPr>
        <w:t>ично,</w:t>
      </w:r>
      <w:r w:rsidRPr="009023CF">
        <w:rPr>
          <w:lang w:val="mk-MK"/>
        </w:rPr>
        <w:t xml:space="preserve"> можат да бидат основани, изменети или ликвидирани со електронска достава. Годишните финансиски извештаи и изјавите за стварни сопственици исто така се поднесуваат дигитално. Всушност, извештајот на ЕУ за скрининг истакнува дека „регистрацијата на компанијата и поднесувањето на документи</w:t>
      </w:r>
      <w:r w:rsidR="00572DCD">
        <w:rPr>
          <w:lang w:val="mk-MK"/>
        </w:rPr>
        <w:t>,</w:t>
      </w:r>
      <w:r w:rsidRPr="009023CF">
        <w:rPr>
          <w:lang w:val="mk-MK"/>
        </w:rPr>
        <w:t xml:space="preserve"> вклучително и финансиски документи</w:t>
      </w:r>
      <w:r w:rsidR="00572DCD">
        <w:rPr>
          <w:lang w:val="mk-MK"/>
        </w:rPr>
        <w:t>,</w:t>
      </w:r>
      <w:r w:rsidRPr="009023CF">
        <w:rPr>
          <w:lang w:val="mk-MK"/>
        </w:rPr>
        <w:t xml:space="preserve"> може да се изврши целосно </w:t>
      </w:r>
      <w:r w:rsidRPr="009023CF">
        <w:rPr>
          <w:lang w:val="mk-MK"/>
        </w:rPr>
        <w:lastRenderedPageBreak/>
        <w:t>онлајн".</w:t>
      </w:r>
      <w:r w:rsidR="00572DCD">
        <w:rPr>
          <w:rStyle w:val="FootnoteReference"/>
          <w:lang w:val="mk-MK"/>
        </w:rPr>
        <w:footnoteReference w:id="849"/>
      </w:r>
      <w:r w:rsidRPr="009023CF">
        <w:rPr>
          <w:lang w:val="mk-MK"/>
        </w:rPr>
        <w:t xml:space="preserve"> Оваа можност беше зајакната со неодамнешните реформи на е-управата: националниот портал за е-услуги (uslugi.gov.mk) и системот за единствена пријава (SSO) сега овозможуваат дигитална верификација на идентитет и е-потпис за деловни трансакции.</w:t>
      </w:r>
    </w:p>
    <w:p w14:paraId="3B84F8B3" w14:textId="10CCF3B4" w:rsidR="00E54C98" w:rsidRPr="009023CF" w:rsidRDefault="009B2ED3" w:rsidP="00E7440C">
      <w:pPr>
        <w:pStyle w:val="BodyText"/>
        <w:spacing w:before="240"/>
        <w:ind w:firstLine="720"/>
        <w:jc w:val="both"/>
        <w:rPr>
          <w:lang w:val="mk-MK"/>
        </w:rPr>
      </w:pPr>
      <w:r w:rsidRPr="009B2ED3">
        <w:rPr>
          <w:lang w:val="mk-MK"/>
        </w:rPr>
        <w:t>Законот за електронски комуникации (ЗЕК) од 2025 година исто така ја поддржува корпоративната дигитализација. Усвоен во ју</w:t>
      </w:r>
      <w:r w:rsidR="00507777">
        <w:rPr>
          <w:lang w:val="mk-MK"/>
        </w:rPr>
        <w:t>л</w:t>
      </w:r>
      <w:r w:rsidRPr="009B2ED3">
        <w:rPr>
          <w:lang w:val="mk-MK"/>
        </w:rPr>
        <w:t xml:space="preserve">и 2025 година, ЗЕК го усогласува националното телекомуникациско право со Европскиот кодекс за електронски комуникации (Директива 2018/1972), подобрувајќи ја широкопојасната покриеност и овозможувајќи споделена инфраструктура. Со подобрување на поврзаноста и кодификацијата на потписи усогласени со eIDAS, ЗЕК ги потпомага онлајн корпоративните регистри. Понатаму, </w:t>
      </w:r>
      <w:r w:rsidR="00164B8B" w:rsidRPr="00164B8B">
        <w:rPr>
          <w:lang w:val="mk-MK"/>
        </w:rPr>
        <w:t>Националната стратегија за развој на ИКТ – СМАРТ/МК 2030</w:t>
      </w:r>
      <w:r w:rsidR="00164B8B">
        <w:rPr>
          <w:lang w:val="mk-MK"/>
        </w:rPr>
        <w:t xml:space="preserve"> </w:t>
      </w:r>
      <w:r w:rsidRPr="009B2ED3">
        <w:rPr>
          <w:lang w:val="mk-MK"/>
        </w:rPr>
        <w:t>година налага „дигитализација на клучните национални регистри" и примена на принципот „само еднаш" на јавните податоци.</w:t>
      </w:r>
      <w:r w:rsidR="00BA0F5F">
        <w:rPr>
          <w:rStyle w:val="FootnoteReference"/>
          <w:lang w:val="mk-MK"/>
        </w:rPr>
        <w:footnoteReference w:id="850"/>
      </w:r>
      <w:r w:rsidRPr="009B2ED3">
        <w:rPr>
          <w:lang w:val="mk-MK"/>
        </w:rPr>
        <w:t xml:space="preserve"> </w:t>
      </w:r>
      <w:r w:rsidR="000D6D58">
        <w:rPr>
          <w:lang w:val="mk-MK"/>
        </w:rPr>
        <w:t>Практично</w:t>
      </w:r>
      <w:r w:rsidRPr="009B2ED3">
        <w:rPr>
          <w:lang w:val="mk-MK"/>
        </w:rPr>
        <w:t xml:space="preserve">, тоа </w:t>
      </w:r>
      <w:r w:rsidR="005C5655">
        <w:rPr>
          <w:lang w:val="mk-MK"/>
        </w:rPr>
        <w:t xml:space="preserve">би </w:t>
      </w:r>
      <w:r w:rsidRPr="009B2ED3">
        <w:rPr>
          <w:lang w:val="mk-MK"/>
        </w:rPr>
        <w:t>знач</w:t>
      </w:r>
      <w:r w:rsidR="005C5655">
        <w:rPr>
          <w:lang w:val="mk-MK"/>
        </w:rPr>
        <w:t>ело</w:t>
      </w:r>
      <w:r w:rsidRPr="009B2ED3">
        <w:rPr>
          <w:lang w:val="mk-MK"/>
        </w:rPr>
        <w:t xml:space="preserve"> дека ЦРРСМ и деловните регистри наскоро ќе се поврзат со даночните и матичните бази на податоци, поедноставувајќи ги корпоративните пријавувања. На тој начин, трендот во Македонија го одразува глобалниот пристап</w:t>
      </w:r>
      <w:r w:rsidR="000D6D58">
        <w:rPr>
          <w:lang w:val="mk-MK"/>
        </w:rPr>
        <w:t xml:space="preserve"> </w:t>
      </w:r>
      <w:r w:rsidRPr="009B2ED3">
        <w:rPr>
          <w:lang w:val="mk-MK"/>
        </w:rPr>
        <w:t xml:space="preserve">како и во државите-членки на ЕУ, автоматизираниот регистар базиран на </w:t>
      </w:r>
      <w:r w:rsidR="000D6D58">
        <w:rPr>
          <w:lang w:val="mk-MK"/>
        </w:rPr>
        <w:t>електронски</w:t>
      </w:r>
      <w:r w:rsidR="00D90F26">
        <w:rPr>
          <w:lang w:val="mk-MK"/>
        </w:rPr>
        <w:t xml:space="preserve"> пристап</w:t>
      </w:r>
      <w:r w:rsidRPr="009B2ED3">
        <w:rPr>
          <w:lang w:val="mk-MK"/>
        </w:rPr>
        <w:t xml:space="preserve"> ја намалува бирократијата и ја зголемува транспарентноста.</w:t>
      </w:r>
    </w:p>
    <w:p w14:paraId="1C172EBE" w14:textId="67E9C9A9" w:rsidR="001876EB" w:rsidRDefault="0073727D" w:rsidP="00E7440C">
      <w:pPr>
        <w:pStyle w:val="BodyText"/>
        <w:spacing w:before="240"/>
        <w:ind w:firstLine="720"/>
        <w:jc w:val="both"/>
        <w:rPr>
          <w:lang w:val="mk-MK"/>
        </w:rPr>
      </w:pPr>
      <w:r>
        <w:rPr>
          <w:lang w:val="mk-MK"/>
        </w:rPr>
        <w:t>Дополнително, м</w:t>
      </w:r>
      <w:r w:rsidRPr="0073727D">
        <w:rPr>
          <w:lang w:val="mk-MK"/>
        </w:rPr>
        <w:t>акедонските компании сè повеќе се под притисок да усвојат практики поврзани со животната средина, општеството и управувањето (ЕСГ). Во 2020 година</w:t>
      </w:r>
      <w:r w:rsidR="0074646F">
        <w:rPr>
          <w:lang w:val="mk-MK"/>
        </w:rPr>
        <w:t>,</w:t>
      </w:r>
      <w:r w:rsidRPr="0073727D">
        <w:rPr>
          <w:lang w:val="mk-MK"/>
        </w:rPr>
        <w:t xml:space="preserve"> Владата усвои Национална стратегија за одржлив развој која се обврзува на намалување на емисиите на стакленички гасови</w:t>
      </w:r>
      <w:r w:rsidR="00B27F6E">
        <w:rPr>
          <w:lang w:val="mk-MK"/>
        </w:rPr>
        <w:t xml:space="preserve"> и поставува</w:t>
      </w:r>
      <w:r w:rsidRPr="0073727D">
        <w:rPr>
          <w:lang w:val="mk-MK"/>
        </w:rPr>
        <w:t xml:space="preserve"> цели за обновлива енергија и за општествена правичност. </w:t>
      </w:r>
      <w:r w:rsidR="00B27F6E">
        <w:rPr>
          <w:lang w:val="mk-MK"/>
        </w:rPr>
        <w:t>На сличен начин,</w:t>
      </w:r>
      <w:r w:rsidRPr="0073727D">
        <w:rPr>
          <w:lang w:val="mk-MK"/>
        </w:rPr>
        <w:t xml:space="preserve"> регулаторите на берзата го </w:t>
      </w:r>
      <w:r w:rsidR="00B27F6E">
        <w:rPr>
          <w:lang w:val="mk-MK"/>
        </w:rPr>
        <w:t xml:space="preserve">внесоа </w:t>
      </w:r>
      <w:r w:rsidRPr="0073727D">
        <w:rPr>
          <w:lang w:val="mk-MK"/>
        </w:rPr>
        <w:t>ЕСГ во корпоративните правила. Кодексот за корпоративно управување на Македонската берза од 2021 година бара котираните друштва да ги обелоденуваат своите политики за животна средина и социјалните политики</w:t>
      </w:r>
      <w:r w:rsidR="00B27F6E">
        <w:rPr>
          <w:lang w:val="mk-MK"/>
        </w:rPr>
        <w:t xml:space="preserve">, </w:t>
      </w:r>
      <w:r w:rsidRPr="0073727D">
        <w:rPr>
          <w:lang w:val="mk-MK"/>
        </w:rPr>
        <w:t>вклучително и мерки за родова рамноправност и ангажирање на засегнатите страни</w:t>
      </w:r>
      <w:r w:rsidR="00B27F6E">
        <w:rPr>
          <w:lang w:val="mk-MK"/>
        </w:rPr>
        <w:t>,</w:t>
      </w:r>
      <w:r w:rsidRPr="0073727D">
        <w:rPr>
          <w:lang w:val="mk-MK"/>
        </w:rPr>
        <w:t xml:space="preserve"> во своите годишни извештаи. Согласно Кодексот, компанијата мора да објавува преку системот SEI-NET на берзата целосни детали за својот кодекс на етика, составот на одборот и иницијативите за одржливост. Овие обелоденувања</w:t>
      </w:r>
      <w:r w:rsidR="00A233F5">
        <w:rPr>
          <w:lang w:val="mk-MK"/>
        </w:rPr>
        <w:t>,</w:t>
      </w:r>
      <w:r w:rsidRPr="0073727D">
        <w:rPr>
          <w:lang w:val="mk-MK"/>
        </w:rPr>
        <w:t xml:space="preserve"> честопати следејќи ги рамките GRI или интегрираното известување</w:t>
      </w:r>
      <w:r w:rsidR="00A233F5">
        <w:rPr>
          <w:lang w:val="mk-MK"/>
        </w:rPr>
        <w:t xml:space="preserve">, </w:t>
      </w:r>
      <w:r w:rsidRPr="0073727D">
        <w:rPr>
          <w:lang w:val="mk-MK"/>
        </w:rPr>
        <w:t>сега се прават заедно со редовните финансиски извештаи.</w:t>
      </w:r>
    </w:p>
    <w:p w14:paraId="4C19DC80" w14:textId="2F7D96E2" w:rsidR="00A233F5" w:rsidRDefault="00AA4E05" w:rsidP="00E7440C">
      <w:pPr>
        <w:pStyle w:val="BodyText"/>
        <w:spacing w:before="240"/>
        <w:ind w:firstLine="720"/>
        <w:jc w:val="both"/>
        <w:rPr>
          <w:lang w:val="mk-MK"/>
        </w:rPr>
      </w:pPr>
      <w:r w:rsidRPr="00AA4E05">
        <w:rPr>
          <w:lang w:val="mk-MK"/>
        </w:rPr>
        <w:t xml:space="preserve">Новиот Закон за трговски друштва го засилува овој тренд. Иако Македонија сè уште нема посебен закон за известување за одржливост, </w:t>
      </w:r>
      <w:r w:rsidR="005E16E2">
        <w:rPr>
          <w:lang w:val="mk-MK"/>
        </w:rPr>
        <w:t>новиот ЗТД</w:t>
      </w:r>
      <w:r w:rsidRPr="00AA4E05">
        <w:rPr>
          <w:lang w:val="mk-MK"/>
        </w:rPr>
        <w:t xml:space="preserve"> изречно ја охрабрува корпоративната општествена одговорност. На пример, на сите компании им наметнува обврска да ги земат предвид интересите на засегнатите страни и да спречат штети по животната средина</w:t>
      </w:r>
      <w:r w:rsidR="00DF41F1">
        <w:rPr>
          <w:lang w:val="mk-MK"/>
        </w:rPr>
        <w:t>,</w:t>
      </w:r>
      <w:r w:rsidRPr="00AA4E05">
        <w:rPr>
          <w:lang w:val="mk-MK"/>
        </w:rPr>
        <w:t xml:space="preserve"> концепти позајмени од директивите на ЕУ. Ревидираните компании се очекуваат да се усогласат со Директивата на ЕУ за нефинансиско известување (NFRD, сега CSRD) откако ќе се изврши транспозицијата. Европската комисија ја повика Македонија да продолжи со усогласувањето на националното законодавство со Директивата за корпоративно известување за одржливост, забележувајќи дека домашните правила за транспарентност се во голема мера во согласност со постарите стандарди на ЕУ, но треба да се ажурираат за последните барања за ЕСГ. Накусо, македонското корпоративно право сè повеќе бара компаниите </w:t>
      </w:r>
      <w:r w:rsidRPr="00AA4E05">
        <w:rPr>
          <w:lang w:val="mk-MK"/>
        </w:rPr>
        <w:lastRenderedPageBreak/>
        <w:t>да известуваат за одржливоста паралелно со профитот</w:t>
      </w:r>
      <w:r w:rsidR="00243A62">
        <w:rPr>
          <w:lang w:val="mk-MK"/>
        </w:rPr>
        <w:t>,</w:t>
      </w:r>
      <w:r w:rsidRPr="00AA4E05">
        <w:rPr>
          <w:lang w:val="mk-MK"/>
        </w:rPr>
        <w:t xml:space="preserve"> глобален тренд одразен во правото на ЕУ и пресликан на домашен план</w:t>
      </w:r>
      <w:r w:rsidR="00243A62">
        <w:rPr>
          <w:lang w:val="mk-MK"/>
        </w:rPr>
        <w:t>, што оди во прилог на тезите дискутирани во оваа дисертација.</w:t>
      </w:r>
    </w:p>
    <w:p w14:paraId="5347EBC5" w14:textId="4F4C26A4" w:rsidR="00243A62" w:rsidRDefault="00243A62" w:rsidP="00E7440C">
      <w:pPr>
        <w:pStyle w:val="BodyText"/>
        <w:spacing w:before="240"/>
        <w:ind w:firstLine="720"/>
        <w:jc w:val="both"/>
        <w:rPr>
          <w:lang w:val="mk-MK"/>
        </w:rPr>
      </w:pPr>
      <w:r w:rsidRPr="00243A62">
        <w:rPr>
          <w:lang w:val="mk-MK"/>
        </w:rPr>
        <w:t>Конечно, Македонија ги заостри правилата против нечесни практики во односите меѓу претпријатијата. Кон средината на 2024 година</w:t>
      </w:r>
      <w:r w:rsidR="00313EA7">
        <w:rPr>
          <w:lang w:val="en-US"/>
        </w:rPr>
        <w:t>,</w:t>
      </w:r>
      <w:r w:rsidRPr="00243A62">
        <w:rPr>
          <w:lang w:val="mk-MK"/>
        </w:rPr>
        <w:t xml:space="preserve"> Собранието донесе нов Закон за забрана на </w:t>
      </w:r>
      <w:r w:rsidR="00A061A4">
        <w:rPr>
          <w:lang w:val="mk-MK"/>
        </w:rPr>
        <w:t>нефер</w:t>
      </w:r>
      <w:r w:rsidRPr="00243A62">
        <w:rPr>
          <w:lang w:val="mk-MK"/>
        </w:rPr>
        <w:t xml:space="preserve"> трговски практики во синџирите на снабдување</w:t>
      </w:r>
      <w:r w:rsidR="003A0077">
        <w:rPr>
          <w:lang w:val="mk-MK"/>
        </w:rPr>
        <w:t xml:space="preserve"> на земјоделски и прехранбени производи</w:t>
      </w:r>
      <w:r w:rsidRPr="00243A62">
        <w:rPr>
          <w:lang w:val="mk-MK"/>
        </w:rPr>
        <w:t>, изработен по моделот на Директива на ЕУ 2019/633.</w:t>
      </w:r>
      <w:r w:rsidR="00E71164">
        <w:rPr>
          <w:rStyle w:val="FootnoteReference"/>
          <w:lang w:val="mk-MK"/>
        </w:rPr>
        <w:footnoteReference w:id="851"/>
      </w:r>
      <w:r w:rsidRPr="00243A62">
        <w:rPr>
          <w:lang w:val="mk-MK"/>
        </w:rPr>
        <w:t xml:space="preserve"> Овој закон се применува првенствено на агро-прехранбениот сектор </w:t>
      </w:r>
      <w:r w:rsidR="003A3831">
        <w:rPr>
          <w:lang w:val="mk-MK"/>
        </w:rPr>
        <w:t xml:space="preserve">како </w:t>
      </w:r>
      <w:r w:rsidRPr="00243A62">
        <w:rPr>
          <w:lang w:val="mk-MK"/>
        </w:rPr>
        <w:t>земјоделци, производители, трговци на големо</w:t>
      </w:r>
      <w:r w:rsidR="003A3831">
        <w:rPr>
          <w:lang w:val="mk-MK"/>
        </w:rPr>
        <w:t xml:space="preserve"> и</w:t>
      </w:r>
      <w:r w:rsidRPr="00243A62">
        <w:rPr>
          <w:lang w:val="mk-MK"/>
        </w:rPr>
        <w:t xml:space="preserve"> супермаркети, но утврдува принципи и за пошироките деловни односи. Клучните одредби бараат писмени договори за снабдување со јасни услови за цена и количина. Купувачите</w:t>
      </w:r>
      <w:r w:rsidR="0012039D">
        <w:rPr>
          <w:lang w:val="mk-MK"/>
        </w:rPr>
        <w:t xml:space="preserve">, </w:t>
      </w:r>
      <w:r w:rsidRPr="00243A62">
        <w:rPr>
          <w:lang w:val="mk-MK"/>
        </w:rPr>
        <w:t xml:space="preserve">особено големите трговци </w:t>
      </w:r>
      <w:r w:rsidR="0012039D">
        <w:rPr>
          <w:lang w:val="mk-MK"/>
        </w:rPr>
        <w:t xml:space="preserve">кои продаваат </w:t>
      </w:r>
      <w:r w:rsidRPr="00243A62">
        <w:rPr>
          <w:lang w:val="mk-MK"/>
        </w:rPr>
        <w:t>на мало</w:t>
      </w:r>
      <w:r w:rsidR="0012039D">
        <w:rPr>
          <w:lang w:val="mk-MK"/>
        </w:rPr>
        <w:t>,</w:t>
      </w:r>
      <w:r w:rsidRPr="00243A62">
        <w:rPr>
          <w:lang w:val="mk-MK"/>
        </w:rPr>
        <w:t xml:space="preserve"> мора да се придржуваат кон строги рокови за плаќање</w:t>
      </w:r>
      <w:r w:rsidR="001557F9">
        <w:rPr>
          <w:lang w:val="mk-MK"/>
        </w:rPr>
        <w:t>,</w:t>
      </w:r>
      <w:r w:rsidRPr="00243A62">
        <w:rPr>
          <w:lang w:val="mk-MK"/>
        </w:rPr>
        <w:t xml:space="preserve"> обично 30 дена за расипливи производи и 60 дена за останати</w:t>
      </w:r>
      <w:r w:rsidR="001557F9">
        <w:rPr>
          <w:lang w:val="mk-MK"/>
        </w:rPr>
        <w:t>,</w:t>
      </w:r>
      <w:r w:rsidRPr="00243A62">
        <w:rPr>
          <w:lang w:val="mk-MK"/>
        </w:rPr>
        <w:t xml:space="preserve"> или се соочуваат со санкции. Законот потоа изречно ги забранува вообичаените злоупотреби</w:t>
      </w:r>
      <w:r w:rsidR="001557F9">
        <w:rPr>
          <w:lang w:val="mk-MK"/>
        </w:rPr>
        <w:t xml:space="preserve"> како</w:t>
      </w:r>
      <w:r w:rsidRPr="00243A62">
        <w:rPr>
          <w:lang w:val="mk-MK"/>
        </w:rPr>
        <w:t xml:space="preserve"> еднострани промени на договорот</w:t>
      </w:r>
      <w:r w:rsidR="001557F9">
        <w:rPr>
          <w:lang w:val="mk-MK"/>
        </w:rPr>
        <w:t xml:space="preserve">, </w:t>
      </w:r>
      <w:r w:rsidRPr="00243A62">
        <w:rPr>
          <w:lang w:val="mk-MK"/>
        </w:rPr>
        <w:t>на пр</w:t>
      </w:r>
      <w:r w:rsidR="001557F9">
        <w:rPr>
          <w:lang w:val="mk-MK"/>
        </w:rPr>
        <w:t>имер</w:t>
      </w:r>
      <w:r w:rsidRPr="00243A62">
        <w:rPr>
          <w:lang w:val="mk-MK"/>
        </w:rPr>
        <w:t xml:space="preserve"> ретроактивно намалување на цените, откажување без причина, закани кон добавувачите заради попусти, конфискација на доверливи информации од добавувачите и други експлоататорски клаузули. Овие правила внесуваат многу потребна транспарентност во синџирите на снабдување, принудувајќи ги купувачите да ги образложат сите наплати и барајќи етич</w:t>
      </w:r>
      <w:r w:rsidR="0044184D">
        <w:rPr>
          <w:lang w:val="mk-MK"/>
        </w:rPr>
        <w:t>к</w:t>
      </w:r>
      <w:r w:rsidRPr="00243A62">
        <w:rPr>
          <w:lang w:val="mk-MK"/>
        </w:rPr>
        <w:t>о однесување од пазарно доминантните компании.</w:t>
      </w:r>
    </w:p>
    <w:p w14:paraId="49939DDE" w14:textId="50D00782" w:rsidR="0044184D" w:rsidRDefault="00447AD7" w:rsidP="00E7440C">
      <w:pPr>
        <w:pStyle w:val="BodyText"/>
        <w:spacing w:before="240"/>
        <w:ind w:firstLine="720"/>
        <w:jc w:val="both"/>
        <w:rPr>
          <w:lang w:val="mk-MK"/>
        </w:rPr>
      </w:pPr>
      <w:r w:rsidRPr="00447AD7">
        <w:rPr>
          <w:lang w:val="mk-MK"/>
        </w:rPr>
        <w:t xml:space="preserve">Извршувањето е доверено на Комисијата за заштита на конкуренцијата, која има овластување да истражува поплаки и да изрекува глоби или корективни наредби. Комисијата може да издава наредби за запирање на повредата во рок од 90 дена по извршувањето. Повторните прекршоци предизвикуваат построга казна </w:t>
      </w:r>
      <w:r w:rsidR="00C91921">
        <w:rPr>
          <w:lang w:val="mk-MK"/>
        </w:rPr>
        <w:t>и</w:t>
      </w:r>
      <w:r w:rsidRPr="00447AD7">
        <w:rPr>
          <w:lang w:val="mk-MK"/>
        </w:rPr>
        <w:t xml:space="preserve"> потенцијално кривични санкции</w:t>
      </w:r>
      <w:r w:rsidR="00C91921">
        <w:rPr>
          <w:lang w:val="mk-MK"/>
        </w:rPr>
        <w:t>,</w:t>
      </w:r>
      <w:r w:rsidRPr="00447AD7">
        <w:rPr>
          <w:lang w:val="mk-MK"/>
        </w:rPr>
        <w:t xml:space="preserve"> следејќи го пристапот на ЕУ на скале</w:t>
      </w:r>
      <w:r w:rsidR="00C91921">
        <w:rPr>
          <w:lang w:val="mk-MK"/>
        </w:rPr>
        <w:t>сто</w:t>
      </w:r>
      <w:r w:rsidRPr="00447AD7">
        <w:rPr>
          <w:lang w:val="mk-MK"/>
        </w:rPr>
        <w:t xml:space="preserve"> спроведување. Со тоа што секој чекор од набавката го прави </w:t>
      </w:r>
      <w:r w:rsidR="00C91921">
        <w:rPr>
          <w:lang w:val="mk-MK"/>
        </w:rPr>
        <w:t>лесен за следење</w:t>
      </w:r>
      <w:r w:rsidRPr="00447AD7">
        <w:rPr>
          <w:lang w:val="mk-MK"/>
        </w:rPr>
        <w:t>, законот има за цел да ги заштити малите добавувачи и да ги ограничи скриените трошоци во трговијата. Со ова се заокружува законодавниот пакет кој ја усогласува Северна Македонија со нормите на ЕУ за фер трговија, од сметководствената транспарентност до одговорноста во синџирите на снабдување</w:t>
      </w:r>
    </w:p>
    <w:p w14:paraId="1D8E30B1" w14:textId="7CCC06BF" w:rsidR="0099703E" w:rsidRPr="0073727D" w:rsidRDefault="00D86E43" w:rsidP="00E7440C">
      <w:pPr>
        <w:pStyle w:val="BodyText"/>
        <w:spacing w:before="240"/>
        <w:ind w:firstLine="720"/>
        <w:jc w:val="both"/>
        <w:rPr>
          <w:lang w:val="mk-MK"/>
        </w:rPr>
      </w:pPr>
      <w:r>
        <w:rPr>
          <w:lang w:val="mk-MK"/>
        </w:rPr>
        <w:t>Оттука, и</w:t>
      </w:r>
      <w:r w:rsidR="0099703E">
        <w:rPr>
          <w:lang w:val="mk-MK"/>
        </w:rPr>
        <w:t>мајќи го предвид овој генерален контекст и сите останати околности, следн</w:t>
      </w:r>
      <w:r>
        <w:rPr>
          <w:lang w:val="mk-MK"/>
        </w:rPr>
        <w:t>иот дел ќе премине кон анализа на конкретните членови во новиот Закон за трговски друштва, кои се од значење за оваа дисертација.</w:t>
      </w:r>
    </w:p>
    <w:p w14:paraId="6DCE5B37" w14:textId="0B23E97F" w:rsidR="004C46CC" w:rsidRPr="00884503" w:rsidRDefault="00487304" w:rsidP="00A91DCD">
      <w:pPr>
        <w:pStyle w:val="Heading2"/>
        <w:numPr>
          <w:ilvl w:val="1"/>
          <w:numId w:val="70"/>
        </w:numPr>
        <w:rPr>
          <w:rFonts w:ascii="Times New Roman" w:hAnsi="Times New Roman" w:cs="Times New Roman"/>
          <w:b w:val="0"/>
          <w:bCs w:val="0"/>
          <w:color w:val="000000" w:themeColor="text1"/>
          <w:sz w:val="24"/>
          <w:szCs w:val="24"/>
          <w:lang w:val="mk-MK"/>
        </w:rPr>
      </w:pPr>
      <w:bookmarkStart w:id="98" w:name="_Toc230523951"/>
      <w:r w:rsidRPr="00487304">
        <w:rPr>
          <w:rFonts w:ascii="Times New Roman" w:hAnsi="Times New Roman" w:cs="Times New Roman"/>
          <w:b w:val="0"/>
          <w:bCs w:val="0"/>
          <w:color w:val="000000" w:themeColor="text1"/>
          <w:sz w:val="24"/>
          <w:szCs w:val="24"/>
          <w:lang w:val="mk-MK"/>
        </w:rPr>
        <w:t xml:space="preserve">Нормативни промени </w:t>
      </w:r>
      <w:r w:rsidR="00113A86">
        <w:rPr>
          <w:rFonts w:ascii="Times New Roman" w:hAnsi="Times New Roman" w:cs="Times New Roman"/>
          <w:b w:val="0"/>
          <w:bCs w:val="0"/>
          <w:color w:val="000000" w:themeColor="text1"/>
          <w:sz w:val="24"/>
          <w:szCs w:val="24"/>
          <w:lang w:val="mk-MK"/>
        </w:rPr>
        <w:t xml:space="preserve">и задршки </w:t>
      </w:r>
      <w:r w:rsidRPr="00487304">
        <w:rPr>
          <w:rFonts w:ascii="Times New Roman" w:hAnsi="Times New Roman" w:cs="Times New Roman"/>
          <w:b w:val="0"/>
          <w:bCs w:val="0"/>
          <w:color w:val="000000" w:themeColor="text1"/>
          <w:sz w:val="24"/>
          <w:szCs w:val="24"/>
          <w:lang w:val="mk-MK"/>
        </w:rPr>
        <w:t>во однос на претходниот закон</w:t>
      </w:r>
      <w:bookmarkEnd w:id="98"/>
    </w:p>
    <w:p w14:paraId="30715C16" w14:textId="107C9053" w:rsidR="0041601D" w:rsidRPr="0073727D" w:rsidRDefault="004A6AB5" w:rsidP="009C1380">
      <w:pPr>
        <w:pStyle w:val="BodyText"/>
        <w:spacing w:before="240" w:after="240"/>
        <w:ind w:firstLine="720"/>
        <w:jc w:val="both"/>
        <w:rPr>
          <w:lang w:val="mk-MK"/>
        </w:rPr>
      </w:pPr>
      <w:r w:rsidRPr="004A6AB5">
        <w:rPr>
          <w:lang w:val="mk-MK"/>
        </w:rPr>
        <w:t>Предлог Законот за трговски друштва</w:t>
      </w:r>
      <w:r>
        <w:rPr>
          <w:lang w:val="mk-MK"/>
        </w:rPr>
        <w:t>, кој во моментот на пишувањето на оваа дисертација е во собраниска процедура,</w:t>
      </w:r>
      <w:r w:rsidRPr="004A6AB5">
        <w:rPr>
          <w:lang w:val="mk-MK"/>
        </w:rPr>
        <w:t xml:space="preserve"> внесува значајни новини во однос на претходното законско решение, особено во сферата на вклученоста на вработените во корпоративното управување, стекнувањето сопственички удел, транспарентноста на наградувањето и учеството во прекугранични корпоративни операции. Иако традиционално македонското трговско право</w:t>
      </w:r>
      <w:r w:rsidR="003319C5">
        <w:rPr>
          <w:lang w:val="mk-MK"/>
        </w:rPr>
        <w:t xml:space="preserve"> од 1991 година наваму</w:t>
      </w:r>
      <w:r w:rsidRPr="004A6AB5">
        <w:rPr>
          <w:lang w:val="mk-MK"/>
        </w:rPr>
        <w:t xml:space="preserve"> било насочено кон заштита на капиталот и интересите на содружниците и акционерите, новиот текст прави чекор кон современи европски тенденции на поширока stakeholder ориентација, во која </w:t>
      </w:r>
      <w:r w:rsidRPr="004A6AB5">
        <w:rPr>
          <w:lang w:val="mk-MK"/>
        </w:rPr>
        <w:lastRenderedPageBreak/>
        <w:t>вработените добиваат поизразена, иако сè уште ограничена, улога.</w:t>
      </w:r>
    </w:p>
    <w:p w14:paraId="057AF458" w14:textId="6EA62699" w:rsidR="0041601D" w:rsidRPr="009C1380" w:rsidRDefault="0041601D" w:rsidP="009C1380">
      <w:pPr>
        <w:pStyle w:val="Heading3"/>
        <w:numPr>
          <w:ilvl w:val="2"/>
          <w:numId w:val="70"/>
        </w:numPr>
        <w:rPr>
          <w:rFonts w:ascii="Times New Roman" w:hAnsi="Times New Roman" w:cs="Times New Roman"/>
          <w:i/>
          <w:iCs/>
          <w:color w:val="000000" w:themeColor="text1"/>
          <w:lang w:val="mk-MK"/>
        </w:rPr>
      </w:pPr>
      <w:bookmarkStart w:id="99" w:name="_Toc230523952"/>
      <w:r w:rsidRPr="009C1380">
        <w:rPr>
          <w:rFonts w:ascii="Times New Roman" w:hAnsi="Times New Roman" w:cs="Times New Roman"/>
          <w:i/>
          <w:iCs/>
          <w:color w:val="000000" w:themeColor="text1"/>
          <w:lang w:val="mk-MK"/>
        </w:rPr>
        <w:t xml:space="preserve">Член </w:t>
      </w:r>
      <w:r w:rsidR="004B73A0" w:rsidRPr="009C1380">
        <w:rPr>
          <w:rFonts w:ascii="Times New Roman" w:hAnsi="Times New Roman" w:cs="Times New Roman"/>
          <w:i/>
          <w:iCs/>
          <w:color w:val="000000" w:themeColor="text1"/>
          <w:lang w:val="mk-MK"/>
        </w:rPr>
        <w:t>287 – Бесплатни акции или акции по повластена цена</w:t>
      </w:r>
      <w:bookmarkEnd w:id="99"/>
    </w:p>
    <w:p w14:paraId="5CD3B091" w14:textId="6894C5AD" w:rsidR="00DD3D77" w:rsidRDefault="00DD3D77" w:rsidP="004A6AB5">
      <w:pPr>
        <w:pStyle w:val="BodyText"/>
        <w:spacing w:before="240"/>
        <w:ind w:firstLine="720"/>
        <w:jc w:val="both"/>
        <w:rPr>
          <w:lang w:val="mk-MK"/>
        </w:rPr>
      </w:pPr>
      <w:r w:rsidRPr="00DD3D77">
        <w:rPr>
          <w:lang w:val="mk-MK"/>
        </w:rPr>
        <w:t xml:space="preserve">Една од најзначајните новини е воспоставувањето можност за директна сопственичка вклученост на вработените преку фонд за акции на вработени. Согласно член 287, со статутот на акционерското друштво може да се предвиди посебен фонд од кој вработените ќе стекнуваат акции бесплатно или по повластена цена. Вкупниот износ на овие акции е ограничен на најмногу 5% од основната главнина на денот на донесување на одлуката. Ова претставува суштинска новина бидејќи за првпат системски се уредува </w:t>
      </w:r>
      <w:r w:rsidRPr="005C31DD">
        <w:rPr>
          <w:i/>
          <w:iCs/>
          <w:lang w:val="mk-MK"/>
        </w:rPr>
        <w:t>employee share ownership</w:t>
      </w:r>
      <w:r w:rsidRPr="00DD3D77">
        <w:rPr>
          <w:lang w:val="mk-MK"/>
        </w:rPr>
        <w:t xml:space="preserve"> како механизам за поврзување на трудот и капиталот. Акциите се издаваат како посебна класа, со права приближно идентични на обичните акции, но со ограничена преносливост, бидејќи можат да се пренесуваат само </w:t>
      </w:r>
      <w:r w:rsidR="0015726C">
        <w:rPr>
          <w:lang w:val="mk-MK"/>
        </w:rPr>
        <w:t>по</w:t>
      </w:r>
      <w:r w:rsidRPr="00DD3D77">
        <w:rPr>
          <w:lang w:val="mk-MK"/>
        </w:rPr>
        <w:t>меѓу вработени, а друштвото има обврска да ги откупи по пазарна вредност при престанок на работниот однос.</w:t>
      </w:r>
    </w:p>
    <w:p w14:paraId="1629458D" w14:textId="4293073E" w:rsidR="00C10632" w:rsidRDefault="00C10632" w:rsidP="004A6AB5">
      <w:pPr>
        <w:pStyle w:val="BodyText"/>
        <w:spacing w:before="240"/>
        <w:ind w:firstLine="720"/>
        <w:jc w:val="both"/>
        <w:rPr>
          <w:lang w:val="mk-MK"/>
        </w:rPr>
      </w:pPr>
      <w:r w:rsidRPr="00C10632">
        <w:rPr>
          <w:lang w:val="mk-MK"/>
        </w:rPr>
        <w:t>Акциите за вработени се издаваат како акции од посебна класа</w:t>
      </w:r>
      <w:r>
        <w:rPr>
          <w:lang w:val="mk-MK"/>
        </w:rPr>
        <w:t>, но с</w:t>
      </w:r>
      <w:r w:rsidRPr="00C10632">
        <w:rPr>
          <w:lang w:val="mk-MK"/>
        </w:rPr>
        <w:t>одржат исти права како обичните акции, освен во случаите утврдени со овој закон. Правата престануваат со смртта на вработениот или со престанок на вработувањето</w:t>
      </w:r>
      <w:r w:rsidR="00B43E11">
        <w:rPr>
          <w:lang w:val="mk-MK"/>
        </w:rPr>
        <w:t>, додека</w:t>
      </w:r>
      <w:r w:rsidRPr="00C10632">
        <w:rPr>
          <w:lang w:val="mk-MK"/>
        </w:rPr>
        <w:t xml:space="preserve"> </w:t>
      </w:r>
      <w:r w:rsidR="00B43E11">
        <w:rPr>
          <w:lang w:val="mk-MK"/>
        </w:rPr>
        <w:t>о</w:t>
      </w:r>
      <w:r w:rsidRPr="00C10632">
        <w:rPr>
          <w:lang w:val="mk-MK"/>
        </w:rPr>
        <w:t xml:space="preserve">длуката за издавање, критериумите за распределба и самата распределба ја донесува собранието со мнозинство кое не може да биде помалку од две третини од акциите со право на глас претставени на собранието, освен ако со статутот не е определено поголемо мнозинство. </w:t>
      </w:r>
      <w:r w:rsidR="00FC5359">
        <w:rPr>
          <w:lang w:val="mk-MK"/>
        </w:rPr>
        <w:t>Конечно,</w:t>
      </w:r>
      <w:r w:rsidRPr="00C10632">
        <w:rPr>
          <w:lang w:val="mk-MK"/>
        </w:rPr>
        <w:t xml:space="preserve"> </w:t>
      </w:r>
      <w:r w:rsidR="00FC5359">
        <w:rPr>
          <w:lang w:val="mk-MK"/>
        </w:rPr>
        <w:t>ф</w:t>
      </w:r>
      <w:r w:rsidRPr="00C10632">
        <w:rPr>
          <w:lang w:val="mk-MK"/>
        </w:rPr>
        <w:t>ондот може да ги стекнува акциите од сопствените акции на друштвото, или од општата резерва и акумулираната добивка на друштвото.</w:t>
      </w:r>
      <w:r w:rsidR="00374834">
        <w:rPr>
          <w:rStyle w:val="FootnoteReference"/>
          <w:lang w:val="mk-MK"/>
        </w:rPr>
        <w:footnoteReference w:id="852"/>
      </w:r>
    </w:p>
    <w:p w14:paraId="423BB5FD" w14:textId="77777777" w:rsidR="00A62A90" w:rsidRDefault="004E1EE3" w:rsidP="00A62A90">
      <w:pPr>
        <w:pStyle w:val="BodyText"/>
        <w:spacing w:before="240"/>
        <w:ind w:firstLine="720"/>
        <w:jc w:val="both"/>
        <w:rPr>
          <w:lang w:val="mk-MK"/>
        </w:rPr>
      </w:pPr>
      <w:r>
        <w:rPr>
          <w:lang w:val="mk-MK"/>
        </w:rPr>
        <w:t xml:space="preserve">Иако оваа измена наликува на сегашниот член 29 </w:t>
      </w:r>
      <w:r w:rsidR="004E0851">
        <w:rPr>
          <w:lang w:val="mk-MK"/>
        </w:rPr>
        <w:t xml:space="preserve">од ЗТД од важечките преодни одредби од новелите на Законот, предлог-измената многу подиректно и појасно го квалификува овој </w:t>
      </w:r>
      <w:r w:rsidR="002430AE">
        <w:rPr>
          <w:lang w:val="mk-MK"/>
        </w:rPr>
        <w:t xml:space="preserve">механизам како „бесплатни акции или акции по повластена цена“. </w:t>
      </w:r>
      <w:r w:rsidR="003650E0">
        <w:rPr>
          <w:lang w:val="mk-MK"/>
        </w:rPr>
        <w:t xml:space="preserve">Сепак, главна слабост на овој предлог е што </w:t>
      </w:r>
      <w:r w:rsidR="0073341B">
        <w:rPr>
          <w:lang w:val="mk-MK"/>
        </w:rPr>
        <w:t>дополнително го снижува и онака нискиот процес од една десеттина од сегашниот закон на 5%, што ефективно значи дека акциите на врабо</w:t>
      </w:r>
      <w:r w:rsidR="00E67A23">
        <w:rPr>
          <w:lang w:val="mk-MK"/>
        </w:rPr>
        <w:t>те</w:t>
      </w:r>
      <w:r w:rsidR="0073341B">
        <w:rPr>
          <w:lang w:val="mk-MK"/>
        </w:rPr>
        <w:t xml:space="preserve">ните ќе бидат ограничени на двојно помал максимум од една дваесеттина. </w:t>
      </w:r>
      <w:r w:rsidR="00321E46">
        <w:rPr>
          <w:lang w:val="mk-MK"/>
        </w:rPr>
        <w:t>Слично, во новата формулација недостасува насоката</w:t>
      </w:r>
      <w:r w:rsidR="00321E46" w:rsidRPr="00321E46">
        <w:rPr>
          <w:lang w:val="mk-MK"/>
        </w:rPr>
        <w:t xml:space="preserve"> собранието на друштвото</w:t>
      </w:r>
      <w:r w:rsidR="00321E46">
        <w:rPr>
          <w:lang w:val="mk-MK"/>
        </w:rPr>
        <w:t xml:space="preserve"> да </w:t>
      </w:r>
      <w:r w:rsidR="00321E46" w:rsidRPr="00321E46">
        <w:rPr>
          <w:lang w:val="mk-MK"/>
        </w:rPr>
        <w:t>донес</w:t>
      </w:r>
      <w:r w:rsidR="00321E46">
        <w:rPr>
          <w:lang w:val="mk-MK"/>
        </w:rPr>
        <w:t>е</w:t>
      </w:r>
      <w:r w:rsidR="00321E46" w:rsidRPr="00321E46">
        <w:rPr>
          <w:lang w:val="mk-MK"/>
        </w:rPr>
        <w:t xml:space="preserve"> програма според која вработените ќе можат да стекнуваат акции</w:t>
      </w:r>
      <w:r w:rsidR="00321E46">
        <w:rPr>
          <w:lang w:val="mk-MK"/>
        </w:rPr>
        <w:t xml:space="preserve">, што дава поголема структура на самиот процес. </w:t>
      </w:r>
    </w:p>
    <w:p w14:paraId="36CB0771" w14:textId="2E5F2E45" w:rsidR="006605B0" w:rsidRDefault="00A62A90" w:rsidP="00A62A90">
      <w:pPr>
        <w:pStyle w:val="BodyText"/>
        <w:spacing w:before="240"/>
        <w:ind w:firstLine="720"/>
        <w:jc w:val="both"/>
        <w:rPr>
          <w:i/>
          <w:iCs/>
          <w:lang w:val="mk-MK"/>
        </w:rPr>
      </w:pPr>
      <w:r>
        <w:rPr>
          <w:lang w:val="mk-MK"/>
        </w:rPr>
        <w:t>Имајќи предвид дека предлог-законот започна да се работи</w:t>
      </w:r>
      <w:r w:rsidR="00F76AB4">
        <w:rPr>
          <w:lang w:val="mk-MK"/>
        </w:rPr>
        <w:t xml:space="preserve"> од август 2023 година</w:t>
      </w:r>
      <w:r w:rsidR="00351963">
        <w:rPr>
          <w:lang w:val="mk-MK"/>
        </w:rPr>
        <w:t xml:space="preserve"> и се уште не е усвоен, туку се наоѓа во собраниска процедура, постои простор да се интервенира во</w:t>
      </w:r>
      <w:r w:rsidR="00E836A9">
        <w:rPr>
          <w:lang w:val="mk-MK"/>
        </w:rPr>
        <w:t xml:space="preserve"> овој член и истиот да се направи помалку рестриктивен. Имено, границата од 5% непотребно става горна граница во ситуации кога овој институт воопшто не се користи, додека се наметнува многу висок праг за освојување од најмалку две третини. Со самото, имплементацијата на една ваква одредба станува </w:t>
      </w:r>
      <w:r w:rsidR="00F555F4">
        <w:rPr>
          <w:lang w:val="mk-MK"/>
        </w:rPr>
        <w:t xml:space="preserve">значително предизвикувачка и носи потенцијал да стане пропуштена можност за спроведување на шемата за </w:t>
      </w:r>
      <w:r w:rsidR="00F555F4" w:rsidRPr="005C31DD">
        <w:rPr>
          <w:i/>
          <w:iCs/>
          <w:lang w:val="mk-MK"/>
        </w:rPr>
        <w:t>employee share ownership</w:t>
      </w:r>
      <w:r w:rsidR="00F555F4">
        <w:rPr>
          <w:i/>
          <w:iCs/>
          <w:lang w:val="mk-MK"/>
        </w:rPr>
        <w:t xml:space="preserve">. </w:t>
      </w:r>
    </w:p>
    <w:p w14:paraId="65070518" w14:textId="77777777" w:rsidR="00B27B19" w:rsidRDefault="00E6568D" w:rsidP="00B27B19">
      <w:pPr>
        <w:pStyle w:val="BodyText"/>
        <w:spacing w:before="240"/>
        <w:ind w:firstLine="720"/>
        <w:jc w:val="both"/>
        <w:rPr>
          <w:lang w:val="mk-MK"/>
        </w:rPr>
      </w:pPr>
      <w:r w:rsidRPr="00E6568D">
        <w:rPr>
          <w:lang w:val="mk-MK"/>
        </w:rPr>
        <w:t xml:space="preserve">Компаративно гледано, предложеното решение во член 287 е чекор напред затоа што експлицитно воведува employee share ownership, но истовремено е релативно рестриктивно во споредба со повеќе странски модели. Во многу држави целта на ваквите шеми не е само симболична распределба на акции, туку создавање реален долгорочен </w:t>
      </w:r>
      <w:r w:rsidRPr="00E6568D">
        <w:rPr>
          <w:lang w:val="mk-MK"/>
        </w:rPr>
        <w:lastRenderedPageBreak/>
        <w:t xml:space="preserve">механизам за мотивација, задржување на кадар, распределба на богатство и усогласување на интересите </w:t>
      </w:r>
      <w:r w:rsidR="00B27B19">
        <w:rPr>
          <w:lang w:val="mk-MK"/>
        </w:rPr>
        <w:t>по</w:t>
      </w:r>
      <w:r w:rsidRPr="00E6568D">
        <w:rPr>
          <w:lang w:val="mk-MK"/>
        </w:rPr>
        <w:t xml:space="preserve">меѓу трудот и капиталот. Оттука, премногу ниски квоти, високи мнозинства и ограничена флексибилност често ја намалуваат практичната употребливост на институтот. </w:t>
      </w:r>
    </w:p>
    <w:p w14:paraId="255B559A" w14:textId="77777777" w:rsidR="003E6807" w:rsidRDefault="00A64428" w:rsidP="00B27B19">
      <w:pPr>
        <w:pStyle w:val="BodyText"/>
        <w:spacing w:before="240"/>
        <w:ind w:firstLine="720"/>
        <w:jc w:val="both"/>
        <w:rPr>
          <w:lang w:val="mk-MK"/>
        </w:rPr>
      </w:pPr>
      <w:r>
        <w:rPr>
          <w:lang w:val="mk-MK"/>
        </w:rPr>
        <w:t>Како што беше наведено погоре, в</w:t>
      </w:r>
      <w:r w:rsidR="00E6568D" w:rsidRPr="00E6568D">
        <w:rPr>
          <w:lang w:val="mk-MK"/>
        </w:rPr>
        <w:t xml:space="preserve">о САД </w:t>
      </w:r>
      <w:r w:rsidR="00E6568D" w:rsidRPr="00A64428">
        <w:rPr>
          <w:i/>
          <w:iCs/>
          <w:lang w:val="mk-MK"/>
        </w:rPr>
        <w:t>employee stock ownership plans</w:t>
      </w:r>
      <w:r w:rsidR="00E6568D" w:rsidRPr="00E6568D">
        <w:rPr>
          <w:lang w:val="mk-MK"/>
        </w:rPr>
        <w:t xml:space="preserve"> (ESOPs) се далеку поразвиени и не се врзани за толку низок универзален процентуален лимит како 5%. Во практика постојат компании каде вработените поседуваат значителни удели, а во одредени случаи и мнозинска сопственост. Американскиот модел повеќе се потпира на даночни поттикнувања, </w:t>
      </w:r>
      <w:r w:rsidR="00BA6C03">
        <w:rPr>
          <w:lang w:val="mk-MK"/>
        </w:rPr>
        <w:t xml:space="preserve">таканаречен </w:t>
      </w:r>
      <w:r w:rsidR="00E6568D" w:rsidRPr="00E6568D">
        <w:rPr>
          <w:lang w:val="mk-MK"/>
        </w:rPr>
        <w:t xml:space="preserve">fiduciary надзор и финансиска регулација, отколку на строги корпоративно-правни горни лимити. Тоа покажува дека државите со развиена </w:t>
      </w:r>
      <w:r w:rsidR="00E44027">
        <w:rPr>
          <w:lang w:val="mk-MK"/>
        </w:rPr>
        <w:t>култура на сопственост</w:t>
      </w:r>
      <w:r w:rsidR="00E6568D" w:rsidRPr="00E6568D">
        <w:rPr>
          <w:lang w:val="mk-MK"/>
        </w:rPr>
        <w:t xml:space="preserve"> претпочитаат поттикнување наместо ограничување. Во</w:t>
      </w:r>
      <w:r w:rsidR="00C657D2">
        <w:rPr>
          <w:lang w:val="mk-MK"/>
        </w:rPr>
        <w:t xml:space="preserve"> слична линија, во</w:t>
      </w:r>
      <w:r w:rsidR="00E6568D" w:rsidRPr="00E6568D">
        <w:rPr>
          <w:lang w:val="mk-MK"/>
        </w:rPr>
        <w:t xml:space="preserve"> Обединетото Кралство постојат повеќе </w:t>
      </w:r>
      <w:r w:rsidR="00E6568D" w:rsidRPr="00C657D2">
        <w:rPr>
          <w:i/>
          <w:iCs/>
          <w:lang w:val="mk-MK"/>
        </w:rPr>
        <w:t>tax-advantaged employee share schemes</w:t>
      </w:r>
      <w:r w:rsidR="00E6568D" w:rsidRPr="00E6568D">
        <w:rPr>
          <w:lang w:val="mk-MK"/>
        </w:rPr>
        <w:t xml:space="preserve">, како Share Incentive Plans и Enterprise Management Incentives. Таму фокусот е на даночна ефикасност и привлекување талент, а не на поставување крути процентуални плафони за целокупниот капитал. Практично, законодавецот остава компаниите да ја структурираат шемата според сопствените потреби, со соодветна disclosure рамка. </w:t>
      </w:r>
    </w:p>
    <w:p w14:paraId="2D735E7D" w14:textId="77777777" w:rsidR="00F75573" w:rsidRDefault="003E6807" w:rsidP="00B27B19">
      <w:pPr>
        <w:pStyle w:val="BodyText"/>
        <w:spacing w:before="240"/>
        <w:ind w:firstLine="720"/>
        <w:jc w:val="both"/>
        <w:rPr>
          <w:lang w:val="mk-MK"/>
        </w:rPr>
      </w:pPr>
      <w:r>
        <w:rPr>
          <w:lang w:val="mk-MK"/>
        </w:rPr>
        <w:t>Дури и во континентална Европа, како</w:t>
      </w:r>
      <w:r w:rsidR="00E6568D" w:rsidRPr="00E6568D">
        <w:rPr>
          <w:lang w:val="mk-MK"/>
        </w:rPr>
        <w:t xml:space="preserve"> Франција</w:t>
      </w:r>
      <w:r>
        <w:rPr>
          <w:lang w:val="mk-MK"/>
        </w:rPr>
        <w:t>,</w:t>
      </w:r>
      <w:r w:rsidR="00E6568D" w:rsidRPr="00E6568D">
        <w:rPr>
          <w:lang w:val="mk-MK"/>
        </w:rPr>
        <w:t xml:space="preserve"> постои традиција на </w:t>
      </w:r>
      <w:r w:rsidR="00E6568D" w:rsidRPr="00FF02F3">
        <w:rPr>
          <w:i/>
          <w:iCs/>
          <w:lang w:val="mk-MK"/>
        </w:rPr>
        <w:t>salarié actionnariat</w:t>
      </w:r>
      <w:r w:rsidR="00E6568D" w:rsidRPr="00E6568D">
        <w:rPr>
          <w:lang w:val="mk-MK"/>
        </w:rPr>
        <w:t xml:space="preserve">, каде вработените можат да стекнуваат акции под поволни услови, често со значајна институционална поддршка. Кај големи котирани компании уделите на вработените понекогаш достигнуваат релевантно ниво што им дава и одредено влијание. Францускиот пристап покажува дека </w:t>
      </w:r>
      <w:r w:rsidR="00F75573">
        <w:rPr>
          <w:lang w:val="mk-MK"/>
        </w:rPr>
        <w:t>вработените како акционери</w:t>
      </w:r>
      <w:r w:rsidR="00E6568D" w:rsidRPr="00E6568D">
        <w:rPr>
          <w:lang w:val="mk-MK"/>
        </w:rPr>
        <w:t xml:space="preserve"> мож</w:t>
      </w:r>
      <w:r w:rsidR="00F75573">
        <w:rPr>
          <w:lang w:val="mk-MK"/>
        </w:rPr>
        <w:t>ат</w:t>
      </w:r>
      <w:r w:rsidR="00E6568D" w:rsidRPr="00E6568D">
        <w:rPr>
          <w:lang w:val="mk-MK"/>
        </w:rPr>
        <w:t xml:space="preserve"> да бид</w:t>
      </w:r>
      <w:r w:rsidR="00F75573">
        <w:rPr>
          <w:lang w:val="mk-MK"/>
        </w:rPr>
        <w:t>ат</w:t>
      </w:r>
      <w:r w:rsidR="00E6568D" w:rsidRPr="00E6568D">
        <w:rPr>
          <w:lang w:val="mk-MK"/>
        </w:rPr>
        <w:t xml:space="preserve"> дел од индустриска политика, </w:t>
      </w:r>
      <w:r w:rsidR="00F75573">
        <w:rPr>
          <w:lang w:val="mk-MK"/>
        </w:rPr>
        <w:t>наместо периферна алатка</w:t>
      </w:r>
      <w:r w:rsidR="00E6568D" w:rsidRPr="00E6568D">
        <w:rPr>
          <w:lang w:val="mk-MK"/>
        </w:rPr>
        <w:t xml:space="preserve">. Во Германија, иако централниот модел е </w:t>
      </w:r>
      <w:r w:rsidR="00F75573">
        <w:rPr>
          <w:lang w:val="mk-MK"/>
        </w:rPr>
        <w:t>кодетерминација</w:t>
      </w:r>
      <w:r w:rsidR="00E6568D" w:rsidRPr="00E6568D">
        <w:rPr>
          <w:lang w:val="mk-MK"/>
        </w:rPr>
        <w:t xml:space="preserve"> преку учество во надзорни одбори, последните години се зајакнува и </w:t>
      </w:r>
      <w:r w:rsidR="00E6568D" w:rsidRPr="00F75573">
        <w:rPr>
          <w:i/>
          <w:iCs/>
          <w:lang w:val="mk-MK"/>
        </w:rPr>
        <w:t>employee capital participation</w:t>
      </w:r>
      <w:r w:rsidR="00E6568D" w:rsidRPr="00E6568D">
        <w:rPr>
          <w:lang w:val="mk-MK"/>
        </w:rPr>
        <w:t xml:space="preserve">, особено кај стартапи и технолошки компании. Германскиот пристап комбинира управувачко и сопственичко учество, без претерано ниски универзални лимити. </w:t>
      </w:r>
    </w:p>
    <w:p w14:paraId="403F46B1" w14:textId="247EC0EC" w:rsidR="008C3C22" w:rsidRDefault="00E6568D" w:rsidP="00B27B19">
      <w:pPr>
        <w:pStyle w:val="BodyText"/>
        <w:spacing w:before="240"/>
        <w:ind w:firstLine="720"/>
        <w:jc w:val="both"/>
        <w:rPr>
          <w:lang w:val="mk-MK"/>
        </w:rPr>
      </w:pPr>
      <w:r w:rsidRPr="00E6568D">
        <w:rPr>
          <w:lang w:val="mk-MK"/>
        </w:rPr>
        <w:t xml:space="preserve">Во тој контекст, македонската граница од 5% изгледа претпазлива до степен на недоволна функционалност. Ако институтот ретко се користи, поставување толку низок максимум однапред не адресира реален ризик, туку однапред ја ограничува неговата ефикасност. Во многу компании 5% ќе има симболичен карактер, особено ако акциите се распределуваат на поголем број вработени. Таков удел често не создава доволно чувство на сопственост, ниту значаен </w:t>
      </w:r>
      <w:r w:rsidR="00CF5EB3">
        <w:rPr>
          <w:lang w:val="mk-MK"/>
        </w:rPr>
        <w:t>ефект на градење богатство (</w:t>
      </w:r>
      <w:r w:rsidRPr="00E6568D">
        <w:rPr>
          <w:lang w:val="mk-MK"/>
        </w:rPr>
        <w:t>wealth-building ефект</w:t>
      </w:r>
      <w:r w:rsidR="00CF5EB3">
        <w:rPr>
          <w:lang w:val="mk-MK"/>
        </w:rPr>
        <w:t>)</w:t>
      </w:r>
      <w:r w:rsidRPr="00E6568D">
        <w:rPr>
          <w:lang w:val="mk-MK"/>
        </w:rPr>
        <w:t xml:space="preserve">. Дополнително, барањето за најмалку две третини мнозинство ја прави имплементацијата уште потешка. Високото квалификувано мнозинство има логика кога се штитат фундаментални прашања како статусни промени, драстични промени на капиталот или ограничување на права на акционери. </w:t>
      </w:r>
      <w:r w:rsidR="00893FE0">
        <w:rPr>
          <w:lang w:val="mk-MK"/>
        </w:rPr>
        <w:t>За</w:t>
      </w:r>
      <w:r w:rsidRPr="00E6568D">
        <w:rPr>
          <w:lang w:val="mk-MK"/>
        </w:rPr>
        <w:t xml:space="preserve"> шема што е ограничена на 5%, со јасна корпоративна цел и потенцијално позитивен ефект врз продуктивноста, толку висок праг може да делува непропорционално.</w:t>
      </w:r>
      <w:r w:rsidR="00760241">
        <w:rPr>
          <w:rStyle w:val="FootnoteReference"/>
          <w:lang w:val="mk-MK"/>
        </w:rPr>
        <w:footnoteReference w:id="853"/>
      </w:r>
      <w:r w:rsidRPr="00E6568D">
        <w:rPr>
          <w:lang w:val="mk-MK"/>
        </w:rPr>
        <w:t xml:space="preserve"> </w:t>
      </w:r>
    </w:p>
    <w:p w14:paraId="221AC24C" w14:textId="77777777" w:rsidR="003C29FA" w:rsidRDefault="00E6568D" w:rsidP="00B27B19">
      <w:pPr>
        <w:pStyle w:val="BodyText"/>
        <w:spacing w:before="240"/>
        <w:ind w:firstLine="720"/>
        <w:jc w:val="both"/>
        <w:rPr>
          <w:lang w:val="mk-MK"/>
        </w:rPr>
      </w:pPr>
      <w:r w:rsidRPr="00E6568D">
        <w:rPr>
          <w:lang w:val="mk-MK"/>
        </w:rPr>
        <w:t xml:space="preserve">Во практика </w:t>
      </w:r>
      <w:r w:rsidR="008C3C22">
        <w:rPr>
          <w:lang w:val="mk-MK"/>
        </w:rPr>
        <w:t>сето ова</w:t>
      </w:r>
      <w:r w:rsidRPr="00E6568D">
        <w:rPr>
          <w:lang w:val="mk-MK"/>
        </w:rPr>
        <w:t xml:space="preserve"> им дава </w:t>
      </w:r>
      <w:r w:rsidR="008C3C22">
        <w:rPr>
          <w:lang w:val="mk-MK"/>
        </w:rPr>
        <w:t>право на вето</w:t>
      </w:r>
      <w:r w:rsidRPr="00E6568D">
        <w:rPr>
          <w:lang w:val="mk-MK"/>
        </w:rPr>
        <w:t xml:space="preserve"> на блокирачки малцинства </w:t>
      </w:r>
      <w:r w:rsidR="008C3C22">
        <w:rPr>
          <w:lang w:val="mk-MK"/>
        </w:rPr>
        <w:t xml:space="preserve">во структурите </w:t>
      </w:r>
      <w:r w:rsidRPr="00E6568D">
        <w:rPr>
          <w:lang w:val="mk-MK"/>
        </w:rPr>
        <w:t>и може целосно да го парализира инструментот. Постои правна логика одредени ограничувања да постојат</w:t>
      </w:r>
      <w:r w:rsidR="008C3C22">
        <w:rPr>
          <w:lang w:val="mk-MK"/>
        </w:rPr>
        <w:t xml:space="preserve"> затоа што т</w:t>
      </w:r>
      <w:r w:rsidRPr="00E6568D">
        <w:rPr>
          <w:lang w:val="mk-MK"/>
        </w:rPr>
        <w:t xml:space="preserve">ие служат за спречување разводнување на уделите на постојните акционери, злоупотреба од менаџментот, фаворизирање на одредени лица и прикриено извлекување вредност. </w:t>
      </w:r>
      <w:r w:rsidR="00760241">
        <w:rPr>
          <w:lang w:val="mk-MK"/>
        </w:rPr>
        <w:t>Сепак,</w:t>
      </w:r>
      <w:r w:rsidRPr="00E6568D">
        <w:rPr>
          <w:lang w:val="mk-MK"/>
        </w:rPr>
        <w:t xml:space="preserve"> ограничувањата треба да </w:t>
      </w:r>
      <w:r w:rsidRPr="00E6568D">
        <w:rPr>
          <w:lang w:val="mk-MK"/>
        </w:rPr>
        <w:lastRenderedPageBreak/>
        <w:t>бидат разумни и насочени кон реалните ризици. Наместо крута граница од 5%, посоодветен модел би бил</w:t>
      </w:r>
      <w:r w:rsidR="007D3A1C">
        <w:rPr>
          <w:lang w:val="mk-MK"/>
        </w:rPr>
        <w:t xml:space="preserve"> враќањето на</w:t>
      </w:r>
      <w:r w:rsidRPr="00E6568D">
        <w:rPr>
          <w:lang w:val="mk-MK"/>
        </w:rPr>
        <w:t xml:space="preserve"> 10% или </w:t>
      </w:r>
      <w:r w:rsidR="007D3A1C">
        <w:rPr>
          <w:lang w:val="mk-MK"/>
        </w:rPr>
        <w:t xml:space="preserve">пак повисок лимит како </w:t>
      </w:r>
      <w:r w:rsidRPr="00E6568D">
        <w:rPr>
          <w:lang w:val="mk-MK"/>
        </w:rPr>
        <w:t>15%</w:t>
      </w:r>
      <w:r w:rsidR="007D3A1C">
        <w:rPr>
          <w:lang w:val="mk-MK"/>
        </w:rPr>
        <w:t>, како</w:t>
      </w:r>
      <w:r w:rsidRPr="00E6568D">
        <w:rPr>
          <w:lang w:val="mk-MK"/>
        </w:rPr>
        <w:t xml:space="preserve"> можност за постепено зголемување со дополнително одобрување задолжителна програма со јасни критериуми за распределба транспарентност и извештаи кон акционерите преку независен надзор и еднаков третман</w:t>
      </w:r>
      <w:r w:rsidR="003C29FA">
        <w:rPr>
          <w:lang w:val="mk-MK"/>
        </w:rPr>
        <w:t>.</w:t>
      </w:r>
      <w:r w:rsidRPr="00E6568D">
        <w:rPr>
          <w:lang w:val="mk-MK"/>
        </w:rPr>
        <w:t xml:space="preserve"> </w:t>
      </w:r>
    </w:p>
    <w:p w14:paraId="55E9A773" w14:textId="77777777" w:rsidR="00D77C10" w:rsidRDefault="00E6568D" w:rsidP="00B27B19">
      <w:pPr>
        <w:pStyle w:val="BodyText"/>
        <w:spacing w:before="240"/>
        <w:ind w:firstLine="720"/>
        <w:jc w:val="both"/>
        <w:rPr>
          <w:lang w:val="mk-MK"/>
        </w:rPr>
      </w:pPr>
      <w:r w:rsidRPr="00E6568D">
        <w:rPr>
          <w:lang w:val="mk-MK"/>
        </w:rPr>
        <w:t xml:space="preserve">Нормативно е тешко да се оправда </w:t>
      </w:r>
      <w:r w:rsidR="003C54FD">
        <w:rPr>
          <w:lang w:val="mk-MK"/>
        </w:rPr>
        <w:t>ретроградност</w:t>
      </w:r>
      <w:r w:rsidRPr="00E6568D">
        <w:rPr>
          <w:lang w:val="mk-MK"/>
        </w:rPr>
        <w:t xml:space="preserve"> ако државата декларира модернизација и приближување кон европски стандарди. Намалување од 10% на 5% испраќа сигнал на недоверба кон </w:t>
      </w:r>
      <w:r w:rsidR="003C54FD">
        <w:rPr>
          <w:lang w:val="mk-MK"/>
        </w:rPr>
        <w:t>самиот модел</w:t>
      </w:r>
      <w:r w:rsidRPr="00E6568D">
        <w:rPr>
          <w:lang w:val="mk-MK"/>
        </w:rPr>
        <w:t xml:space="preserve"> токму во време кога повеќе економии го стимулираат. Во компаративните системи успешните шеми обично функционираат преку формализирани </w:t>
      </w:r>
      <w:r w:rsidR="00885F49">
        <w:rPr>
          <w:lang w:val="mk-MK"/>
        </w:rPr>
        <w:t>планови</w:t>
      </w:r>
      <w:r w:rsidR="00D77C10">
        <w:rPr>
          <w:lang w:val="mk-MK"/>
        </w:rPr>
        <w:t xml:space="preserve"> како</w:t>
      </w:r>
      <w:r w:rsidRPr="00E6568D">
        <w:rPr>
          <w:lang w:val="mk-MK"/>
        </w:rPr>
        <w:t xml:space="preserve"> критериуми за подобност, vesting periods, начин на вреднување, третман при престанок на работен однос, правила</w:t>
      </w:r>
      <w:r w:rsidR="00D77C10">
        <w:rPr>
          <w:lang w:val="mk-MK"/>
        </w:rPr>
        <w:t xml:space="preserve"> за анти-дискриминација</w:t>
      </w:r>
      <w:r w:rsidRPr="00E6568D">
        <w:rPr>
          <w:lang w:val="mk-MK"/>
        </w:rPr>
        <w:t xml:space="preserve"> и даночен третман. Без таква структура постои ризик институтот да остане декларативен или селективно применуван. </w:t>
      </w:r>
    </w:p>
    <w:p w14:paraId="62566A77" w14:textId="75DE2879" w:rsidR="00351963" w:rsidRPr="0073727D" w:rsidRDefault="00E6568D" w:rsidP="00014252">
      <w:pPr>
        <w:pStyle w:val="BodyText"/>
        <w:spacing w:before="240" w:after="240"/>
        <w:ind w:firstLine="720"/>
        <w:jc w:val="both"/>
        <w:rPr>
          <w:lang w:val="mk-MK"/>
        </w:rPr>
      </w:pPr>
      <w:r w:rsidRPr="00E6568D">
        <w:rPr>
          <w:lang w:val="mk-MK"/>
        </w:rPr>
        <w:t>Заклучно</w:t>
      </w:r>
      <w:r w:rsidR="00D77C10">
        <w:rPr>
          <w:lang w:val="mk-MK"/>
        </w:rPr>
        <w:t>,</w:t>
      </w:r>
      <w:r w:rsidRPr="00E6568D">
        <w:rPr>
          <w:lang w:val="mk-MK"/>
        </w:rPr>
        <w:t xml:space="preserve"> има силна логика членот да се ревидира. Ограничувањата сами по себе не се проблем, но во сегашната комбинација 5% максимум плус две третини мнозинство плус немање задолжителна програма создаваат преголема рестриктивност. Тоа може да го претвори потенцијално прогресивниот институт во речиси неупотреблив механизам. Ако целта е реална вклученост на вработените, пофлексибилен модел би бил значително посоодветен.</w:t>
      </w:r>
    </w:p>
    <w:p w14:paraId="283F37AA" w14:textId="162C4AD3" w:rsidR="00351963" w:rsidRPr="00014252" w:rsidRDefault="00351963" w:rsidP="00014252">
      <w:pPr>
        <w:pStyle w:val="Heading3"/>
        <w:numPr>
          <w:ilvl w:val="2"/>
          <w:numId w:val="70"/>
        </w:numPr>
        <w:rPr>
          <w:rFonts w:ascii="Times New Roman" w:hAnsi="Times New Roman" w:cs="Times New Roman"/>
          <w:i/>
          <w:iCs/>
          <w:color w:val="000000" w:themeColor="text1"/>
          <w:lang w:val="mk-MK"/>
        </w:rPr>
      </w:pPr>
      <w:bookmarkStart w:id="100" w:name="_Toc230523953"/>
      <w:r w:rsidRPr="00014252">
        <w:rPr>
          <w:rFonts w:ascii="Times New Roman" w:hAnsi="Times New Roman" w:cs="Times New Roman"/>
          <w:i/>
          <w:iCs/>
          <w:color w:val="000000" w:themeColor="text1"/>
          <w:lang w:val="mk-MK"/>
        </w:rPr>
        <w:t xml:space="preserve">Член </w:t>
      </w:r>
      <w:r w:rsidR="004F1EC4" w:rsidRPr="00014252">
        <w:rPr>
          <w:rFonts w:ascii="Times New Roman" w:hAnsi="Times New Roman" w:cs="Times New Roman"/>
          <w:i/>
          <w:iCs/>
          <w:color w:val="000000" w:themeColor="text1"/>
          <w:lang w:val="mk-MK"/>
        </w:rPr>
        <w:t xml:space="preserve">354 </w:t>
      </w:r>
      <w:r w:rsidRPr="00014252">
        <w:rPr>
          <w:rFonts w:ascii="Times New Roman" w:hAnsi="Times New Roman" w:cs="Times New Roman"/>
          <w:i/>
          <w:iCs/>
          <w:color w:val="000000" w:themeColor="text1"/>
          <w:lang w:val="mk-MK"/>
        </w:rPr>
        <w:t xml:space="preserve">– </w:t>
      </w:r>
      <w:r w:rsidR="008F5C00" w:rsidRPr="00014252">
        <w:rPr>
          <w:rFonts w:ascii="Times New Roman" w:hAnsi="Times New Roman" w:cs="Times New Roman"/>
          <w:i/>
          <w:iCs/>
          <w:color w:val="000000" w:themeColor="text1"/>
          <w:lang w:val="mk-MK"/>
        </w:rPr>
        <w:t>Стекнување сопствени акции за распределба на вработени</w:t>
      </w:r>
      <w:bookmarkEnd w:id="100"/>
    </w:p>
    <w:p w14:paraId="4727F107" w14:textId="6F88B515" w:rsidR="00351963" w:rsidRDefault="00164110" w:rsidP="00583F91">
      <w:pPr>
        <w:pStyle w:val="BodyText"/>
        <w:spacing w:before="240"/>
        <w:ind w:firstLine="720"/>
        <w:jc w:val="both"/>
        <w:rPr>
          <w:lang w:val="mk-MK"/>
        </w:rPr>
      </w:pPr>
      <w:r>
        <w:rPr>
          <w:lang w:val="mk-MK"/>
        </w:rPr>
        <w:t>Во слична линија како и погоре наведениот член,</w:t>
      </w:r>
      <w:r w:rsidRPr="00164110">
        <w:rPr>
          <w:lang w:val="mk-MK"/>
        </w:rPr>
        <w:t xml:space="preserve"> ова</w:t>
      </w:r>
      <w:r>
        <w:rPr>
          <w:lang w:val="mk-MK"/>
        </w:rPr>
        <w:t>а провизија</w:t>
      </w:r>
      <w:r w:rsidRPr="00164110">
        <w:rPr>
          <w:lang w:val="mk-MK"/>
        </w:rPr>
        <w:t xml:space="preserve"> е поврзана и </w:t>
      </w:r>
      <w:r>
        <w:rPr>
          <w:lang w:val="mk-MK"/>
        </w:rPr>
        <w:t xml:space="preserve">претставува техничка </w:t>
      </w:r>
      <w:r w:rsidRPr="00164110">
        <w:rPr>
          <w:lang w:val="mk-MK"/>
        </w:rPr>
        <w:t>измен</w:t>
      </w:r>
      <w:r>
        <w:rPr>
          <w:lang w:val="mk-MK"/>
        </w:rPr>
        <w:t>а на</w:t>
      </w:r>
      <w:r w:rsidRPr="00164110">
        <w:rPr>
          <w:lang w:val="mk-MK"/>
        </w:rPr>
        <w:t xml:space="preserve"> регулатива за стекнување сопствени акции. Член 354 став 4 предвидува исклучок од општите ограничувања за стекнување сопствени акции кога тие се наменети за распределба на вработени, членови на органите на управување, управител или членови на надзорен одбор. </w:t>
      </w:r>
      <w:r w:rsidR="00583F91" w:rsidRPr="00987BE5">
        <w:rPr>
          <w:lang w:val="mk-MK"/>
        </w:rPr>
        <w:t>Распределбата мора да се изврши во рок од една година од денот на стекнувањето</w:t>
      </w:r>
      <w:r w:rsidR="00583F91">
        <w:rPr>
          <w:lang w:val="mk-MK"/>
        </w:rPr>
        <w:t xml:space="preserve"> и о</w:t>
      </w:r>
      <w:r w:rsidRPr="00164110">
        <w:rPr>
          <w:lang w:val="mk-MK"/>
        </w:rPr>
        <w:t>ва решение овозможува поголема флексибилност во корпоративното финансиско управување и отвора простор за програми на долгорочна мотивација и задржување на кадар.</w:t>
      </w:r>
    </w:p>
    <w:p w14:paraId="5BD380ED" w14:textId="688E8E93" w:rsidR="00583F91" w:rsidRDefault="00583F91" w:rsidP="00A7468F">
      <w:pPr>
        <w:pStyle w:val="BodyText"/>
        <w:spacing w:before="240" w:after="240"/>
        <w:ind w:firstLine="720"/>
        <w:jc w:val="both"/>
        <w:rPr>
          <w:lang w:val="mk-MK"/>
        </w:rPr>
      </w:pPr>
      <w:r>
        <w:rPr>
          <w:lang w:val="mk-MK"/>
        </w:rPr>
        <w:t>Имајќи ја предвид техничката природа на членот, истата е неопходна за соодветно спроведување на било какви измени од овој тип и одговара на целокупната логика на генералната системска реформа.</w:t>
      </w:r>
    </w:p>
    <w:p w14:paraId="1B85C3BC" w14:textId="0F0F11E2" w:rsidR="00F55008" w:rsidRPr="00A7468F" w:rsidRDefault="00F55008" w:rsidP="00A7468F">
      <w:pPr>
        <w:pStyle w:val="Heading3"/>
        <w:numPr>
          <w:ilvl w:val="2"/>
          <w:numId w:val="70"/>
        </w:numPr>
        <w:rPr>
          <w:rFonts w:ascii="Times New Roman" w:hAnsi="Times New Roman" w:cs="Times New Roman"/>
          <w:i/>
          <w:iCs/>
          <w:color w:val="000000" w:themeColor="text1"/>
          <w:lang w:val="mk-MK"/>
        </w:rPr>
      </w:pPr>
      <w:bookmarkStart w:id="101" w:name="_Toc230523954"/>
      <w:r w:rsidRPr="00A7468F">
        <w:rPr>
          <w:rFonts w:ascii="Times New Roman" w:hAnsi="Times New Roman" w:cs="Times New Roman"/>
          <w:i/>
          <w:iCs/>
          <w:color w:val="000000" w:themeColor="text1"/>
          <w:lang w:val="mk-MK"/>
        </w:rPr>
        <w:t>Член 358 – Задолжително објавување во годишниот извештај</w:t>
      </w:r>
      <w:bookmarkEnd w:id="101"/>
    </w:p>
    <w:p w14:paraId="2356B331" w14:textId="4ED049C1" w:rsidR="00502C27" w:rsidRDefault="000D0247" w:rsidP="008B0145">
      <w:pPr>
        <w:pStyle w:val="BodyText"/>
        <w:spacing w:before="240" w:after="240"/>
        <w:ind w:firstLine="720"/>
        <w:jc w:val="both"/>
        <w:rPr>
          <w:lang w:val="mk-MK"/>
        </w:rPr>
      </w:pPr>
      <w:r w:rsidRPr="000D0247">
        <w:rPr>
          <w:lang w:val="mk-MK"/>
        </w:rPr>
        <w:t>Во годишниот извештај задолжително се наведуваат бројот, номиналниот износ на стекнатите сопствени акции кои се распределени на вработените и нивното учество во основната главнина.</w:t>
      </w:r>
      <w:r w:rsidR="005B525D">
        <w:rPr>
          <w:lang w:val="mk-MK"/>
        </w:rPr>
        <w:t xml:space="preserve"> Повторно, идентично решение како она во член 337 став 1 алинеја 4 од сегашниот ЗТД</w:t>
      </w:r>
      <w:r w:rsidR="00393DB6">
        <w:rPr>
          <w:lang w:val="mk-MK"/>
        </w:rPr>
        <w:t>, кое не преставува пречка за спроведувањето.</w:t>
      </w:r>
      <w:r w:rsidR="005B525D">
        <w:rPr>
          <w:rStyle w:val="FootnoteReference"/>
          <w:lang w:val="mk-MK"/>
        </w:rPr>
        <w:footnoteReference w:id="854"/>
      </w:r>
    </w:p>
    <w:p w14:paraId="3E9B9D6F" w14:textId="1F24CFC4" w:rsidR="00583F91" w:rsidRPr="008B0145" w:rsidRDefault="00583F91" w:rsidP="008B0145">
      <w:pPr>
        <w:pStyle w:val="Heading3"/>
        <w:numPr>
          <w:ilvl w:val="2"/>
          <w:numId w:val="70"/>
        </w:numPr>
        <w:rPr>
          <w:rFonts w:ascii="Times New Roman" w:hAnsi="Times New Roman" w:cs="Times New Roman"/>
          <w:i/>
          <w:iCs/>
          <w:color w:val="000000" w:themeColor="text1"/>
          <w:lang w:val="mk-MK"/>
        </w:rPr>
      </w:pPr>
      <w:bookmarkStart w:id="102" w:name="_Toc230523955"/>
      <w:r w:rsidRPr="008B0145">
        <w:rPr>
          <w:rFonts w:ascii="Times New Roman" w:hAnsi="Times New Roman" w:cs="Times New Roman"/>
          <w:i/>
          <w:iCs/>
          <w:color w:val="000000" w:themeColor="text1"/>
          <w:lang w:val="mk-MK"/>
        </w:rPr>
        <w:t>Член 3</w:t>
      </w:r>
      <w:r w:rsidR="002E193B" w:rsidRPr="008B0145">
        <w:rPr>
          <w:rFonts w:ascii="Times New Roman" w:hAnsi="Times New Roman" w:cs="Times New Roman"/>
          <w:i/>
          <w:iCs/>
          <w:color w:val="000000" w:themeColor="text1"/>
          <w:lang w:val="mk-MK"/>
        </w:rPr>
        <w:t>61</w:t>
      </w:r>
      <w:r w:rsidRPr="008B0145">
        <w:rPr>
          <w:rFonts w:ascii="Times New Roman" w:hAnsi="Times New Roman" w:cs="Times New Roman"/>
          <w:i/>
          <w:iCs/>
          <w:color w:val="000000" w:themeColor="text1"/>
          <w:lang w:val="mk-MK"/>
        </w:rPr>
        <w:t xml:space="preserve"> – </w:t>
      </w:r>
      <w:r w:rsidR="002E193B" w:rsidRPr="008B0145">
        <w:rPr>
          <w:rFonts w:ascii="Times New Roman" w:hAnsi="Times New Roman" w:cs="Times New Roman"/>
          <w:i/>
          <w:iCs/>
          <w:color w:val="000000" w:themeColor="text1"/>
          <w:lang w:val="mk-MK"/>
        </w:rPr>
        <w:t>Исклучок од забраната за финансиска помош</w:t>
      </w:r>
      <w:bookmarkEnd w:id="102"/>
    </w:p>
    <w:p w14:paraId="2B25C646" w14:textId="0D7ADD39" w:rsidR="00FF37EB" w:rsidRDefault="00E6022B" w:rsidP="008B0145">
      <w:pPr>
        <w:pStyle w:val="BodyText"/>
        <w:spacing w:before="240" w:after="240"/>
        <w:ind w:firstLine="720"/>
        <w:jc w:val="both"/>
        <w:rPr>
          <w:lang w:val="mk-MK"/>
        </w:rPr>
      </w:pPr>
      <w:r w:rsidRPr="00E6022B">
        <w:rPr>
          <w:lang w:val="mk-MK"/>
        </w:rPr>
        <w:t>Општото правило е дека е ништовна правната работа со која друштвото дава аванс, заем или обезбедување заради стекнување акции во тоа друштво. Меѓутоа</w:t>
      </w:r>
      <w:r w:rsidR="00683D2D">
        <w:rPr>
          <w:lang w:val="mk-MK"/>
        </w:rPr>
        <w:t xml:space="preserve">, </w:t>
      </w:r>
      <w:r w:rsidR="00683D2D" w:rsidRPr="00683D2D">
        <w:rPr>
          <w:lang w:val="mk-MK"/>
        </w:rPr>
        <w:t xml:space="preserve">член </w:t>
      </w:r>
      <w:r w:rsidR="00683D2D" w:rsidRPr="00683D2D">
        <w:rPr>
          <w:lang w:val="mk-MK"/>
        </w:rPr>
        <w:lastRenderedPageBreak/>
        <w:t>361 став 1 предвидува исклучок од забраната за финансиска помош за стекнување сопствени акции, доколку акциите се стекнуваат заради нивна распределба на вработените или членовите на органите на управување. Со тоа</w:t>
      </w:r>
      <w:r w:rsidR="00FF37EB">
        <w:rPr>
          <w:lang w:val="mk-MK"/>
        </w:rPr>
        <w:t>,</w:t>
      </w:r>
      <w:r w:rsidR="00683D2D" w:rsidRPr="00683D2D">
        <w:rPr>
          <w:lang w:val="mk-MK"/>
        </w:rPr>
        <w:t xml:space="preserve"> законодавецот ја релативизира традиционалната </w:t>
      </w:r>
      <w:r w:rsidR="00683D2D" w:rsidRPr="00FF37EB">
        <w:rPr>
          <w:i/>
          <w:iCs/>
          <w:lang w:val="mk-MK"/>
        </w:rPr>
        <w:t>doctrine of capital maintenance</w:t>
      </w:r>
      <w:r w:rsidR="00683D2D" w:rsidRPr="00683D2D">
        <w:rPr>
          <w:lang w:val="mk-MK"/>
        </w:rPr>
        <w:t xml:space="preserve"> во корист на модели на работничко акционерство и корпоративна инклузија</w:t>
      </w:r>
      <w:r w:rsidR="00FF37EB">
        <w:rPr>
          <w:lang w:val="mk-MK"/>
        </w:rPr>
        <w:t>, па и оваа измена може да се толкува како позитивен чекор кон реформата.</w:t>
      </w:r>
      <w:r w:rsidR="002A5C10">
        <w:rPr>
          <w:rStyle w:val="FootnoteReference"/>
          <w:lang w:val="mk-MK"/>
        </w:rPr>
        <w:footnoteReference w:id="855"/>
      </w:r>
    </w:p>
    <w:p w14:paraId="2A5608E3" w14:textId="02133673" w:rsidR="00A2767D" w:rsidRPr="008B0145" w:rsidRDefault="00A2767D" w:rsidP="008B0145">
      <w:pPr>
        <w:pStyle w:val="Heading3"/>
        <w:numPr>
          <w:ilvl w:val="2"/>
          <w:numId w:val="70"/>
        </w:numPr>
        <w:rPr>
          <w:rFonts w:ascii="Times New Roman" w:hAnsi="Times New Roman" w:cs="Times New Roman"/>
          <w:i/>
          <w:iCs/>
          <w:color w:val="000000" w:themeColor="text1"/>
          <w:lang w:val="mk-MK"/>
        </w:rPr>
      </w:pPr>
      <w:bookmarkStart w:id="103" w:name="_Toc230523956"/>
      <w:r w:rsidRPr="008B0145">
        <w:rPr>
          <w:rFonts w:ascii="Times New Roman" w:hAnsi="Times New Roman" w:cs="Times New Roman"/>
          <w:i/>
          <w:iCs/>
          <w:color w:val="000000" w:themeColor="text1"/>
          <w:lang w:val="mk-MK"/>
        </w:rPr>
        <w:t xml:space="preserve">Член </w:t>
      </w:r>
      <w:r w:rsidR="00E8010A" w:rsidRPr="008B0145">
        <w:rPr>
          <w:rFonts w:ascii="Times New Roman" w:hAnsi="Times New Roman" w:cs="Times New Roman"/>
          <w:i/>
          <w:iCs/>
          <w:color w:val="000000" w:themeColor="text1"/>
          <w:lang w:val="mk-MK"/>
        </w:rPr>
        <w:t>499</w:t>
      </w:r>
      <w:r w:rsidRPr="008B0145">
        <w:rPr>
          <w:rFonts w:ascii="Times New Roman" w:hAnsi="Times New Roman" w:cs="Times New Roman"/>
          <w:i/>
          <w:iCs/>
          <w:color w:val="000000" w:themeColor="text1"/>
          <w:lang w:val="mk-MK"/>
        </w:rPr>
        <w:t xml:space="preserve"> – </w:t>
      </w:r>
      <w:r w:rsidR="00E8010A" w:rsidRPr="008B0145">
        <w:rPr>
          <w:rFonts w:ascii="Times New Roman" w:hAnsi="Times New Roman" w:cs="Times New Roman"/>
          <w:i/>
          <w:iCs/>
          <w:color w:val="000000" w:themeColor="text1"/>
          <w:lang w:val="mk-MK"/>
        </w:rPr>
        <w:t>Условно зголемување на основната главнина за акции на вработени</w:t>
      </w:r>
      <w:bookmarkEnd w:id="103"/>
    </w:p>
    <w:p w14:paraId="745FBAB3" w14:textId="3C547B44" w:rsidR="00583F91" w:rsidRDefault="00D72FF0" w:rsidP="00D72FF0">
      <w:pPr>
        <w:pStyle w:val="BodyText"/>
        <w:spacing w:before="240"/>
        <w:ind w:firstLine="720"/>
        <w:jc w:val="both"/>
        <w:rPr>
          <w:lang w:val="mk-MK"/>
        </w:rPr>
      </w:pPr>
      <w:r w:rsidRPr="00D72FF0">
        <w:rPr>
          <w:lang w:val="mk-MK"/>
        </w:rPr>
        <w:t>Значајна новина претставува и можноста за условно зголемување на основната главнина за потребите на распределба на акции на вработени. Член 499 предвидува дека собранието може да донесе одлука за условно издавање нови акции со цел тие да бидат распределени на вработените во друштвото или во поврзано друштво. На овој начин се создава втор механизам, покрај фондот од член 287, преку кој вработените можат да стекнат капитално учество.</w:t>
      </w:r>
      <w:r w:rsidR="00461A25">
        <w:rPr>
          <w:lang w:val="mk-MK"/>
        </w:rPr>
        <w:t xml:space="preserve"> </w:t>
      </w:r>
    </w:p>
    <w:p w14:paraId="072EB14C" w14:textId="2E10B343" w:rsidR="005D05E0" w:rsidRDefault="005D05E0" w:rsidP="00D72FF0">
      <w:pPr>
        <w:pStyle w:val="BodyText"/>
        <w:spacing w:before="240"/>
        <w:ind w:firstLine="720"/>
        <w:jc w:val="both"/>
        <w:rPr>
          <w:lang w:val="mk-MK"/>
        </w:rPr>
      </w:pPr>
      <w:r>
        <w:rPr>
          <w:lang w:val="mk-MK"/>
        </w:rPr>
        <w:t xml:space="preserve">Овој член од предлог-законот дава речиси идентична формулација </w:t>
      </w:r>
      <w:r w:rsidR="00A17035">
        <w:rPr>
          <w:lang w:val="mk-MK"/>
        </w:rPr>
        <w:t>како онаа во сегашниот закон. Член 434 став 1 алинеја 3 од ЗТД што во моментов е на сила</w:t>
      </w:r>
      <w:r w:rsidR="00EB40DD">
        <w:rPr>
          <w:lang w:val="mk-MK"/>
        </w:rPr>
        <w:t xml:space="preserve"> предвидува дека о</w:t>
      </w:r>
      <w:r w:rsidR="00EB40DD" w:rsidRPr="00EB40DD">
        <w:rPr>
          <w:lang w:val="mk-MK"/>
        </w:rPr>
        <w:t xml:space="preserve">длука за условно зголемување на основната главнина може да се донесе само заради остварување на </w:t>
      </w:r>
      <w:r w:rsidR="00EB40DD">
        <w:rPr>
          <w:lang w:val="mk-MK"/>
        </w:rPr>
        <w:t xml:space="preserve">наведени цели, помеѓу кои и </w:t>
      </w:r>
      <w:r w:rsidR="00EB40DD" w:rsidRPr="00EB40DD">
        <w:rPr>
          <w:lang w:val="mk-MK"/>
        </w:rPr>
        <w:t>остварување на правото на акции на вработените, на извршните членови на одборот на директори, на управниот одбор, односно на управителот на друштвото и на членовите на овие органи на друштвата поврзани со него.</w:t>
      </w:r>
      <w:r w:rsidR="005E45BA">
        <w:rPr>
          <w:rStyle w:val="FootnoteReference"/>
          <w:lang w:val="mk-MK"/>
        </w:rPr>
        <w:footnoteReference w:id="856"/>
      </w:r>
    </w:p>
    <w:p w14:paraId="2D3A8B61" w14:textId="0F421DFD" w:rsidR="00A81AC3" w:rsidRDefault="00A81AC3" w:rsidP="00D72FF0">
      <w:pPr>
        <w:pStyle w:val="BodyText"/>
        <w:spacing w:before="240"/>
        <w:ind w:firstLine="720"/>
        <w:jc w:val="both"/>
        <w:rPr>
          <w:lang w:val="mk-MK"/>
        </w:rPr>
      </w:pPr>
      <w:r>
        <w:rPr>
          <w:lang w:val="mk-MK"/>
        </w:rPr>
        <w:t xml:space="preserve">Во двата случаи </w:t>
      </w:r>
      <w:r w:rsidRPr="00A81AC3">
        <w:rPr>
          <w:lang w:val="mk-MK"/>
        </w:rPr>
        <w:t>друштвото издава нови акции условно, специјално за оваа цел. Во одлуката се определуваат целта, лицата, рокот, условите и износот</w:t>
      </w:r>
      <w:r>
        <w:rPr>
          <w:lang w:val="mk-MK"/>
        </w:rPr>
        <w:t xml:space="preserve"> и како таква, оваа регулација претставува сосема доволен простор за да се задржи во сегашната форма.</w:t>
      </w:r>
    </w:p>
    <w:p w14:paraId="1A69407A" w14:textId="35CB04F6" w:rsidR="005D068C" w:rsidRPr="00884503" w:rsidRDefault="00AF025E" w:rsidP="005D068C">
      <w:pPr>
        <w:pStyle w:val="Heading2"/>
        <w:numPr>
          <w:ilvl w:val="1"/>
          <w:numId w:val="70"/>
        </w:numPr>
        <w:rPr>
          <w:rFonts w:ascii="Times New Roman" w:hAnsi="Times New Roman" w:cs="Times New Roman"/>
          <w:b w:val="0"/>
          <w:bCs w:val="0"/>
          <w:color w:val="000000" w:themeColor="text1"/>
          <w:sz w:val="24"/>
          <w:szCs w:val="24"/>
          <w:lang w:val="mk-MK"/>
        </w:rPr>
      </w:pPr>
      <w:bookmarkStart w:id="104" w:name="_Toc230523957"/>
      <w:r>
        <w:rPr>
          <w:rFonts w:ascii="Times New Roman" w:hAnsi="Times New Roman" w:cs="Times New Roman"/>
          <w:b w:val="0"/>
          <w:bCs w:val="0"/>
          <w:color w:val="000000" w:themeColor="text1"/>
          <w:sz w:val="24"/>
          <w:szCs w:val="24"/>
          <w:lang w:val="mk-MK"/>
        </w:rPr>
        <w:t>Клучни промени во однос на у</w:t>
      </w:r>
      <w:r w:rsidRPr="00AF025E">
        <w:rPr>
          <w:rFonts w:ascii="Times New Roman" w:hAnsi="Times New Roman" w:cs="Times New Roman"/>
          <w:b w:val="0"/>
          <w:bCs w:val="0"/>
          <w:color w:val="000000" w:themeColor="text1"/>
          <w:sz w:val="24"/>
          <w:szCs w:val="24"/>
          <w:lang w:val="mk-MK"/>
        </w:rPr>
        <w:t>чество</w:t>
      </w:r>
      <w:r>
        <w:rPr>
          <w:rFonts w:ascii="Times New Roman" w:hAnsi="Times New Roman" w:cs="Times New Roman"/>
          <w:b w:val="0"/>
          <w:bCs w:val="0"/>
          <w:color w:val="000000" w:themeColor="text1"/>
          <w:sz w:val="24"/>
          <w:szCs w:val="24"/>
          <w:lang w:val="mk-MK"/>
        </w:rPr>
        <w:t>то</w:t>
      </w:r>
      <w:r w:rsidRPr="00AF025E">
        <w:rPr>
          <w:rFonts w:ascii="Times New Roman" w:hAnsi="Times New Roman" w:cs="Times New Roman"/>
          <w:b w:val="0"/>
          <w:bCs w:val="0"/>
          <w:color w:val="000000" w:themeColor="text1"/>
          <w:sz w:val="24"/>
          <w:szCs w:val="24"/>
          <w:lang w:val="mk-MK"/>
        </w:rPr>
        <w:t xml:space="preserve"> на вработените во добивката</w:t>
      </w:r>
      <w:r w:rsidR="00717B37">
        <w:rPr>
          <w:rFonts w:ascii="Times New Roman" w:hAnsi="Times New Roman" w:cs="Times New Roman"/>
          <w:b w:val="0"/>
          <w:bCs w:val="0"/>
          <w:color w:val="000000" w:themeColor="text1"/>
          <w:sz w:val="24"/>
          <w:szCs w:val="24"/>
          <w:lang w:val="mk-MK"/>
        </w:rPr>
        <w:t xml:space="preserve"> и во органите на друштвото</w:t>
      </w:r>
      <w:bookmarkEnd w:id="104"/>
    </w:p>
    <w:p w14:paraId="4B802444" w14:textId="612900E3" w:rsidR="005D068C" w:rsidRDefault="00E44333" w:rsidP="008E3A64">
      <w:pPr>
        <w:pStyle w:val="BodyText"/>
        <w:spacing w:before="240"/>
        <w:ind w:firstLine="720"/>
        <w:jc w:val="both"/>
        <w:rPr>
          <w:lang w:val="mk-MK"/>
        </w:rPr>
      </w:pPr>
      <w:r>
        <w:rPr>
          <w:lang w:val="mk-MK"/>
        </w:rPr>
        <w:t>Последните</w:t>
      </w:r>
      <w:r w:rsidR="003F1FD6">
        <w:rPr>
          <w:lang w:val="mk-MK"/>
        </w:rPr>
        <w:t xml:space="preserve"> усвоени</w:t>
      </w:r>
      <w:r>
        <w:rPr>
          <w:lang w:val="mk-MK"/>
        </w:rPr>
        <w:t xml:space="preserve"> </w:t>
      </w:r>
      <w:r w:rsidR="003F1FD6">
        <w:rPr>
          <w:lang w:val="mk-MK"/>
        </w:rPr>
        <w:t>измени на Законот за трговски друштва, од 2022 и 2024 година,</w:t>
      </w:r>
      <w:r w:rsidR="005C5FCD">
        <w:rPr>
          <w:lang w:val="en-US"/>
        </w:rPr>
        <w:t xml:space="preserve"> </w:t>
      </w:r>
      <w:r w:rsidR="005C5FCD" w:rsidRPr="005C5FCD">
        <w:rPr>
          <w:lang w:val="mk-MK"/>
        </w:rPr>
        <w:t>ревидираа неколку основни</w:t>
      </w:r>
      <w:r w:rsidR="005C5FCD">
        <w:rPr>
          <w:lang w:val="mk-MK"/>
        </w:rPr>
        <w:t xml:space="preserve"> постулати и</w:t>
      </w:r>
      <w:r w:rsidR="005C5FCD" w:rsidRPr="005C5FCD">
        <w:rPr>
          <w:lang w:val="mk-MK"/>
        </w:rPr>
        <w:t xml:space="preserve"> правила. Значајна промена беше создавањето на Поедноставено друштво со ограничена одговорност (поедноставено ДОО, ПДОО)</w:t>
      </w:r>
      <w:r w:rsidR="00B0201C">
        <w:rPr>
          <w:lang w:val="mk-MK"/>
        </w:rPr>
        <w:t xml:space="preserve"> во член 170 став 2 од ЗТД</w:t>
      </w:r>
      <w:r w:rsidR="005C5FCD" w:rsidRPr="005C5FCD">
        <w:rPr>
          <w:lang w:val="mk-MK"/>
        </w:rPr>
        <w:t>. Оваа нова форма на</w:t>
      </w:r>
      <w:r w:rsidR="00B0201C">
        <w:rPr>
          <w:lang w:val="mk-MK"/>
        </w:rPr>
        <w:t xml:space="preserve"> друштво</w:t>
      </w:r>
      <w:r w:rsidR="005C5FCD" w:rsidRPr="005C5FCD">
        <w:rPr>
          <w:lang w:val="mk-MK"/>
        </w:rPr>
        <w:t xml:space="preserve"> може да ја формираат најмногу три основачи</w:t>
      </w:r>
      <w:r w:rsidR="00CA6397">
        <w:rPr>
          <w:lang w:val="mk-MK"/>
        </w:rPr>
        <w:t xml:space="preserve">, </w:t>
      </w:r>
      <w:r w:rsidR="005C5FCD" w:rsidRPr="005C5FCD">
        <w:rPr>
          <w:lang w:val="mk-MK"/>
        </w:rPr>
        <w:t>физички лица</w:t>
      </w:r>
      <w:r w:rsidR="00CA6397">
        <w:rPr>
          <w:lang w:val="mk-MK"/>
        </w:rPr>
        <w:t>,</w:t>
      </w:r>
      <w:r w:rsidR="005C5FCD" w:rsidRPr="005C5FCD">
        <w:rPr>
          <w:lang w:val="mk-MK"/>
        </w:rPr>
        <w:t xml:space="preserve"> со минимален капитал од 1 евро. Во ПДОО, основачите мора да уплатат во целост и да изградат задолжителна законска резерва</w:t>
      </w:r>
      <w:r w:rsidR="00CA6397">
        <w:rPr>
          <w:lang w:val="mk-MK"/>
        </w:rPr>
        <w:t xml:space="preserve">, </w:t>
      </w:r>
      <w:r w:rsidR="005C5FCD" w:rsidRPr="005C5FCD">
        <w:rPr>
          <w:lang w:val="mk-MK"/>
        </w:rPr>
        <w:t>25% од профитот</w:t>
      </w:r>
      <w:r w:rsidR="00CA6397">
        <w:rPr>
          <w:lang w:val="mk-MK"/>
        </w:rPr>
        <w:t>,</w:t>
      </w:r>
      <w:r w:rsidR="005C5FCD" w:rsidRPr="005C5FCD">
        <w:rPr>
          <w:lang w:val="mk-MK"/>
        </w:rPr>
        <w:t xml:space="preserve"> пред каква било распределба на дивиденда. Спротивно на тоа, </w:t>
      </w:r>
      <w:r w:rsidR="00B0201C">
        <w:rPr>
          <w:lang w:val="mk-MK"/>
        </w:rPr>
        <w:t xml:space="preserve">пред измените, </w:t>
      </w:r>
      <w:r w:rsidR="005C5FCD" w:rsidRPr="005C5FCD">
        <w:rPr>
          <w:lang w:val="mk-MK"/>
        </w:rPr>
        <w:t>закон</w:t>
      </w:r>
      <w:r w:rsidR="00B0201C">
        <w:rPr>
          <w:lang w:val="mk-MK"/>
        </w:rPr>
        <w:t>от</w:t>
      </w:r>
      <w:r w:rsidR="005C5FCD" w:rsidRPr="005C5FCD">
        <w:rPr>
          <w:lang w:val="mk-MK"/>
        </w:rPr>
        <w:t xml:space="preserve"> бараше минимален капитал од 5.000 евра за ДОО.</w:t>
      </w:r>
    </w:p>
    <w:p w14:paraId="721B1EE5" w14:textId="018B026B" w:rsidR="00716A3E" w:rsidRPr="005C5FCD" w:rsidRDefault="00F21152" w:rsidP="00356AAC">
      <w:pPr>
        <w:pStyle w:val="BodyText"/>
        <w:spacing w:before="240" w:after="240"/>
        <w:ind w:firstLine="720"/>
        <w:jc w:val="both"/>
        <w:rPr>
          <w:lang w:val="mk-MK"/>
        </w:rPr>
      </w:pPr>
      <w:r>
        <w:rPr>
          <w:lang w:val="mk-MK"/>
        </w:rPr>
        <w:t>Воедно, ова е една од поретките крупни промени во системот на трговските друштва.</w:t>
      </w:r>
      <w:r w:rsidR="00C61CA9">
        <w:rPr>
          <w:rStyle w:val="FootnoteReference"/>
          <w:lang w:val="mk-MK"/>
        </w:rPr>
        <w:footnoteReference w:id="857"/>
      </w:r>
      <w:r>
        <w:rPr>
          <w:lang w:val="mk-MK"/>
        </w:rPr>
        <w:t xml:space="preserve"> </w:t>
      </w:r>
      <w:r w:rsidR="00602A81">
        <w:rPr>
          <w:lang w:val="mk-MK"/>
        </w:rPr>
        <w:t>Учеството на вработените во најголем дел останува непроменето</w:t>
      </w:r>
      <w:r w:rsidR="00C61CA9">
        <w:rPr>
          <w:lang w:val="mk-MK"/>
        </w:rPr>
        <w:t>,</w:t>
      </w:r>
      <w:r w:rsidR="00602A81">
        <w:rPr>
          <w:lang w:val="mk-MK"/>
        </w:rPr>
        <w:t xml:space="preserve"> и со мали осцилации, се уште не може да се каже дека постои во вистинска смисла.</w:t>
      </w:r>
      <w:r w:rsidR="00602A81">
        <w:rPr>
          <w:rStyle w:val="FootnoteReference"/>
          <w:lang w:val="mk-MK"/>
        </w:rPr>
        <w:footnoteReference w:id="858"/>
      </w:r>
      <w:r w:rsidR="00602A81">
        <w:rPr>
          <w:lang w:val="mk-MK"/>
        </w:rPr>
        <w:t xml:space="preserve"> Оттука, големи надежи се полагаат во предлог-законот за трговски друштва, кој треба конкретно и детално да го уреди овој механизам и да понуди одржливи решенија. Во својата </w:t>
      </w:r>
      <w:r w:rsidR="00602A81">
        <w:rPr>
          <w:lang w:val="mk-MK"/>
        </w:rPr>
        <w:lastRenderedPageBreak/>
        <w:t>сегашна верзија, предлог-законот ја таргетира тематиката во неколку членови.</w:t>
      </w:r>
    </w:p>
    <w:p w14:paraId="32D4FD43" w14:textId="2696E6D9" w:rsidR="005B74CF" w:rsidRDefault="007A6076" w:rsidP="005B74CF">
      <w:pPr>
        <w:pStyle w:val="Heading3"/>
        <w:numPr>
          <w:ilvl w:val="2"/>
          <w:numId w:val="70"/>
        </w:numPr>
        <w:rPr>
          <w:rFonts w:ascii="Times New Roman" w:hAnsi="Times New Roman" w:cs="Times New Roman"/>
          <w:i/>
          <w:iCs/>
          <w:color w:val="000000" w:themeColor="text1"/>
          <w:lang w:val="mk-MK"/>
        </w:rPr>
      </w:pPr>
      <w:bookmarkStart w:id="105" w:name="_Toc230523958"/>
      <w:r>
        <w:rPr>
          <w:rFonts w:ascii="Times New Roman" w:hAnsi="Times New Roman" w:cs="Times New Roman"/>
          <w:i/>
          <w:iCs/>
          <w:color w:val="000000" w:themeColor="text1"/>
          <w:lang w:val="mk-MK"/>
        </w:rPr>
        <w:t>Член 24</w:t>
      </w:r>
      <w:r w:rsidR="00F9297C">
        <w:rPr>
          <w:rFonts w:ascii="Times New Roman" w:hAnsi="Times New Roman" w:cs="Times New Roman"/>
          <w:i/>
          <w:iCs/>
          <w:color w:val="000000" w:themeColor="text1"/>
          <w:lang w:val="mk-MK"/>
        </w:rPr>
        <w:t>5</w:t>
      </w:r>
      <w:r>
        <w:rPr>
          <w:rFonts w:ascii="Times New Roman" w:hAnsi="Times New Roman" w:cs="Times New Roman"/>
          <w:i/>
          <w:iCs/>
          <w:color w:val="000000" w:themeColor="text1"/>
          <w:lang w:val="mk-MK"/>
        </w:rPr>
        <w:t xml:space="preserve"> – </w:t>
      </w:r>
      <w:r w:rsidR="005E22F1">
        <w:rPr>
          <w:rFonts w:ascii="Times New Roman" w:hAnsi="Times New Roman" w:cs="Times New Roman"/>
          <w:i/>
          <w:iCs/>
          <w:color w:val="000000" w:themeColor="text1"/>
          <w:lang w:val="mk-MK"/>
        </w:rPr>
        <w:t>Начин на избор и отповикување на органот за надзор</w:t>
      </w:r>
      <w:bookmarkEnd w:id="105"/>
    </w:p>
    <w:p w14:paraId="0681F29B" w14:textId="0BBFBE38" w:rsidR="005B74CF" w:rsidRPr="00AF5C59" w:rsidRDefault="00C9114F" w:rsidP="00C9114F">
      <w:pPr>
        <w:spacing w:before="240"/>
        <w:ind w:firstLine="720"/>
        <w:jc w:val="both"/>
        <w:rPr>
          <w:sz w:val="24"/>
          <w:szCs w:val="24"/>
          <w:lang w:val="mk-MK"/>
        </w:rPr>
      </w:pPr>
      <w:r w:rsidRPr="00C9114F">
        <w:rPr>
          <w:sz w:val="24"/>
          <w:szCs w:val="24"/>
          <w:lang w:val="mk-MK"/>
        </w:rPr>
        <w:t>Предлог-законот задржува одредени рестриктивни решенија кои можат критички да се оценат од аспект на вклученоста на вработените во корпоративното управување. Така, согласно член 24</w:t>
      </w:r>
      <w:r w:rsidR="00272534">
        <w:rPr>
          <w:sz w:val="24"/>
          <w:szCs w:val="24"/>
          <w:lang w:val="mk-MK"/>
        </w:rPr>
        <w:t>5</w:t>
      </w:r>
      <w:r w:rsidRPr="00C9114F">
        <w:rPr>
          <w:sz w:val="24"/>
          <w:szCs w:val="24"/>
          <w:lang w:val="mk-MK"/>
        </w:rPr>
        <w:t xml:space="preserve"> став 3</w:t>
      </w:r>
      <w:r w:rsidR="00272534">
        <w:rPr>
          <w:sz w:val="24"/>
          <w:szCs w:val="24"/>
          <w:lang w:val="mk-MK"/>
        </w:rPr>
        <w:t xml:space="preserve"> алинеја 1</w:t>
      </w:r>
      <w:r w:rsidRPr="00C9114F">
        <w:rPr>
          <w:sz w:val="24"/>
          <w:szCs w:val="24"/>
          <w:lang w:val="mk-MK"/>
        </w:rPr>
        <w:t xml:space="preserve">, управителот и вработените во друштвото со ограничена одговорност не можат да бидат избрани за членови на надзорниот одбор, односно контролор. Дополнително, член 477 став 6 предвидува дека вработен во друштвото не може да биде овластен ревизор на истото друштво, ниту лице вработено во службата за внатрешна ревизија истовремено да врши управувачка или надзорна функција. Иако дел од овие ограничувања имаат оправдана цел во обезбедување независност, спречување судир на </w:t>
      </w:r>
      <w:r w:rsidRPr="00AF5C59">
        <w:rPr>
          <w:sz w:val="24"/>
          <w:szCs w:val="24"/>
          <w:lang w:val="mk-MK"/>
        </w:rPr>
        <w:t>интереси и зачувување на контролниот интегритет, нивната широка и апсолутна формулација отвора прашања за пропорционалноста.</w:t>
      </w:r>
    </w:p>
    <w:p w14:paraId="57C84F56" w14:textId="138BA9B8" w:rsidR="00AF5C59" w:rsidRDefault="00AF5C59" w:rsidP="00C9114F">
      <w:pPr>
        <w:spacing w:before="240"/>
        <w:ind w:firstLine="720"/>
        <w:jc w:val="both"/>
        <w:rPr>
          <w:sz w:val="24"/>
          <w:szCs w:val="24"/>
          <w:lang w:val="mk-MK"/>
        </w:rPr>
      </w:pPr>
      <w:r w:rsidRPr="00AF5C59">
        <w:rPr>
          <w:sz w:val="24"/>
          <w:szCs w:val="24"/>
          <w:lang w:val="mk-MK"/>
        </w:rPr>
        <w:t xml:space="preserve">Особено проблематично е целосното исклучување на вработените од можноста да членуваат во надзорниот одбор кај ДОО, бидејќи со тоа се пропушта можноста за развој на модели на работничко претставување и внатрешна корпоративна демократизација. Во повеќе европски системи токму присуството на претставници на вработените во надзорни тела се смета за средство за подобар проток на информации, долгорочна ориентација на одлучувањето и балансирање на интересите </w:t>
      </w:r>
      <w:r w:rsidR="00723748">
        <w:rPr>
          <w:sz w:val="24"/>
          <w:szCs w:val="24"/>
          <w:lang w:val="mk-MK"/>
        </w:rPr>
        <w:t>по</w:t>
      </w:r>
      <w:r w:rsidRPr="00AF5C59">
        <w:rPr>
          <w:sz w:val="24"/>
          <w:szCs w:val="24"/>
          <w:lang w:val="mk-MK"/>
        </w:rPr>
        <w:t xml:space="preserve">меѓу капиталот и трудот. Македонското решение, наместо да прави разлика </w:t>
      </w:r>
      <w:r w:rsidR="00317E3B">
        <w:rPr>
          <w:sz w:val="24"/>
          <w:szCs w:val="24"/>
          <w:lang w:val="mk-MK"/>
        </w:rPr>
        <w:t>по</w:t>
      </w:r>
      <w:r w:rsidRPr="00AF5C59">
        <w:rPr>
          <w:sz w:val="24"/>
          <w:szCs w:val="24"/>
          <w:lang w:val="mk-MK"/>
        </w:rPr>
        <w:t>меѓу извршни вработени, лица со конфликт на интерес и избрани претставници на работниците, применува општа забрана кон сите вработени. На тој начин, под изговор на независност, се елиминира секоја можност за институционален глас на трудот во надзорот.</w:t>
      </w:r>
    </w:p>
    <w:p w14:paraId="7D9AD3C1" w14:textId="0F4E629B" w:rsidR="00317E3B" w:rsidRPr="00AF5C59" w:rsidRDefault="00317E3B" w:rsidP="00C9114F">
      <w:pPr>
        <w:spacing w:before="240"/>
        <w:ind w:firstLine="720"/>
        <w:jc w:val="both"/>
        <w:rPr>
          <w:sz w:val="24"/>
          <w:szCs w:val="24"/>
          <w:lang w:val="mk-MK"/>
        </w:rPr>
      </w:pPr>
      <w:r w:rsidRPr="00317E3B">
        <w:rPr>
          <w:sz w:val="24"/>
          <w:szCs w:val="24"/>
          <w:lang w:val="mk-MK"/>
        </w:rPr>
        <w:t xml:space="preserve">Посоодветен пристап би бил прецизно таргетирање на конфликтите на интерес, односно забрана за лица што имаат директна извршна функција или финансиска зависност од органот што го надгледуваат, но не и автоматско исклучување на сите вработени. Така би се заштитила независноста на надзорот, а истовремено би се овозможило ограничено и регулирано учество на вработените во управувачката архитектура на друштвото. Во сегашната форма, одредбата повеќе го одразува традиционалниот модел на затворено корпоративно управување отколку современите тенденции на инклузивност и </w:t>
      </w:r>
      <w:r w:rsidRPr="00420A56">
        <w:rPr>
          <w:i/>
          <w:iCs/>
          <w:sz w:val="24"/>
          <w:szCs w:val="24"/>
          <w:lang w:val="mk-MK"/>
        </w:rPr>
        <w:t>stakeholder governance</w:t>
      </w:r>
      <w:r w:rsidRPr="00317E3B">
        <w:rPr>
          <w:sz w:val="24"/>
          <w:szCs w:val="24"/>
          <w:lang w:val="mk-MK"/>
        </w:rPr>
        <w:t>.</w:t>
      </w:r>
    </w:p>
    <w:p w14:paraId="68223427" w14:textId="77777777" w:rsidR="005B74CF" w:rsidRPr="005B74CF" w:rsidRDefault="005B74CF" w:rsidP="005B74CF">
      <w:pPr>
        <w:rPr>
          <w:lang w:val="mk-MK"/>
        </w:rPr>
      </w:pPr>
    </w:p>
    <w:p w14:paraId="3AA663CD" w14:textId="630694F9" w:rsidR="00910BF0" w:rsidRPr="00356AAC" w:rsidRDefault="00910BF0" w:rsidP="00356AAC">
      <w:pPr>
        <w:pStyle w:val="Heading3"/>
        <w:numPr>
          <w:ilvl w:val="2"/>
          <w:numId w:val="70"/>
        </w:numPr>
        <w:rPr>
          <w:rFonts w:ascii="Times New Roman" w:hAnsi="Times New Roman" w:cs="Times New Roman"/>
          <w:i/>
          <w:iCs/>
          <w:color w:val="000000" w:themeColor="text1"/>
          <w:lang w:val="mk-MK"/>
        </w:rPr>
      </w:pPr>
      <w:bookmarkStart w:id="106" w:name="_Toc230523959"/>
      <w:r w:rsidRPr="00356AAC">
        <w:rPr>
          <w:rFonts w:ascii="Times New Roman" w:hAnsi="Times New Roman" w:cs="Times New Roman"/>
          <w:i/>
          <w:iCs/>
          <w:color w:val="000000" w:themeColor="text1"/>
          <w:lang w:val="mk-MK"/>
        </w:rPr>
        <w:t xml:space="preserve">Член 363 – </w:t>
      </w:r>
      <w:r w:rsidR="003B193A" w:rsidRPr="00356AAC">
        <w:rPr>
          <w:rFonts w:ascii="Times New Roman" w:hAnsi="Times New Roman" w:cs="Times New Roman"/>
          <w:i/>
          <w:iCs/>
          <w:color w:val="000000" w:themeColor="text1"/>
          <w:lang w:val="mk-MK"/>
        </w:rPr>
        <w:t>Системи на управување</w:t>
      </w:r>
      <w:bookmarkEnd w:id="106"/>
    </w:p>
    <w:p w14:paraId="27D542A8" w14:textId="7838C360" w:rsidR="00910BF0" w:rsidRDefault="00414E3E" w:rsidP="00356AAC">
      <w:pPr>
        <w:pStyle w:val="BodyText"/>
        <w:spacing w:before="240"/>
        <w:ind w:firstLine="720"/>
        <w:jc w:val="both"/>
        <w:rPr>
          <w:lang w:val="en-US" w:eastAsia="zh-CN" w:bidi="hi-IN"/>
        </w:rPr>
      </w:pPr>
      <w:r w:rsidRPr="00414E3E">
        <w:rPr>
          <w:lang w:val="mk-MK" w:eastAsia="zh-CN" w:bidi="hi-IN"/>
        </w:rPr>
        <w:t xml:space="preserve">Во сферата на корпоративното управување, </w:t>
      </w:r>
      <w:r>
        <w:rPr>
          <w:lang w:val="mk-MK" w:eastAsia="zh-CN" w:bidi="hi-IN"/>
        </w:rPr>
        <w:t>п</w:t>
      </w:r>
      <w:r w:rsidRPr="00414E3E">
        <w:rPr>
          <w:lang w:val="mk-MK" w:eastAsia="zh-CN" w:bidi="hi-IN"/>
        </w:rPr>
        <w:t>редлог</w:t>
      </w:r>
      <w:r>
        <w:rPr>
          <w:lang w:val="mk-MK" w:eastAsia="zh-CN" w:bidi="hi-IN"/>
        </w:rPr>
        <w:t>-</w:t>
      </w:r>
      <w:r w:rsidRPr="00414E3E">
        <w:rPr>
          <w:lang w:val="mk-MK" w:eastAsia="zh-CN" w:bidi="hi-IN"/>
        </w:rPr>
        <w:t xml:space="preserve">Законот задржува воздржан пристап. Член 363 став 4 содржи само начелна норма дека учеството на вработените во управувањето со друштвото се уредува со закон. Тоа значи дека самиот закон не воспоставува директен модел на </w:t>
      </w:r>
      <w:r w:rsidR="007F1CF7">
        <w:rPr>
          <w:lang w:val="mk-MK" w:eastAsia="zh-CN" w:bidi="hi-IN"/>
        </w:rPr>
        <w:t>кодетерминација</w:t>
      </w:r>
      <w:r w:rsidRPr="00414E3E">
        <w:rPr>
          <w:lang w:val="mk-MK" w:eastAsia="zh-CN" w:bidi="hi-IN"/>
        </w:rPr>
        <w:t xml:space="preserve"> за домашните друштва, туку ова прашање го препушта на посебна законска регулатива. Сепак, одредени индиректни форми на вклученост се препознаваат. Така, во едностепениот систем</w:t>
      </w:r>
      <w:r w:rsidR="00E033A3">
        <w:rPr>
          <w:lang w:val="en-US" w:eastAsia="zh-CN" w:bidi="hi-IN"/>
        </w:rPr>
        <w:t xml:space="preserve">, </w:t>
      </w:r>
      <w:r w:rsidRPr="00414E3E">
        <w:rPr>
          <w:lang w:val="mk-MK" w:eastAsia="zh-CN" w:bidi="hi-IN"/>
        </w:rPr>
        <w:t>член 399 став 3</w:t>
      </w:r>
      <w:r w:rsidR="00E033A3">
        <w:rPr>
          <w:lang w:val="en-US" w:eastAsia="zh-CN" w:bidi="hi-IN"/>
        </w:rPr>
        <w:t>,</w:t>
      </w:r>
      <w:r w:rsidRPr="00414E3E">
        <w:rPr>
          <w:lang w:val="mk-MK" w:eastAsia="zh-CN" w:bidi="hi-IN"/>
        </w:rPr>
        <w:t xml:space="preserve"> и двостепениот систем</w:t>
      </w:r>
      <w:r w:rsidR="00E033A3">
        <w:rPr>
          <w:lang w:val="en-US" w:eastAsia="zh-CN" w:bidi="hi-IN"/>
        </w:rPr>
        <w:t xml:space="preserve">, </w:t>
      </w:r>
      <w:r w:rsidRPr="00414E3E">
        <w:rPr>
          <w:lang w:val="mk-MK" w:eastAsia="zh-CN" w:bidi="hi-IN"/>
        </w:rPr>
        <w:t>член 4</w:t>
      </w:r>
      <w:r w:rsidR="006A1E49">
        <w:rPr>
          <w:lang w:val="mk-MK" w:eastAsia="zh-CN" w:bidi="hi-IN"/>
        </w:rPr>
        <w:t>06</w:t>
      </w:r>
      <w:r w:rsidRPr="00414E3E">
        <w:rPr>
          <w:lang w:val="mk-MK" w:eastAsia="zh-CN" w:bidi="hi-IN"/>
        </w:rPr>
        <w:t xml:space="preserve"> став 4, задолжително се определува член на извршниот, односно управниот одбор кој е посебно одговорен за прашањата на вработените и односите со нив.</w:t>
      </w:r>
      <w:r w:rsidR="00420A56">
        <w:rPr>
          <w:rStyle w:val="FootnoteReference"/>
          <w:lang w:val="mk-MK" w:eastAsia="zh-CN" w:bidi="hi-IN"/>
        </w:rPr>
        <w:footnoteReference w:id="859"/>
      </w:r>
      <w:r>
        <w:rPr>
          <w:lang w:val="mk-MK" w:eastAsia="zh-CN" w:bidi="hi-IN"/>
        </w:rPr>
        <w:t xml:space="preserve"> </w:t>
      </w:r>
    </w:p>
    <w:p w14:paraId="69C40124" w14:textId="1507E4FB" w:rsidR="00877D42" w:rsidRPr="00877D42" w:rsidRDefault="00877D42" w:rsidP="00356AAC">
      <w:pPr>
        <w:pStyle w:val="BodyText"/>
        <w:spacing w:before="240" w:after="240"/>
        <w:ind w:firstLine="720"/>
        <w:jc w:val="both"/>
        <w:rPr>
          <w:lang w:val="mk-MK" w:eastAsia="zh-CN" w:bidi="hi-IN"/>
        </w:rPr>
      </w:pPr>
      <w:r>
        <w:rPr>
          <w:lang w:val="mk-MK" w:eastAsia="zh-CN" w:bidi="hi-IN"/>
        </w:rPr>
        <w:t>Како што видовме, ваквото решение не е доволно бидејќи не опфаќа в</w:t>
      </w:r>
      <w:r w:rsidR="00F77C8C">
        <w:rPr>
          <w:lang w:val="mk-MK" w:eastAsia="zh-CN" w:bidi="hi-IN"/>
        </w:rPr>
        <w:t xml:space="preserve">клученост </w:t>
      </w:r>
      <w:r w:rsidR="00F77C8C">
        <w:rPr>
          <w:lang w:val="mk-MK" w:eastAsia="zh-CN" w:bidi="hi-IN"/>
        </w:rPr>
        <w:lastRenderedPageBreak/>
        <w:t>на вработените, туку едноставно назначува член кој ќе биде задолжен за прашања на вработените</w:t>
      </w:r>
      <w:r w:rsidR="00E06725">
        <w:rPr>
          <w:lang w:val="mk-MK" w:eastAsia="zh-CN" w:bidi="hi-IN"/>
        </w:rPr>
        <w:t xml:space="preserve"> и тој самиот не мора да биде од редот на вработените. Член 363 претставува уште една пропуштена можност законодавецот директно да се определи за некоја форма на кодетерминација или хибриден модел и задржува благо модификувано статус-кво.</w:t>
      </w:r>
    </w:p>
    <w:p w14:paraId="738EB8E4" w14:textId="6AEC2038" w:rsidR="00370622" w:rsidRPr="00356AAC" w:rsidRDefault="00370622" w:rsidP="00356AAC">
      <w:pPr>
        <w:pStyle w:val="Heading3"/>
        <w:numPr>
          <w:ilvl w:val="2"/>
          <w:numId w:val="70"/>
        </w:numPr>
        <w:spacing w:after="240"/>
        <w:rPr>
          <w:rFonts w:ascii="Times New Roman" w:hAnsi="Times New Roman" w:cs="Times New Roman"/>
          <w:i/>
          <w:iCs/>
          <w:color w:val="000000" w:themeColor="text1"/>
          <w:lang w:val="mk-MK"/>
        </w:rPr>
      </w:pPr>
      <w:bookmarkStart w:id="107" w:name="_Toc230523960"/>
      <w:r w:rsidRPr="00356AAC">
        <w:rPr>
          <w:rFonts w:ascii="Times New Roman" w:hAnsi="Times New Roman" w:cs="Times New Roman"/>
          <w:i/>
          <w:iCs/>
          <w:color w:val="000000" w:themeColor="text1"/>
          <w:lang w:val="mk-MK"/>
        </w:rPr>
        <w:t xml:space="preserve">Член 366 – </w:t>
      </w:r>
      <w:r w:rsidR="0035253D" w:rsidRPr="00356AAC">
        <w:rPr>
          <w:rFonts w:ascii="Times New Roman" w:hAnsi="Times New Roman" w:cs="Times New Roman"/>
          <w:i/>
          <w:iCs/>
          <w:color w:val="000000" w:themeColor="text1"/>
          <w:lang w:val="mk-MK"/>
        </w:rPr>
        <w:t>Вработен во Комисија за селекција — државни друштва</w:t>
      </w:r>
      <w:bookmarkEnd w:id="107"/>
    </w:p>
    <w:p w14:paraId="7750B76B" w14:textId="099EF5D9" w:rsidR="0035253D" w:rsidRDefault="00A06B73" w:rsidP="00A06B73">
      <w:pPr>
        <w:pStyle w:val="BodyText"/>
        <w:ind w:firstLine="720"/>
        <w:jc w:val="both"/>
        <w:rPr>
          <w:lang w:val="mk-MK" w:eastAsia="zh-CN" w:bidi="hi-IN"/>
        </w:rPr>
      </w:pPr>
      <w:r w:rsidRPr="00A06B73">
        <w:rPr>
          <w:lang w:val="mk-MK" w:eastAsia="zh-CN" w:bidi="hi-IN"/>
        </w:rPr>
        <w:t>Посебно интересна новина постои кај друштвата во доминантна или целосна државна сопственост. Член 366 став 8 и 9 предвидува дека Комисијата за човечки ресурси, која спроведува постапка за избор на членови на органите на управување и надзор, задолжително вклучува еден член и негов заменик од редот на вработените во конкретното друштво. Иако ова не претставува класично учество во управување, сепак значи вклучување на вработените во процесот на кадровско селектирање на корпоративните органи.</w:t>
      </w:r>
      <w:r>
        <w:rPr>
          <w:lang w:val="mk-MK" w:eastAsia="zh-CN" w:bidi="hi-IN"/>
        </w:rPr>
        <w:t xml:space="preserve"> </w:t>
      </w:r>
    </w:p>
    <w:p w14:paraId="28CFF079" w14:textId="77777777" w:rsidR="000410C9" w:rsidRDefault="00633198" w:rsidP="00633198">
      <w:pPr>
        <w:pStyle w:val="BodyText"/>
        <w:spacing w:before="240"/>
        <w:ind w:firstLine="720"/>
        <w:jc w:val="both"/>
        <w:rPr>
          <w:lang w:val="mk-MK" w:eastAsia="zh-CN" w:bidi="hi-IN"/>
        </w:rPr>
      </w:pPr>
      <w:r w:rsidRPr="00633198">
        <w:rPr>
          <w:lang w:val="mk-MK" w:eastAsia="zh-CN" w:bidi="hi-IN"/>
        </w:rPr>
        <w:t xml:space="preserve">Ова решение претставува значаен чекор напред во реформата на корпоративното управување во јавниот сектор бидејќи за првпат ја институционализира улогата на вработените во постапката на избор на раководните и надзорните структури во државните друштва. Иако не станува збор за директно претставување во органите на управување по моделот на кодетерминација, сепак се воведува важен елемент на внатрешна демократизација и </w:t>
      </w:r>
      <w:r w:rsidRPr="00A44B7B">
        <w:rPr>
          <w:i/>
          <w:iCs/>
          <w:lang w:val="mk-MK" w:eastAsia="zh-CN" w:bidi="hi-IN"/>
        </w:rPr>
        <w:t>participatory governance</w:t>
      </w:r>
      <w:r w:rsidRPr="00633198">
        <w:rPr>
          <w:lang w:val="mk-MK" w:eastAsia="zh-CN" w:bidi="hi-IN"/>
        </w:rPr>
        <w:t xml:space="preserve">. Присуството на претставник од редот на вработените во Комисијата за човечки ресурси може да придонесе кон поголема транспарентност, подобра проценка на професионалните и етичките квалитети на кандидатите, како и намалување на ризикот од исклучиво политички или клиентелистички именувања. </w:t>
      </w:r>
    </w:p>
    <w:p w14:paraId="2691178B" w14:textId="282183F4" w:rsidR="00633198" w:rsidRPr="0035253D" w:rsidRDefault="00633198" w:rsidP="00356AAC">
      <w:pPr>
        <w:pStyle w:val="BodyText"/>
        <w:spacing w:before="240" w:after="240"/>
        <w:ind w:firstLine="720"/>
        <w:jc w:val="both"/>
        <w:rPr>
          <w:lang w:val="mk-MK" w:eastAsia="zh-CN" w:bidi="hi-IN"/>
        </w:rPr>
      </w:pPr>
      <w:r w:rsidRPr="00633198">
        <w:rPr>
          <w:lang w:val="mk-MK" w:eastAsia="zh-CN" w:bidi="hi-IN"/>
        </w:rPr>
        <w:t>Дополнително, ваквиот механизам ја признава легитимната заинтересираност на вработените за квалитетот на управувањето, бидејќи токму тие непосредно ги чувствуваат последиците од доброто или лошото раководење. Во таа смисла, одредбата претставува умерен, но суштински исчекор кон помодерен модел на државна сопственост заснован на отчетност, професионализација и вклучување на засегнатите страни.</w:t>
      </w:r>
    </w:p>
    <w:p w14:paraId="629DFA68" w14:textId="61A5757E" w:rsidR="003D1CFF" w:rsidRPr="00356AAC" w:rsidRDefault="003D1CFF" w:rsidP="00356AAC">
      <w:pPr>
        <w:pStyle w:val="Heading3"/>
        <w:numPr>
          <w:ilvl w:val="2"/>
          <w:numId w:val="70"/>
        </w:numPr>
        <w:spacing w:after="240"/>
        <w:rPr>
          <w:rFonts w:ascii="Times New Roman" w:hAnsi="Times New Roman" w:cs="Times New Roman"/>
          <w:i/>
          <w:iCs/>
          <w:color w:val="000000" w:themeColor="text1"/>
          <w:lang w:val="mk-MK"/>
        </w:rPr>
      </w:pPr>
      <w:bookmarkStart w:id="108" w:name="_Toc230523961"/>
      <w:r w:rsidRPr="00356AAC">
        <w:rPr>
          <w:rFonts w:ascii="Times New Roman" w:hAnsi="Times New Roman" w:cs="Times New Roman"/>
          <w:i/>
          <w:iCs/>
          <w:color w:val="000000" w:themeColor="text1"/>
          <w:lang w:val="mk-MK"/>
        </w:rPr>
        <w:t>Член 399 – Начин на избор на извршните членови</w:t>
      </w:r>
      <w:bookmarkEnd w:id="108"/>
    </w:p>
    <w:p w14:paraId="5FB59C28" w14:textId="061FA4DB" w:rsidR="003D1CFF" w:rsidRDefault="00AD5B8F" w:rsidP="007554E2">
      <w:pPr>
        <w:pStyle w:val="BodyText"/>
        <w:ind w:firstLine="720"/>
        <w:jc w:val="both"/>
        <w:rPr>
          <w:lang w:val="mk-MK" w:eastAsia="zh-CN" w:bidi="hi-IN"/>
        </w:rPr>
      </w:pPr>
      <w:r>
        <w:rPr>
          <w:lang w:val="mk-MK" w:eastAsia="zh-CN" w:bidi="hi-IN"/>
        </w:rPr>
        <w:t>Во однос на едностепениот систем</w:t>
      </w:r>
      <w:r w:rsidR="007554E2">
        <w:rPr>
          <w:lang w:val="mk-MK" w:eastAsia="zh-CN" w:bidi="hi-IN"/>
        </w:rPr>
        <w:t>, предлог-законот предвидува дека а</w:t>
      </w:r>
      <w:r w:rsidR="007554E2" w:rsidRPr="007554E2">
        <w:rPr>
          <w:lang w:val="mk-MK" w:eastAsia="zh-CN" w:bidi="hi-IN"/>
        </w:rPr>
        <w:t>ко одборот на директори има повеќе од еден извршен член, членовите со мнозинство гласови определуваат кој извршен член е посебно одговорен за прашањата на вработените и односите со нив.</w:t>
      </w:r>
      <w:r w:rsidR="00425246">
        <w:rPr>
          <w:rStyle w:val="FootnoteReference"/>
          <w:lang w:val="mk-MK" w:eastAsia="zh-CN" w:bidi="hi-IN"/>
        </w:rPr>
        <w:footnoteReference w:id="860"/>
      </w:r>
      <w:r w:rsidR="007554E2" w:rsidRPr="007554E2">
        <w:rPr>
          <w:lang w:val="mk-MK" w:eastAsia="zh-CN" w:bidi="hi-IN"/>
        </w:rPr>
        <w:t xml:space="preserve"> Ова не е директно учество на вработените, туку обврска еден извршен директор да биде задолжен за работничка проблематика.</w:t>
      </w:r>
    </w:p>
    <w:p w14:paraId="38E8E0C3" w14:textId="01822667" w:rsidR="00661E53" w:rsidRPr="003D1CFF" w:rsidRDefault="00661E53" w:rsidP="00E80AAE">
      <w:pPr>
        <w:pStyle w:val="BodyText"/>
        <w:spacing w:before="240" w:after="240"/>
        <w:ind w:firstLine="720"/>
        <w:jc w:val="both"/>
        <w:rPr>
          <w:lang w:val="mk-MK" w:eastAsia="zh-CN" w:bidi="hi-IN"/>
        </w:rPr>
      </w:pPr>
      <w:r>
        <w:rPr>
          <w:lang w:val="mk-MK" w:eastAsia="zh-CN" w:bidi="hi-IN"/>
        </w:rPr>
        <w:t xml:space="preserve">Повторно, отсуствува конкрената заложба на законодавецот да заземе став и да ја смести Македонија во некој од системи со учество на вработените. </w:t>
      </w:r>
    </w:p>
    <w:p w14:paraId="1DCCB904" w14:textId="07310CF3" w:rsidR="008A4326" w:rsidRPr="00E80AAE" w:rsidRDefault="008A4326" w:rsidP="00E80AAE">
      <w:pPr>
        <w:pStyle w:val="Heading3"/>
        <w:numPr>
          <w:ilvl w:val="2"/>
          <w:numId w:val="70"/>
        </w:numPr>
        <w:spacing w:after="240"/>
        <w:rPr>
          <w:rFonts w:ascii="Times New Roman" w:hAnsi="Times New Roman" w:cs="Times New Roman"/>
          <w:i/>
          <w:iCs/>
          <w:color w:val="000000" w:themeColor="text1"/>
          <w:lang w:val="mk-MK"/>
        </w:rPr>
      </w:pPr>
      <w:bookmarkStart w:id="109" w:name="_Toc230523962"/>
      <w:r w:rsidRPr="00E80AAE">
        <w:rPr>
          <w:rFonts w:ascii="Times New Roman" w:hAnsi="Times New Roman" w:cs="Times New Roman"/>
          <w:i/>
          <w:iCs/>
          <w:color w:val="000000" w:themeColor="text1"/>
          <w:lang w:val="mk-MK"/>
        </w:rPr>
        <w:t xml:space="preserve">Член 413 – </w:t>
      </w:r>
      <w:r w:rsidR="00FF1669" w:rsidRPr="00E80AAE">
        <w:rPr>
          <w:rFonts w:ascii="Times New Roman" w:hAnsi="Times New Roman" w:cs="Times New Roman"/>
          <w:i/>
          <w:iCs/>
          <w:color w:val="000000" w:themeColor="text1"/>
          <w:lang w:val="mk-MK"/>
        </w:rPr>
        <w:t>Застапување на друштвото</w:t>
      </w:r>
      <w:bookmarkEnd w:id="109"/>
    </w:p>
    <w:p w14:paraId="7C818DD3" w14:textId="2731A088" w:rsidR="00FF1669" w:rsidRPr="00FF1669" w:rsidRDefault="00483144" w:rsidP="00E80AAE">
      <w:pPr>
        <w:pStyle w:val="BodyText"/>
        <w:spacing w:after="240"/>
        <w:ind w:firstLine="720"/>
        <w:jc w:val="both"/>
        <w:rPr>
          <w:lang w:val="mk-MK" w:eastAsia="zh-CN" w:bidi="hi-IN"/>
        </w:rPr>
      </w:pPr>
      <w:r>
        <w:rPr>
          <w:lang w:val="mk-MK" w:eastAsia="zh-CN" w:bidi="hi-IN"/>
        </w:rPr>
        <w:t xml:space="preserve">Во слична линија како и претходниот член, </w:t>
      </w:r>
      <w:r w:rsidR="003B5764">
        <w:rPr>
          <w:lang w:val="mk-MK" w:eastAsia="zh-CN" w:bidi="hi-IN"/>
        </w:rPr>
        <w:t>н</w:t>
      </w:r>
      <w:r w:rsidRPr="00483144">
        <w:rPr>
          <w:lang w:val="mk-MK" w:eastAsia="zh-CN" w:bidi="hi-IN"/>
        </w:rPr>
        <w:t xml:space="preserve">адзорниот одбор определува кој член на управниот одбор е посебно одговорен за прашањата на вработените и за </w:t>
      </w:r>
      <w:r w:rsidRPr="00483144">
        <w:rPr>
          <w:lang w:val="mk-MK" w:eastAsia="zh-CN" w:bidi="hi-IN"/>
        </w:rPr>
        <w:lastRenderedPageBreak/>
        <w:t>односите со нив.</w:t>
      </w:r>
      <w:r w:rsidR="003B5764">
        <w:rPr>
          <w:rStyle w:val="FootnoteReference"/>
          <w:lang w:val="mk-MK" w:eastAsia="zh-CN" w:bidi="hi-IN"/>
        </w:rPr>
        <w:footnoteReference w:id="861"/>
      </w:r>
      <w:r w:rsidRPr="00483144">
        <w:rPr>
          <w:lang w:val="mk-MK" w:eastAsia="zh-CN" w:bidi="hi-IN"/>
        </w:rPr>
        <w:t xml:space="preserve"> Истата логика како кај едностепениот систем.</w:t>
      </w:r>
      <w:r w:rsidR="003B5764">
        <w:rPr>
          <w:lang w:val="mk-MK" w:eastAsia="zh-CN" w:bidi="hi-IN"/>
        </w:rPr>
        <w:t xml:space="preserve"> </w:t>
      </w:r>
    </w:p>
    <w:p w14:paraId="191A8061" w14:textId="2EC4B412" w:rsidR="00F3257A" w:rsidRPr="00E80AAE" w:rsidRDefault="00F3257A" w:rsidP="00E80AAE">
      <w:pPr>
        <w:pStyle w:val="Heading3"/>
        <w:numPr>
          <w:ilvl w:val="2"/>
          <w:numId w:val="70"/>
        </w:numPr>
        <w:rPr>
          <w:rFonts w:ascii="Times New Roman" w:hAnsi="Times New Roman" w:cs="Times New Roman"/>
          <w:i/>
          <w:iCs/>
          <w:color w:val="000000" w:themeColor="text1"/>
          <w:lang w:val="mk-MK"/>
        </w:rPr>
      </w:pPr>
      <w:bookmarkStart w:id="110" w:name="_Toc230523963"/>
      <w:r w:rsidRPr="00E80AAE">
        <w:rPr>
          <w:rFonts w:ascii="Times New Roman" w:hAnsi="Times New Roman" w:cs="Times New Roman"/>
          <w:i/>
          <w:iCs/>
          <w:color w:val="000000" w:themeColor="text1"/>
          <w:lang w:val="mk-MK"/>
        </w:rPr>
        <w:t xml:space="preserve">Член 548 – </w:t>
      </w:r>
      <w:r w:rsidR="004E4CFF" w:rsidRPr="00E80AAE">
        <w:rPr>
          <w:rFonts w:ascii="Times New Roman" w:hAnsi="Times New Roman" w:cs="Times New Roman"/>
          <w:i/>
          <w:iCs/>
          <w:color w:val="000000" w:themeColor="text1"/>
          <w:lang w:val="mk-MK"/>
        </w:rPr>
        <w:t>Посебни резерви заради покривање загуби или други издатоци</w:t>
      </w:r>
      <w:bookmarkEnd w:id="110"/>
    </w:p>
    <w:p w14:paraId="6E0CA6ED" w14:textId="6FDCD767" w:rsidR="004E4CFF" w:rsidRPr="004E4CFF" w:rsidRDefault="00E219E1" w:rsidP="00E80AAE">
      <w:pPr>
        <w:pStyle w:val="BodyText"/>
        <w:spacing w:before="240" w:after="240"/>
        <w:ind w:firstLine="720"/>
        <w:jc w:val="both"/>
        <w:rPr>
          <w:lang w:val="mk-MK" w:eastAsia="zh-CN" w:bidi="hi-IN"/>
        </w:rPr>
      </w:pPr>
      <w:r>
        <w:rPr>
          <w:lang w:val="mk-MK"/>
        </w:rPr>
        <w:t>Ч</w:t>
      </w:r>
      <w:r w:rsidRPr="00E219E1">
        <w:rPr>
          <w:lang w:val="mk-MK"/>
        </w:rPr>
        <w:t>лен 548 став 2 овозможува со договорот за друштвото да се формираат посебни резерви за пензија, осигурување од ризик или добротворни цели на вработените. Особено значајно е што во управувањето со овие резерви учествуваат и претставници на лицата за кои средствата се наменети, што претставува редок пример на институционализирано учество на вработените во управување со корпоративни средства.</w:t>
      </w:r>
      <w:r w:rsidR="00E62FFA">
        <w:rPr>
          <w:lang w:val="mk-MK"/>
        </w:rPr>
        <w:t xml:space="preserve"> Тоа го прави овој чекор многу посакувано техничко решение за спроведување на реформата. </w:t>
      </w:r>
      <w:r w:rsidR="00370622">
        <w:rPr>
          <w:lang w:val="mk-MK"/>
        </w:rPr>
        <w:t xml:space="preserve"> </w:t>
      </w:r>
    </w:p>
    <w:p w14:paraId="7B4ABDC5" w14:textId="3A380F86" w:rsidR="00A81AC3" w:rsidRPr="00E80AAE" w:rsidRDefault="00A81AC3" w:rsidP="00E80AAE">
      <w:pPr>
        <w:pStyle w:val="Heading3"/>
        <w:numPr>
          <w:ilvl w:val="2"/>
          <w:numId w:val="70"/>
        </w:numPr>
        <w:rPr>
          <w:rFonts w:ascii="Times New Roman" w:hAnsi="Times New Roman" w:cs="Times New Roman"/>
          <w:i/>
          <w:iCs/>
          <w:color w:val="000000" w:themeColor="text1"/>
          <w:lang w:val="mk-MK"/>
        </w:rPr>
      </w:pPr>
      <w:bookmarkStart w:id="111" w:name="_Toc230523964"/>
      <w:r w:rsidRPr="00E80AAE">
        <w:rPr>
          <w:rFonts w:ascii="Times New Roman" w:hAnsi="Times New Roman" w:cs="Times New Roman"/>
          <w:i/>
          <w:iCs/>
          <w:color w:val="000000" w:themeColor="text1"/>
          <w:lang w:val="mk-MK"/>
        </w:rPr>
        <w:t xml:space="preserve">Член </w:t>
      </w:r>
      <w:r w:rsidR="00797081" w:rsidRPr="00E80AAE">
        <w:rPr>
          <w:rFonts w:ascii="Times New Roman" w:hAnsi="Times New Roman" w:cs="Times New Roman"/>
          <w:i/>
          <w:iCs/>
          <w:color w:val="000000" w:themeColor="text1"/>
          <w:lang w:val="mk-MK"/>
        </w:rPr>
        <w:t>57</w:t>
      </w:r>
      <w:r w:rsidRPr="00E80AAE">
        <w:rPr>
          <w:rFonts w:ascii="Times New Roman" w:hAnsi="Times New Roman" w:cs="Times New Roman"/>
          <w:i/>
          <w:iCs/>
          <w:color w:val="000000" w:themeColor="text1"/>
          <w:lang w:val="mk-MK"/>
        </w:rPr>
        <w:t xml:space="preserve">9 – </w:t>
      </w:r>
      <w:r w:rsidR="003D2C26" w:rsidRPr="00E80AAE">
        <w:rPr>
          <w:rFonts w:ascii="Times New Roman" w:hAnsi="Times New Roman" w:cs="Times New Roman"/>
          <w:i/>
          <w:iCs/>
          <w:color w:val="000000" w:themeColor="text1"/>
          <w:lang w:val="mk-MK"/>
        </w:rPr>
        <w:t>Останати договори помеѓу друштвата</w:t>
      </w:r>
      <w:bookmarkEnd w:id="111"/>
    </w:p>
    <w:p w14:paraId="2ACB43C0" w14:textId="51E18C70" w:rsidR="00842D09" w:rsidRPr="00730085" w:rsidRDefault="00525A0D" w:rsidP="00730085">
      <w:pPr>
        <w:pStyle w:val="BodyText"/>
        <w:spacing w:before="240" w:after="240"/>
        <w:ind w:firstLine="720"/>
        <w:jc w:val="both"/>
        <w:rPr>
          <w:rFonts w:eastAsiaTheme="majorEastAsia"/>
          <w:i/>
          <w:iCs/>
          <w:color w:val="000000" w:themeColor="text1"/>
          <w:lang w:val="mk-MK"/>
        </w:rPr>
      </w:pPr>
      <w:r w:rsidRPr="00525A0D">
        <w:rPr>
          <w:lang w:val="mk-MK"/>
        </w:rPr>
        <w:t>Во доменот на финансиското учество, член 579 став 2 внесува важна промена со тоа што договорите со поединечни вработени за нивно учество во добивката не се третираат како договори за делумен пренос на добивка, кои инаку подлежат на строги формални услови и квалификувано мнозинство</w:t>
      </w:r>
      <w:r w:rsidR="00863F99">
        <w:rPr>
          <w:lang w:val="mk-MK"/>
        </w:rPr>
        <w:t xml:space="preserve"> од три-четвртини</w:t>
      </w:r>
      <w:r w:rsidRPr="00525A0D">
        <w:rPr>
          <w:lang w:val="mk-MK"/>
        </w:rPr>
        <w:t xml:space="preserve">. Ова решение создава поедноставен правен режим за </w:t>
      </w:r>
      <w:r w:rsidRPr="005B0052">
        <w:rPr>
          <w:i/>
          <w:iCs/>
          <w:lang w:val="mk-MK"/>
        </w:rPr>
        <w:t>profit-sharing arrangements</w:t>
      </w:r>
      <w:r w:rsidRPr="00525A0D">
        <w:rPr>
          <w:lang w:val="mk-MK"/>
        </w:rPr>
        <w:t xml:space="preserve"> и ја олеснува употребата на бонус модели поврзани со деловниот успех</w:t>
      </w:r>
      <w:r w:rsidR="005B0052">
        <w:rPr>
          <w:lang w:val="mk-MK"/>
        </w:rPr>
        <w:t xml:space="preserve"> и како такво е добредојдено во генералната реформа. </w:t>
      </w:r>
      <w:r w:rsidR="002C5DA8">
        <w:rPr>
          <w:lang w:val="mk-MK"/>
        </w:rPr>
        <w:t xml:space="preserve">Практично, </w:t>
      </w:r>
      <w:r w:rsidR="00863F99">
        <w:rPr>
          <w:lang w:val="mk-MK"/>
        </w:rPr>
        <w:t>тоа значи дека д</w:t>
      </w:r>
      <w:r w:rsidR="002C5DA8" w:rsidRPr="002C5DA8">
        <w:rPr>
          <w:lang w:val="mk-MK"/>
        </w:rPr>
        <w:t>руштвото може со индивидуални договори со вработени да им обезбеди учество во добивката без строгите правила за меѓу</w:t>
      </w:r>
      <w:r w:rsidR="00717B37">
        <w:rPr>
          <w:lang w:val="mk-MK"/>
        </w:rPr>
        <w:t>-</w:t>
      </w:r>
      <w:r w:rsidR="002C5DA8" w:rsidRPr="002C5DA8">
        <w:rPr>
          <w:lang w:val="mk-MK"/>
        </w:rPr>
        <w:t>компаниски договори.</w:t>
      </w:r>
    </w:p>
    <w:p w14:paraId="52F2F5C4" w14:textId="124A4455" w:rsidR="00842D09" w:rsidRPr="00884503" w:rsidRDefault="00243314" w:rsidP="00730085">
      <w:pPr>
        <w:pStyle w:val="Heading2"/>
        <w:numPr>
          <w:ilvl w:val="1"/>
          <w:numId w:val="70"/>
        </w:numPr>
        <w:spacing w:before="0"/>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112" w:name="_Toc230523965"/>
      <w:r>
        <w:rPr>
          <w:rFonts w:ascii="Times New Roman" w:hAnsi="Times New Roman" w:cs="Times New Roman"/>
          <w:b w:val="0"/>
          <w:bCs w:val="0"/>
          <w:color w:val="000000" w:themeColor="text1"/>
          <w:sz w:val="24"/>
          <w:szCs w:val="24"/>
          <w:lang w:val="mk-MK"/>
        </w:rPr>
        <w:t>Промени поврзани со т</w:t>
      </w:r>
      <w:r w:rsidRPr="00243314">
        <w:rPr>
          <w:rFonts w:ascii="Times New Roman" w:hAnsi="Times New Roman" w:cs="Times New Roman"/>
          <w:b w:val="0"/>
          <w:bCs w:val="0"/>
          <w:color w:val="000000" w:themeColor="text1"/>
          <w:sz w:val="24"/>
          <w:szCs w:val="24"/>
          <w:lang w:val="mk-MK"/>
        </w:rPr>
        <w:t>ранспарентност</w:t>
      </w:r>
      <w:r>
        <w:rPr>
          <w:rFonts w:ascii="Times New Roman" w:hAnsi="Times New Roman" w:cs="Times New Roman"/>
          <w:b w:val="0"/>
          <w:bCs w:val="0"/>
          <w:color w:val="000000" w:themeColor="text1"/>
          <w:sz w:val="24"/>
          <w:szCs w:val="24"/>
          <w:lang w:val="mk-MK"/>
        </w:rPr>
        <w:t>а</w:t>
      </w:r>
      <w:r w:rsidRPr="00243314">
        <w:rPr>
          <w:rFonts w:ascii="Times New Roman" w:hAnsi="Times New Roman" w:cs="Times New Roman"/>
          <w:b w:val="0"/>
          <w:bCs w:val="0"/>
          <w:color w:val="000000" w:themeColor="text1"/>
          <w:sz w:val="24"/>
          <w:szCs w:val="24"/>
          <w:lang w:val="mk-MK"/>
        </w:rPr>
        <w:t xml:space="preserve"> на наградувањето поврзана со вработените</w:t>
      </w:r>
      <w:bookmarkEnd w:id="112"/>
    </w:p>
    <w:p w14:paraId="4FD741BF" w14:textId="77777777" w:rsidR="007D293E" w:rsidRDefault="00294B96" w:rsidP="00294B96">
      <w:pPr>
        <w:pStyle w:val="BodyText"/>
        <w:spacing w:before="240" w:after="240"/>
        <w:ind w:firstLine="720"/>
        <w:jc w:val="both"/>
        <w:rPr>
          <w:lang w:val="mk-MK"/>
        </w:rPr>
      </w:pPr>
      <w:r w:rsidRPr="00294B96">
        <w:rPr>
          <w:lang w:val="mk-MK"/>
        </w:rPr>
        <w:t xml:space="preserve">Транспарентноста на наградувањето поврзана со вработените е важна затоа што овозможува појасна слика за односот </w:t>
      </w:r>
      <w:r w:rsidR="007D293E">
        <w:rPr>
          <w:lang w:val="mk-MK"/>
        </w:rPr>
        <w:t>по</w:t>
      </w:r>
      <w:r w:rsidRPr="00294B96">
        <w:rPr>
          <w:lang w:val="mk-MK"/>
        </w:rPr>
        <w:t xml:space="preserve">меѓу примањата на раководството и примањата на работниците, спречува прекумерни и неоправдани менаџерски надоместоци и ја зајакнува довербата во корпоративното управување. Кога друштвото јавно објаснува како платите и условите за работа на вработените биле земени предвид при утврдување на наградите на директорите, се поттикнува поголема правичност, отчетност и социјална одговорност. </w:t>
      </w:r>
    </w:p>
    <w:p w14:paraId="3A6D64BD" w14:textId="11BE7470" w:rsidR="005D15D7" w:rsidRDefault="00294B96" w:rsidP="00294B96">
      <w:pPr>
        <w:pStyle w:val="BodyText"/>
        <w:spacing w:before="240" w:after="240"/>
        <w:ind w:firstLine="720"/>
        <w:jc w:val="both"/>
        <w:rPr>
          <w:lang w:val="mk-MK"/>
        </w:rPr>
      </w:pPr>
      <w:r w:rsidRPr="00294B96">
        <w:rPr>
          <w:lang w:val="mk-MK"/>
        </w:rPr>
        <w:t xml:space="preserve">Дополнително, споредбата </w:t>
      </w:r>
      <w:r w:rsidR="007D293E">
        <w:rPr>
          <w:lang w:val="mk-MK"/>
        </w:rPr>
        <w:t>по</w:t>
      </w:r>
      <w:r w:rsidRPr="00294B96">
        <w:rPr>
          <w:lang w:val="mk-MK"/>
        </w:rPr>
        <w:t>меѓу растот на менаџерските примања, деловните резултати и просечните плати на вработените овозможува акционерите, јавноста и самите вработени да оценат дали системот на наградување е разумен и одржлив.</w:t>
      </w:r>
      <w:r>
        <w:rPr>
          <w:lang w:val="mk-MK"/>
        </w:rPr>
        <w:t xml:space="preserve"> </w:t>
      </w:r>
      <w:r w:rsidR="006A63E3" w:rsidRPr="006A63E3">
        <w:rPr>
          <w:lang w:val="mk-MK"/>
        </w:rPr>
        <w:t xml:space="preserve">Со предложените измени, Македонија очигледно настојува да се приближи кон современите европски стандарди на корпоративно управување, особено во делот на ESG принципите, отчетноста и заштитата на засегнатите страни. Намерата е да се намали јазот </w:t>
      </w:r>
      <w:r w:rsidR="006A63E3">
        <w:rPr>
          <w:lang w:val="mk-MK"/>
        </w:rPr>
        <w:t>по</w:t>
      </w:r>
      <w:r w:rsidR="006A63E3" w:rsidRPr="006A63E3">
        <w:rPr>
          <w:lang w:val="mk-MK"/>
        </w:rPr>
        <w:t>меѓу менаџментот и работната сила, да се спречат злоупотреби во наградувањето и да се создаде покредибилен и поодговорен корпоративен сектор, особено кај котираните и јавните друштва.</w:t>
      </w:r>
      <w:r w:rsidR="005D15D7">
        <w:rPr>
          <w:rStyle w:val="FootnoteReference"/>
          <w:lang w:val="mk-MK"/>
        </w:rPr>
        <w:footnoteReference w:id="862"/>
      </w:r>
      <w:r w:rsidR="005D15D7">
        <w:rPr>
          <w:lang w:val="mk-MK"/>
        </w:rPr>
        <w:t xml:space="preserve"> </w:t>
      </w:r>
    </w:p>
    <w:p w14:paraId="3A19D292" w14:textId="77777777" w:rsidR="005A5E74" w:rsidRDefault="005D15D7" w:rsidP="00780D5B">
      <w:pPr>
        <w:pStyle w:val="BodyText"/>
        <w:spacing w:before="240" w:after="240"/>
        <w:ind w:firstLine="720"/>
        <w:jc w:val="both"/>
        <w:rPr>
          <w:lang w:val="mk-MK"/>
        </w:rPr>
      </w:pPr>
      <w:r>
        <w:rPr>
          <w:lang w:val="mk-MK"/>
        </w:rPr>
        <w:t>Сепак, како и во најголем дел од претходно анализираните одредби, недостасуваат конкретни чекори кои ја прават реформата целосна и лесно спроведлива.</w:t>
      </w:r>
      <w:r w:rsidR="003F7565">
        <w:rPr>
          <w:lang w:val="mk-MK"/>
        </w:rPr>
        <w:t xml:space="preserve"> </w:t>
      </w:r>
      <w:r w:rsidR="003F7565">
        <w:rPr>
          <w:lang w:val="mk-MK"/>
        </w:rPr>
        <w:lastRenderedPageBreak/>
        <w:t>За разлика од тоа, н</w:t>
      </w:r>
      <w:r w:rsidR="003F7565" w:rsidRPr="003F7565">
        <w:rPr>
          <w:lang w:val="mk-MK"/>
        </w:rPr>
        <w:t xml:space="preserve">ајразвиени решенија за учество на вработените се содржани во делот за прекугранични операции, односно прекугранична преобразба, спојување и поделба. Во овие случаи законот воспоставува тристепен модел составен од информирање, консултирање и учество во одлучувањето. Доколку се исполнети одредени услови, особено праг од 500 вработени и претходно постоење систем на учество, се активираат специјални правила што гарантираат најмалку една третина претставници на вработените во органите на управување или надзор, како и четиригодишна заштита на стекнатите права по спроведената операција. </w:t>
      </w:r>
    </w:p>
    <w:p w14:paraId="5C7FFDDE" w14:textId="34735A91" w:rsidR="005A5E74" w:rsidRDefault="003F7565" w:rsidP="00780D5B">
      <w:pPr>
        <w:pStyle w:val="BodyText"/>
        <w:spacing w:before="240" w:after="240"/>
        <w:ind w:firstLine="720"/>
        <w:jc w:val="both"/>
        <w:rPr>
          <w:lang w:val="mk-MK"/>
        </w:rPr>
      </w:pPr>
      <w:r w:rsidRPr="003F7565">
        <w:rPr>
          <w:lang w:val="mk-MK"/>
        </w:rPr>
        <w:t xml:space="preserve">Овие одредби претставуваат јасна транспозиција на европските стандарди во областа на </w:t>
      </w:r>
      <w:r w:rsidR="005A5E74">
        <w:rPr>
          <w:lang w:val="mk-MK"/>
        </w:rPr>
        <w:t>учество на вработените, но сериозно се наметнува прашањето зошто истите решенија не можеле да бидат пресликани во домашното законодавство што не вклучува прекугранични операции?</w:t>
      </w:r>
    </w:p>
    <w:p w14:paraId="2FE4F541" w14:textId="473D26E2" w:rsidR="00446770" w:rsidRPr="00BD316A" w:rsidRDefault="00446770" w:rsidP="00446770">
      <w:pPr>
        <w:pStyle w:val="Heading3"/>
        <w:numPr>
          <w:ilvl w:val="2"/>
          <w:numId w:val="70"/>
        </w:numPr>
        <w:rPr>
          <w:rFonts w:ascii="Times New Roman" w:hAnsi="Times New Roman" w:cs="Times New Roman"/>
          <w:i/>
          <w:iCs/>
          <w:color w:val="000000" w:themeColor="text1"/>
          <w:lang w:val="mk-MK"/>
        </w:rPr>
      </w:pPr>
      <w:bookmarkStart w:id="113" w:name="_Toc230523966"/>
      <w:r>
        <w:rPr>
          <w:rFonts w:ascii="Times New Roman" w:hAnsi="Times New Roman" w:cs="Times New Roman"/>
          <w:i/>
          <w:iCs/>
          <w:color w:val="000000" w:themeColor="text1"/>
          <w:lang w:val="mk-MK"/>
        </w:rPr>
        <w:t>Член 252 –</w:t>
      </w:r>
      <w:r w:rsidRPr="00446770">
        <w:t xml:space="preserve"> </w:t>
      </w:r>
      <w:r w:rsidRPr="00446770">
        <w:rPr>
          <w:rFonts w:ascii="Times New Roman" w:hAnsi="Times New Roman" w:cs="Times New Roman"/>
          <w:i/>
          <w:iCs/>
          <w:color w:val="000000" w:themeColor="text1"/>
          <w:lang w:val="mk-MK"/>
        </w:rPr>
        <w:t>Награда на членовите на органот на надзор во друштва</w:t>
      </w:r>
      <w:r>
        <w:rPr>
          <w:rFonts w:ascii="Times New Roman" w:hAnsi="Times New Roman" w:cs="Times New Roman"/>
          <w:i/>
          <w:iCs/>
          <w:color w:val="000000" w:themeColor="text1"/>
          <w:lang w:val="mk-MK"/>
        </w:rPr>
        <w:t xml:space="preserve"> </w:t>
      </w:r>
      <w:r w:rsidRPr="00446770">
        <w:rPr>
          <w:rFonts w:ascii="Times New Roman" w:hAnsi="Times New Roman" w:cs="Times New Roman"/>
          <w:i/>
          <w:iCs/>
          <w:color w:val="000000" w:themeColor="text1"/>
          <w:lang w:val="mk-MK"/>
        </w:rPr>
        <w:t>во доминантна или во целосна државна сопственост</w:t>
      </w:r>
      <w:bookmarkEnd w:id="113"/>
      <w:r>
        <w:rPr>
          <w:rFonts w:ascii="Times New Roman" w:hAnsi="Times New Roman" w:cs="Times New Roman"/>
          <w:i/>
          <w:iCs/>
          <w:color w:val="000000" w:themeColor="text1"/>
          <w:lang w:val="mk-MK"/>
        </w:rPr>
        <w:t xml:space="preserve"> </w:t>
      </w:r>
    </w:p>
    <w:p w14:paraId="6137757B" w14:textId="4EFAD87A" w:rsidR="00BD316A" w:rsidRDefault="00DE4F5E" w:rsidP="00BD316A">
      <w:pPr>
        <w:pStyle w:val="BodyText"/>
        <w:spacing w:before="240" w:after="240"/>
        <w:ind w:firstLine="720"/>
        <w:jc w:val="both"/>
        <w:rPr>
          <w:lang w:val="mk-MK"/>
        </w:rPr>
      </w:pPr>
      <w:r w:rsidRPr="00DE4F5E">
        <w:rPr>
          <w:lang w:val="mk-MK"/>
        </w:rPr>
        <w:t>Членовите на надзорниот одбор во ДОО во доминантна или целосна државна сопственост имаат право на надоместок по седница до една третина од просечната нето плата на вработените во друштвото исплатена претходната година. Висината ја утврдува Владата или општината/градот Скопје.</w:t>
      </w:r>
    </w:p>
    <w:p w14:paraId="580E0CE5" w14:textId="77777777" w:rsidR="005A5168" w:rsidRDefault="00DA33C2" w:rsidP="00BD316A">
      <w:pPr>
        <w:pStyle w:val="BodyText"/>
        <w:spacing w:before="240" w:after="240"/>
        <w:ind w:firstLine="720"/>
        <w:jc w:val="both"/>
        <w:rPr>
          <w:lang w:val="mk-MK"/>
        </w:rPr>
      </w:pPr>
      <w:r w:rsidRPr="00DA33C2">
        <w:rPr>
          <w:lang w:val="mk-MK"/>
        </w:rPr>
        <w:t xml:space="preserve">Ова решение е од непосреден интерес за вработените затоа што висината на надоместокот на членовите на надзорниот одбор ја врзува со просечната нето плата на вработените во самото друштво, со што се создава пофер и посоцијално чувствителна врска </w:t>
      </w:r>
      <w:r w:rsidR="005A5168">
        <w:rPr>
          <w:lang w:val="mk-MK"/>
        </w:rPr>
        <w:t>по</w:t>
      </w:r>
      <w:r w:rsidRPr="00DA33C2">
        <w:rPr>
          <w:lang w:val="mk-MK"/>
        </w:rPr>
        <w:t xml:space="preserve">меѓу управувачките привилегии и состојбата на работната сила. На тој начин се ограничува можноста за прекумерни надоместоци на надзорните органи во јавните претпријатија, особено во ситуации кога платите на вработените стагнираат или условите за работа се незадоволителни. </w:t>
      </w:r>
    </w:p>
    <w:p w14:paraId="03ED1F7E" w14:textId="70324807" w:rsidR="00DA33C2" w:rsidRPr="00446770" w:rsidRDefault="00DA33C2" w:rsidP="00BD316A">
      <w:pPr>
        <w:pStyle w:val="BodyText"/>
        <w:spacing w:before="240" w:after="240"/>
        <w:ind w:firstLine="720"/>
        <w:jc w:val="both"/>
        <w:rPr>
          <w:lang w:val="mk-MK"/>
        </w:rPr>
      </w:pPr>
      <w:r w:rsidRPr="00DA33C2">
        <w:rPr>
          <w:lang w:val="mk-MK"/>
        </w:rPr>
        <w:t xml:space="preserve">Истовремено, ваквиот модел може индиректно да создаде поттик раководните структури да бидат заинтересирани за подобрување на примањата и стабилноста на вработените бидејќи нивниот надоместок е поврзан со нивото на просечната плата во друштвото. Во поширока смисла, одредбата придонесува кон чувство на правичност, рационално трошење на јавни средства и намалување на јазот </w:t>
      </w:r>
      <w:r w:rsidR="005A5168">
        <w:rPr>
          <w:lang w:val="mk-MK"/>
        </w:rPr>
        <w:t>по</w:t>
      </w:r>
      <w:r w:rsidRPr="00DA33C2">
        <w:rPr>
          <w:lang w:val="mk-MK"/>
        </w:rPr>
        <w:t>меѓу управувачките органи и вработените.</w:t>
      </w:r>
    </w:p>
    <w:p w14:paraId="0DF153EE" w14:textId="2D2CD421" w:rsidR="00053F77" w:rsidRPr="00E80AAE" w:rsidRDefault="00053F77" w:rsidP="00053F77">
      <w:pPr>
        <w:pStyle w:val="Heading3"/>
        <w:numPr>
          <w:ilvl w:val="2"/>
          <w:numId w:val="70"/>
        </w:numPr>
        <w:rPr>
          <w:rFonts w:ascii="Times New Roman" w:hAnsi="Times New Roman" w:cs="Times New Roman"/>
          <w:i/>
          <w:iCs/>
          <w:color w:val="000000" w:themeColor="text1"/>
          <w:lang w:val="mk-MK"/>
        </w:rPr>
      </w:pPr>
      <w:bookmarkStart w:id="114" w:name="_Toc230523967"/>
      <w:r w:rsidRPr="00E80AAE">
        <w:rPr>
          <w:rFonts w:ascii="Times New Roman" w:hAnsi="Times New Roman" w:cs="Times New Roman"/>
          <w:i/>
          <w:iCs/>
          <w:color w:val="000000" w:themeColor="text1"/>
          <w:lang w:val="mk-MK"/>
        </w:rPr>
        <w:t xml:space="preserve">Член </w:t>
      </w:r>
      <w:r w:rsidR="006513D3">
        <w:rPr>
          <w:rFonts w:ascii="Times New Roman" w:hAnsi="Times New Roman" w:cs="Times New Roman"/>
          <w:i/>
          <w:iCs/>
          <w:color w:val="000000" w:themeColor="text1"/>
          <w:lang w:val="mk-MK"/>
        </w:rPr>
        <w:t>394</w:t>
      </w:r>
      <w:r w:rsidRPr="00E80AAE">
        <w:rPr>
          <w:rFonts w:ascii="Times New Roman" w:hAnsi="Times New Roman" w:cs="Times New Roman"/>
          <w:i/>
          <w:iCs/>
          <w:color w:val="000000" w:themeColor="text1"/>
          <w:lang w:val="mk-MK"/>
        </w:rPr>
        <w:t xml:space="preserve"> </w:t>
      </w:r>
      <w:r w:rsidR="00446770">
        <w:rPr>
          <w:rFonts w:ascii="Times New Roman" w:hAnsi="Times New Roman" w:cs="Times New Roman"/>
          <w:i/>
          <w:iCs/>
          <w:color w:val="000000" w:themeColor="text1"/>
          <w:lang w:val="mk-MK"/>
        </w:rPr>
        <w:t>–</w:t>
      </w:r>
      <w:r w:rsidRPr="00E80AAE">
        <w:rPr>
          <w:rFonts w:ascii="Times New Roman" w:hAnsi="Times New Roman" w:cs="Times New Roman"/>
          <w:i/>
          <w:iCs/>
          <w:color w:val="000000" w:themeColor="text1"/>
          <w:lang w:val="mk-MK"/>
        </w:rPr>
        <w:t xml:space="preserve"> </w:t>
      </w:r>
      <w:r w:rsidR="001A22EA">
        <w:rPr>
          <w:rFonts w:ascii="Times New Roman" w:hAnsi="Times New Roman" w:cs="Times New Roman"/>
          <w:i/>
          <w:iCs/>
          <w:color w:val="000000" w:themeColor="text1"/>
          <w:lang w:val="mk-MK"/>
        </w:rPr>
        <w:t>Право на глас за политиката на наградување</w:t>
      </w:r>
      <w:bookmarkEnd w:id="114"/>
      <w:r w:rsidR="001A22EA">
        <w:rPr>
          <w:rFonts w:ascii="Times New Roman" w:hAnsi="Times New Roman" w:cs="Times New Roman"/>
          <w:i/>
          <w:iCs/>
          <w:color w:val="000000" w:themeColor="text1"/>
          <w:lang w:val="mk-MK"/>
        </w:rPr>
        <w:t xml:space="preserve"> </w:t>
      </w:r>
    </w:p>
    <w:p w14:paraId="7DA545B4" w14:textId="1ABDD771" w:rsidR="00053F77" w:rsidRDefault="00C16CFE" w:rsidP="00C16CFE">
      <w:pPr>
        <w:pStyle w:val="BodyText"/>
        <w:spacing w:before="240" w:after="240"/>
        <w:ind w:firstLine="720"/>
        <w:jc w:val="both"/>
        <w:rPr>
          <w:lang w:val="mk-MK"/>
        </w:rPr>
      </w:pPr>
      <w:r>
        <w:rPr>
          <w:lang w:val="mk-MK"/>
        </w:rPr>
        <w:t>Ставот 8 од член 394 предвидува дека п</w:t>
      </w:r>
      <w:r w:rsidRPr="00C16CFE">
        <w:rPr>
          <w:lang w:val="mk-MK"/>
        </w:rPr>
        <w:t>олитиката за наградување на членовите на органите на управување и надзорниот одбор кај котирани друштва мора да содржи објаснување како биле земени предвид платите и условите за работа на вработените при утврдувањето на политиката.</w:t>
      </w:r>
    </w:p>
    <w:p w14:paraId="296FC473" w14:textId="77777777" w:rsidR="00BA42A1" w:rsidRDefault="00BA42A1" w:rsidP="00C16CFE">
      <w:pPr>
        <w:pStyle w:val="BodyText"/>
        <w:spacing w:before="240" w:after="240"/>
        <w:ind w:firstLine="720"/>
        <w:jc w:val="both"/>
        <w:rPr>
          <w:lang w:val="mk-MK"/>
        </w:rPr>
      </w:pPr>
      <w:r w:rsidRPr="00BA42A1">
        <w:rPr>
          <w:lang w:val="mk-MK"/>
        </w:rPr>
        <w:t xml:space="preserve">Ова решение е позитивно бидејќи ја проширува политиката за наградување надвор од тесниот интерес на раководството и ја поврзува со пошироката внатрешна структура на друштвото. Обврската да се објасни како биле земени предвид платите и условите за работа на вработените создава поголема транспарентност, спречува изолирано определување на високи менаџерски надоместоци и поттикнува чувство на правичност </w:t>
      </w:r>
      <w:r>
        <w:rPr>
          <w:lang w:val="mk-MK"/>
        </w:rPr>
        <w:t>по</w:t>
      </w:r>
      <w:r w:rsidRPr="00BA42A1">
        <w:rPr>
          <w:lang w:val="mk-MK"/>
        </w:rPr>
        <w:t xml:space="preserve">меѓу работниците и менаџментот. </w:t>
      </w:r>
    </w:p>
    <w:p w14:paraId="74304443" w14:textId="257EC589" w:rsidR="00BA42A1" w:rsidRPr="004E4CFF" w:rsidRDefault="00BA42A1" w:rsidP="00FF2C89">
      <w:pPr>
        <w:pStyle w:val="BodyText"/>
        <w:spacing w:before="240" w:after="240"/>
        <w:ind w:firstLine="720"/>
        <w:jc w:val="both"/>
        <w:rPr>
          <w:lang w:val="mk-MK"/>
        </w:rPr>
      </w:pPr>
      <w:r w:rsidRPr="00BA42A1">
        <w:rPr>
          <w:lang w:val="mk-MK"/>
        </w:rPr>
        <w:lastRenderedPageBreak/>
        <w:t xml:space="preserve">На </w:t>
      </w:r>
      <w:r>
        <w:rPr>
          <w:lang w:val="mk-MK"/>
        </w:rPr>
        <w:t>овој</w:t>
      </w:r>
      <w:r w:rsidRPr="00BA42A1">
        <w:rPr>
          <w:lang w:val="mk-MK"/>
        </w:rPr>
        <w:t xml:space="preserve"> начин се јакне отчетноста пред акционерите, се намалува ризикот од прекумерен јаз </w:t>
      </w:r>
      <w:r w:rsidR="00FF2C89">
        <w:rPr>
          <w:lang w:val="mk-MK"/>
        </w:rPr>
        <w:t>по</w:t>
      </w:r>
      <w:r w:rsidRPr="00BA42A1">
        <w:rPr>
          <w:lang w:val="mk-MK"/>
        </w:rPr>
        <w:t xml:space="preserve">меѓу врвниот менаџмент и вработените и се приближува домашното право кон европските стандарди на </w:t>
      </w:r>
      <w:r w:rsidR="00FF2C89">
        <w:rPr>
          <w:lang w:val="mk-MK"/>
        </w:rPr>
        <w:t>одговорно корпоративно управување</w:t>
      </w:r>
      <w:r w:rsidRPr="00BA42A1">
        <w:rPr>
          <w:lang w:val="mk-MK"/>
        </w:rPr>
        <w:t>. Неговата можна слабост е што одредбата бара само објаснување, а не и конкретни ограничувања или обврзувачки критериуми, па постои ризик да остане формална декларација доколку не биде проследена со суштински надзор и активна примена.</w:t>
      </w:r>
    </w:p>
    <w:p w14:paraId="7AB7C55B" w14:textId="68E1019B" w:rsidR="00BA42A1" w:rsidRPr="00E80AAE" w:rsidRDefault="00BA42A1" w:rsidP="00BA42A1">
      <w:pPr>
        <w:pStyle w:val="Heading3"/>
        <w:numPr>
          <w:ilvl w:val="2"/>
          <w:numId w:val="70"/>
        </w:numPr>
        <w:rPr>
          <w:rFonts w:ascii="Times New Roman" w:hAnsi="Times New Roman" w:cs="Times New Roman"/>
          <w:i/>
          <w:iCs/>
          <w:color w:val="000000" w:themeColor="text1"/>
          <w:lang w:val="mk-MK"/>
        </w:rPr>
      </w:pPr>
      <w:bookmarkStart w:id="115" w:name="_Toc230523968"/>
      <w:r w:rsidRPr="00E80AAE">
        <w:rPr>
          <w:rFonts w:ascii="Times New Roman" w:hAnsi="Times New Roman" w:cs="Times New Roman"/>
          <w:i/>
          <w:iCs/>
          <w:color w:val="000000" w:themeColor="text1"/>
          <w:lang w:val="mk-MK"/>
        </w:rPr>
        <w:t xml:space="preserve">Член </w:t>
      </w:r>
      <w:r>
        <w:rPr>
          <w:rFonts w:ascii="Times New Roman" w:hAnsi="Times New Roman" w:cs="Times New Roman"/>
          <w:i/>
          <w:iCs/>
          <w:color w:val="000000" w:themeColor="text1"/>
          <w:lang w:val="mk-MK"/>
        </w:rPr>
        <w:t>39</w:t>
      </w:r>
      <w:r w:rsidR="005D723D">
        <w:rPr>
          <w:rFonts w:ascii="Times New Roman" w:hAnsi="Times New Roman" w:cs="Times New Roman"/>
          <w:i/>
          <w:iCs/>
          <w:color w:val="000000" w:themeColor="text1"/>
          <w:lang w:val="mk-MK"/>
        </w:rPr>
        <w:t>5</w:t>
      </w:r>
      <w:r w:rsidRPr="00E80AAE">
        <w:rPr>
          <w:rFonts w:ascii="Times New Roman" w:hAnsi="Times New Roman" w:cs="Times New Roman"/>
          <w:i/>
          <w:iCs/>
          <w:color w:val="000000" w:themeColor="text1"/>
          <w:lang w:val="mk-MK"/>
        </w:rPr>
        <w:t xml:space="preserve"> – </w:t>
      </w:r>
      <w:r w:rsidR="005D723D">
        <w:rPr>
          <w:rFonts w:ascii="Times New Roman" w:hAnsi="Times New Roman" w:cs="Times New Roman"/>
          <w:i/>
          <w:iCs/>
          <w:color w:val="000000" w:themeColor="text1"/>
          <w:lang w:val="mk-MK"/>
        </w:rPr>
        <w:t>Извештај за наградување</w:t>
      </w:r>
      <w:bookmarkEnd w:id="115"/>
    </w:p>
    <w:p w14:paraId="50CC2569" w14:textId="2A1307DD" w:rsidR="00F24623" w:rsidRDefault="00381DCB" w:rsidP="004F1631">
      <w:pPr>
        <w:pStyle w:val="BodyText"/>
        <w:spacing w:before="240"/>
        <w:ind w:firstLine="720"/>
        <w:jc w:val="both"/>
        <w:rPr>
          <w:lang w:val="mk-MK"/>
        </w:rPr>
      </w:pPr>
      <w:r>
        <w:rPr>
          <w:lang w:val="mk-MK"/>
        </w:rPr>
        <w:t>Член</w:t>
      </w:r>
      <w:r w:rsidRPr="00381DCB">
        <w:rPr>
          <w:lang w:val="mk-MK"/>
        </w:rPr>
        <w:t xml:space="preserve"> 395 став 2 </w:t>
      </w:r>
      <w:r w:rsidR="00E26E80">
        <w:rPr>
          <w:lang w:val="mk-MK"/>
        </w:rPr>
        <w:t xml:space="preserve">алинеја 2 </w:t>
      </w:r>
      <w:r w:rsidRPr="00381DCB">
        <w:rPr>
          <w:lang w:val="mk-MK"/>
        </w:rPr>
        <w:t xml:space="preserve">бара извештајот за наградување да содржи компаративна анализа на промената на наградувањето на органите, деловните резултати и просечните примања на вработените во последните пет години. Со тоа за првпат се воведува </w:t>
      </w:r>
      <w:r w:rsidR="009770F6">
        <w:rPr>
          <w:lang w:val="mk-MK"/>
        </w:rPr>
        <w:t xml:space="preserve">таканаречено </w:t>
      </w:r>
      <w:r w:rsidRPr="009770F6">
        <w:rPr>
          <w:i/>
          <w:iCs/>
          <w:lang w:val="mk-MK"/>
        </w:rPr>
        <w:t>ratio-based transparency</w:t>
      </w:r>
      <w:r w:rsidRPr="00381DCB">
        <w:rPr>
          <w:lang w:val="mk-MK"/>
        </w:rPr>
        <w:t xml:space="preserve"> </w:t>
      </w:r>
      <w:r w:rsidR="009770F6">
        <w:rPr>
          <w:lang w:val="mk-MK"/>
        </w:rPr>
        <w:t>по</w:t>
      </w:r>
      <w:r w:rsidRPr="00381DCB">
        <w:rPr>
          <w:lang w:val="mk-MK"/>
        </w:rPr>
        <w:t>меѓу врвниот менаџмент и работната сила.</w:t>
      </w:r>
      <w:r>
        <w:rPr>
          <w:lang w:val="mk-MK"/>
        </w:rPr>
        <w:t xml:space="preserve"> </w:t>
      </w:r>
      <w:r w:rsidR="009770F6">
        <w:rPr>
          <w:lang w:val="mk-MK"/>
        </w:rPr>
        <w:t>Дополнително,</w:t>
      </w:r>
      <w:r w:rsidR="00922D78" w:rsidRPr="00922D78">
        <w:rPr>
          <w:lang w:val="mk-MK"/>
        </w:rPr>
        <w:t xml:space="preserve"> </w:t>
      </w:r>
      <w:r w:rsidR="009748B7">
        <w:rPr>
          <w:lang w:val="mk-MK"/>
        </w:rPr>
        <w:t>и</w:t>
      </w:r>
      <w:r w:rsidR="00922D78" w:rsidRPr="00922D78">
        <w:rPr>
          <w:lang w:val="mk-MK"/>
        </w:rPr>
        <w:t>звештајот мора да наведе број на понудени или доделени акции и договори за опции за стекнување акции за членовите на органите, вклучувајќи услови, цена, датум и промени.</w:t>
      </w:r>
      <w:r w:rsidR="009748B7">
        <w:rPr>
          <w:rStyle w:val="FootnoteReference"/>
          <w:lang w:val="mk-MK"/>
        </w:rPr>
        <w:footnoteReference w:id="863"/>
      </w:r>
    </w:p>
    <w:p w14:paraId="770F55A9" w14:textId="77777777" w:rsidR="009407BC" w:rsidRDefault="00D062BA" w:rsidP="004F1631">
      <w:pPr>
        <w:pStyle w:val="BodyText"/>
        <w:spacing w:before="240"/>
        <w:ind w:firstLine="720"/>
        <w:jc w:val="both"/>
        <w:rPr>
          <w:lang w:val="mk-MK"/>
        </w:rPr>
      </w:pPr>
      <w:r w:rsidRPr="00D062BA">
        <w:rPr>
          <w:lang w:val="mk-MK"/>
        </w:rPr>
        <w:t xml:space="preserve">Ова решение е претежно позитивно за вработените затоа што создава јасна и мерлива транспарентност за односот </w:t>
      </w:r>
      <w:r>
        <w:rPr>
          <w:lang w:val="mk-MK"/>
        </w:rPr>
        <w:t>по</w:t>
      </w:r>
      <w:r w:rsidRPr="00D062BA">
        <w:rPr>
          <w:lang w:val="mk-MK"/>
        </w:rPr>
        <w:t xml:space="preserve">меѓу наградувањето на врвниот менаџмент, деловните резултати на друштвото и просечните примања на работниците во подолг временски период. Таквата компаративна анализа овозможува да се утврди дали раководството добива несразмерно високи надоместоци во време кога платите на вработените стагнираат, што може да поттикне поголема правичност, јавен притисок и поодговорни политики за наградување. Дополнителната обврска да се објавуваат акции, опции и други капитални бенефиции на членовите на органите е исто така важна, бидејќи открива скриени форми на наградување кои често ја надминуваат редовната плата. </w:t>
      </w:r>
    </w:p>
    <w:p w14:paraId="19742E09" w14:textId="5D03D500" w:rsidR="004F1631" w:rsidRDefault="00D062BA" w:rsidP="00E81DE7">
      <w:pPr>
        <w:pStyle w:val="BodyText"/>
        <w:spacing w:before="240" w:after="240"/>
        <w:ind w:firstLine="720"/>
        <w:jc w:val="both"/>
        <w:rPr>
          <w:lang w:val="mk-MK"/>
        </w:rPr>
      </w:pPr>
      <w:r w:rsidRPr="00D062BA">
        <w:rPr>
          <w:lang w:val="mk-MK"/>
        </w:rPr>
        <w:t>Од аспект на вработените, ова значи подобра информираност и посилен аргумент за барање поправедна распределба на добивката. Неговата слабост е што транспарентноста сама по себе не гарантира промена, па ако не постојат санкции, активни акционери или синдикален притисок, одредбата може да остане само информативна без реален ефект врз платите и работничката положба.</w:t>
      </w:r>
    </w:p>
    <w:p w14:paraId="6D94E2EB" w14:textId="77777777" w:rsidR="007E0ACB" w:rsidRDefault="004940D6" w:rsidP="007E0ACB">
      <w:pPr>
        <w:pStyle w:val="Heading3"/>
        <w:numPr>
          <w:ilvl w:val="2"/>
          <w:numId w:val="70"/>
        </w:numPr>
        <w:spacing w:after="240"/>
        <w:rPr>
          <w:rFonts w:ascii="Times New Roman" w:hAnsi="Times New Roman" w:cs="Times New Roman"/>
          <w:i/>
          <w:iCs/>
          <w:color w:val="000000" w:themeColor="text1"/>
          <w:lang w:val="mk-MK"/>
        </w:rPr>
      </w:pPr>
      <w:bookmarkStart w:id="116" w:name="_Toc230523969"/>
      <w:r>
        <w:rPr>
          <w:rFonts w:ascii="Times New Roman" w:hAnsi="Times New Roman" w:cs="Times New Roman"/>
          <w:i/>
          <w:iCs/>
          <w:color w:val="000000" w:themeColor="text1"/>
          <w:lang w:val="mk-MK"/>
        </w:rPr>
        <w:t xml:space="preserve">Членови </w:t>
      </w:r>
      <w:r w:rsidR="007E0ACB">
        <w:rPr>
          <w:rFonts w:ascii="Times New Roman" w:hAnsi="Times New Roman" w:cs="Times New Roman"/>
          <w:i/>
          <w:iCs/>
          <w:color w:val="000000" w:themeColor="text1"/>
          <w:lang w:val="mk-MK"/>
        </w:rPr>
        <w:t>617-620 – Заеднички елементи кај сите прекугранични операции</w:t>
      </w:r>
      <w:bookmarkEnd w:id="116"/>
    </w:p>
    <w:p w14:paraId="49B43D2F" w14:textId="4B720F43" w:rsidR="004940D6" w:rsidRDefault="007E0ACB" w:rsidP="007E0ACB">
      <w:pPr>
        <w:pStyle w:val="BodyText"/>
        <w:jc w:val="both"/>
        <w:rPr>
          <w:lang w:val="mk-MK"/>
        </w:rPr>
      </w:pPr>
      <w:r>
        <w:rPr>
          <w:lang w:val="mk-MK"/>
        </w:rPr>
        <w:t xml:space="preserve"> </w:t>
      </w:r>
      <w:r>
        <w:rPr>
          <w:lang w:val="mk-MK"/>
        </w:rPr>
        <w:tab/>
      </w:r>
      <w:r w:rsidR="0054031C" w:rsidRPr="0054031C">
        <w:rPr>
          <w:lang w:val="mk-MK"/>
        </w:rPr>
        <w:t>Особено значајни за положбата на вработените се заедничките елементи што важат кај сите прекугранични операции бидејќи тие воспоставуваат процедурални гаранции за информираност и учество во процесот на корпоративно одлучување. Согласно член 617 став 7, извештајот на органот на управување мора да содржи посебен дел посветен на вработените, во кој се објаснуваат последиците од трансакцијата врз работните односи, евентуалните материјални промени во условите за работа или локацијата, како и влијанието врз зависните друштва. Фактот што овој извештај мора да биде достапен најмалку шест недели пред собранието е особено важен, бидејќи овозможува навремено информирање, подготовка и реакција од страна на вработените.</w:t>
      </w:r>
    </w:p>
    <w:p w14:paraId="7BFFB2B4" w14:textId="0644B548" w:rsidR="007633DF" w:rsidRDefault="007633DF" w:rsidP="007633DF">
      <w:pPr>
        <w:pStyle w:val="BodyText"/>
        <w:spacing w:before="240" w:after="240"/>
        <w:ind w:firstLine="720"/>
        <w:jc w:val="both"/>
        <w:rPr>
          <w:lang w:val="mk-MK"/>
        </w:rPr>
      </w:pPr>
      <w:r w:rsidRPr="007633DF">
        <w:rPr>
          <w:lang w:val="mk-MK"/>
        </w:rPr>
        <w:t xml:space="preserve">Дополнителна гаранција претставува член 617 став 9, според кој мислењето на вработените или нивните претставници, доколку е доставено најдоцна пет дена пред </w:t>
      </w:r>
      <w:r w:rsidRPr="007633DF">
        <w:rPr>
          <w:lang w:val="mk-MK"/>
        </w:rPr>
        <w:lastRenderedPageBreak/>
        <w:t>собранието, мора веднаш да им се проследи на содружниците или акционерите и станува составен дел од извештајот. Со ова</w:t>
      </w:r>
      <w:r w:rsidR="00831057">
        <w:rPr>
          <w:lang w:val="mk-MK"/>
        </w:rPr>
        <w:t>,</w:t>
      </w:r>
      <w:r w:rsidRPr="007633DF">
        <w:rPr>
          <w:lang w:val="mk-MK"/>
        </w:rPr>
        <w:t xml:space="preserve"> ставовите на вработените не остануваат интерна забелешка без правна тежина, туку формално влегуваат во документацијата врз основа на која сопствениците одлучуваат. Понатаму, член 620 став 1 изрично предвидува дека собранието ги разгледува овие мислења заедно со останатите извештаи при одлучувањето за предлог условите на операцијата.</w:t>
      </w:r>
    </w:p>
    <w:p w14:paraId="7963CDD7" w14:textId="2C3AADDA" w:rsidR="00831057" w:rsidRDefault="00831057" w:rsidP="007633DF">
      <w:pPr>
        <w:pStyle w:val="BodyText"/>
        <w:spacing w:before="240" w:after="240"/>
        <w:ind w:firstLine="720"/>
        <w:jc w:val="both"/>
        <w:rPr>
          <w:lang w:val="mk-MK"/>
        </w:rPr>
      </w:pPr>
      <w:r w:rsidRPr="00831057">
        <w:rPr>
          <w:lang w:val="mk-MK"/>
        </w:rPr>
        <w:t>Од аспект на темата за учество на вработените, овие решенија се значајни затоа што покажуваат дека современото корпоративно право не мора нужно да значи само директно место во органите на управување, туку и суштинско процедурално учество преку право на информации, консултација и формално изразување став. Вработените добиваат можност нивниот глас да биде слушнат во момент кога се носат одлуки што директно влијаат врз нивната иднина. Воедно, повторно се поставува прашањето зошто вакви стандарди не се применуваат и кај големи домашни реорганизации, спојувања или поделби, каде последиците врз работната сила можат да бидат еднакво сериозни. Оттука, овие одредби претставуваат доказ дека правниот систем веќе признава напредни форми на работничко учество, но ги ограничува претежно на прекуграничниот контекст.</w:t>
      </w:r>
    </w:p>
    <w:p w14:paraId="10D971DE" w14:textId="470300FB" w:rsidR="00E81DE7" w:rsidRPr="00E80AAE" w:rsidRDefault="00E81DE7" w:rsidP="00E81DE7">
      <w:pPr>
        <w:pStyle w:val="Heading3"/>
        <w:numPr>
          <w:ilvl w:val="2"/>
          <w:numId w:val="70"/>
        </w:numPr>
        <w:rPr>
          <w:rFonts w:ascii="Times New Roman" w:hAnsi="Times New Roman" w:cs="Times New Roman"/>
          <w:i/>
          <w:iCs/>
          <w:color w:val="000000" w:themeColor="text1"/>
          <w:lang w:val="mk-MK"/>
        </w:rPr>
      </w:pPr>
      <w:bookmarkStart w:id="117" w:name="_Toc230523970"/>
      <w:r w:rsidRPr="00E80AAE">
        <w:rPr>
          <w:rFonts w:ascii="Times New Roman" w:hAnsi="Times New Roman" w:cs="Times New Roman"/>
          <w:i/>
          <w:iCs/>
          <w:color w:val="000000" w:themeColor="text1"/>
          <w:lang w:val="mk-MK"/>
        </w:rPr>
        <w:t>Член</w:t>
      </w:r>
      <w:r w:rsidR="0024031C">
        <w:rPr>
          <w:rFonts w:ascii="Times New Roman" w:hAnsi="Times New Roman" w:cs="Times New Roman"/>
          <w:i/>
          <w:iCs/>
          <w:color w:val="000000" w:themeColor="text1"/>
          <w:lang w:val="mk-MK"/>
        </w:rPr>
        <w:t xml:space="preserve">ови 623-624 </w:t>
      </w:r>
      <w:r w:rsidR="007E0ACB">
        <w:rPr>
          <w:rFonts w:ascii="Times New Roman" w:hAnsi="Times New Roman" w:cs="Times New Roman"/>
          <w:i/>
          <w:iCs/>
          <w:color w:val="000000" w:themeColor="text1"/>
          <w:lang w:val="mk-MK"/>
        </w:rPr>
        <w:t>–</w:t>
      </w:r>
      <w:r w:rsidR="0024031C">
        <w:rPr>
          <w:rFonts w:ascii="Times New Roman" w:hAnsi="Times New Roman" w:cs="Times New Roman"/>
          <w:i/>
          <w:iCs/>
          <w:color w:val="000000" w:themeColor="text1"/>
          <w:lang w:val="mk-MK"/>
        </w:rPr>
        <w:t xml:space="preserve"> </w:t>
      </w:r>
      <w:r w:rsidR="00944622">
        <w:rPr>
          <w:rFonts w:ascii="Times New Roman" w:hAnsi="Times New Roman" w:cs="Times New Roman"/>
          <w:i/>
          <w:iCs/>
          <w:color w:val="000000" w:themeColor="text1"/>
          <w:lang w:val="mk-MK"/>
        </w:rPr>
        <w:t>Прекугранична преобразба</w:t>
      </w:r>
      <w:bookmarkEnd w:id="117"/>
    </w:p>
    <w:p w14:paraId="26422B3F" w14:textId="7FE40703" w:rsidR="00E81DE7" w:rsidRDefault="00036B93" w:rsidP="00036B93">
      <w:pPr>
        <w:pStyle w:val="BodyText"/>
        <w:spacing w:before="240"/>
        <w:ind w:firstLine="720"/>
        <w:jc w:val="both"/>
        <w:rPr>
          <w:lang w:val="mk-MK"/>
        </w:rPr>
      </w:pPr>
      <w:r>
        <w:rPr>
          <w:lang w:val="mk-MK"/>
        </w:rPr>
        <w:t xml:space="preserve">До одредена мерка, </w:t>
      </w:r>
      <w:r w:rsidRPr="00036B93">
        <w:rPr>
          <w:lang w:val="mk-MK"/>
        </w:rPr>
        <w:t>од аспект на вклученоста на вработените се</w:t>
      </w:r>
      <w:r>
        <w:rPr>
          <w:lang w:val="mk-MK"/>
        </w:rPr>
        <w:t xml:space="preserve"> значајни и</w:t>
      </w:r>
      <w:r w:rsidRPr="00036B93">
        <w:rPr>
          <w:lang w:val="mk-MK"/>
        </w:rPr>
        <w:t xml:space="preserve"> одредбите што се однесуваат на прекугранична преобразба на трговски друштва. Согласно член 623, вработените имаат право на учество во процесот на информирање и консултирање, во согласност со прописите за работни односи и правилата за Европски работнички совет. Дополнително, друштвото е должно да даде аргументиран одговор на ставовите и забелешките на вработените пред одлучувањето на собранието. Ова претставува важен исчекор кон современ концепт на корпоративно управување во кој вработените не се третираат само како носители на работна сила, туку и како засегната страна чии интереси можат суштински да бидат погодени од статусните промени.</w:t>
      </w:r>
    </w:p>
    <w:p w14:paraId="5B07F3E0" w14:textId="5F7BD5A5" w:rsidR="00320341" w:rsidRDefault="00320341" w:rsidP="00036B93">
      <w:pPr>
        <w:pStyle w:val="BodyText"/>
        <w:spacing w:before="240"/>
        <w:ind w:firstLine="720"/>
        <w:jc w:val="both"/>
        <w:rPr>
          <w:lang w:val="mk-MK"/>
        </w:rPr>
      </w:pPr>
      <w:r w:rsidRPr="00320341">
        <w:rPr>
          <w:lang w:val="mk-MK"/>
        </w:rPr>
        <w:t>Уште понагласено е значењето на член 624, кој предвидува учество на вработените во одлучувањето кога друштвото шест месеци пред објавувањето има просечен број над 500 вработени и функционира според систем на учество согласно Законот за европско друштво. Во таков случај се применуваат посебни правила што гарантираат минимално ниво на работничко претставување. Така, бројот на претставниците на вработените во органите не смее да се намали под една третина од вкупниот број членови, стекнатите права продолжуваат да важат четири години по преобразбата, а новото друштво мора да има правна форма што овозможува такво учество. Со ова се спречува прекуграничната преобразба да се користи како средство за избегнување на веќе постоечки работнички права.</w:t>
      </w:r>
      <w:r w:rsidR="00C35EDF">
        <w:rPr>
          <w:rStyle w:val="FootnoteReference"/>
          <w:lang w:val="mk-MK"/>
        </w:rPr>
        <w:footnoteReference w:id="864"/>
      </w:r>
      <w:r w:rsidRPr="00320341">
        <w:rPr>
          <w:lang w:val="mk-MK"/>
        </w:rPr>
        <w:t xml:space="preserve"> </w:t>
      </w:r>
    </w:p>
    <w:p w14:paraId="33369D51" w14:textId="50F6ADBB" w:rsidR="008330FB" w:rsidRDefault="00320341" w:rsidP="00036B93">
      <w:pPr>
        <w:pStyle w:val="BodyText"/>
        <w:spacing w:before="240"/>
        <w:ind w:firstLine="720"/>
        <w:jc w:val="both"/>
        <w:rPr>
          <w:lang w:val="mk-MK"/>
        </w:rPr>
      </w:pPr>
      <w:r w:rsidRPr="00320341">
        <w:rPr>
          <w:lang w:val="mk-MK"/>
        </w:rPr>
        <w:t xml:space="preserve">Иако овие одредби формално се однесуваат само на прекугранични операции, тие се релевантни и за пошироката тема на трудово учество во корпоративното управување. Имено, законодавецот јасно признава дека вработените имаат легитимен интерес да бидат информирани, консултирани и застапени кога се носат одлуки што влијаат врз нивната економска и професионална положба. Тоа отвора суштинско прашање зошто исти или слични стандарди не се применуваат и кај големите домашни друштва што не учествуваат во прекугранични преобразби, иако нивните статусни промени, </w:t>
      </w:r>
      <w:r w:rsidRPr="00320341">
        <w:rPr>
          <w:lang w:val="mk-MK"/>
        </w:rPr>
        <w:lastRenderedPageBreak/>
        <w:t>преструктурирања или управувачки одлуки можат еднакво силно да влијаат врз вработените</w:t>
      </w:r>
      <w:r w:rsidR="008330FB">
        <w:rPr>
          <w:lang w:val="mk-MK"/>
        </w:rPr>
        <w:t>?</w:t>
      </w:r>
      <w:r w:rsidRPr="00320341">
        <w:rPr>
          <w:lang w:val="mk-MK"/>
        </w:rPr>
        <w:t xml:space="preserve"> </w:t>
      </w:r>
    </w:p>
    <w:p w14:paraId="0CD6720E" w14:textId="0D936E18" w:rsidR="00AE25E6" w:rsidRDefault="00320341" w:rsidP="00A05600">
      <w:pPr>
        <w:pStyle w:val="BodyText"/>
        <w:spacing w:before="240" w:after="240"/>
        <w:ind w:firstLine="720"/>
        <w:jc w:val="both"/>
        <w:rPr>
          <w:lang w:val="mk-MK"/>
        </w:rPr>
      </w:pPr>
      <w:r w:rsidRPr="00320341">
        <w:rPr>
          <w:lang w:val="mk-MK"/>
        </w:rPr>
        <w:t xml:space="preserve">Во таа смисла, може да се оцени дека законот создава извесна нормативна недоследност. Таму каде што постои европска обврска, се прифаќаат напредни модели на информирање, консултирање и претставување на вработените. Но во чисто </w:t>
      </w:r>
      <w:r w:rsidR="00A05600">
        <w:rPr>
          <w:lang w:val="mk-MK"/>
        </w:rPr>
        <w:t xml:space="preserve">домашен </w:t>
      </w:r>
      <w:r w:rsidRPr="00320341">
        <w:rPr>
          <w:lang w:val="mk-MK"/>
        </w:rPr>
        <w:t>контекст, истите принципи остануваат ограничени или целосно отсутни. Оттука, овие одредби се важни како доказ дека македонскиот правен систем веќе располага со модели што би можеле пошироко да се применат во идни реформи на корпоративното управување</w:t>
      </w:r>
      <w:r w:rsidR="00A05600">
        <w:rPr>
          <w:lang w:val="mk-MK"/>
        </w:rPr>
        <w:t>, како што е сегашниот процес на носење на нов ЗТД.</w:t>
      </w:r>
    </w:p>
    <w:p w14:paraId="1D7508F9" w14:textId="674CBE62" w:rsidR="00A312F7" w:rsidRPr="00E80AAE" w:rsidRDefault="00A312F7" w:rsidP="00A312F7">
      <w:pPr>
        <w:pStyle w:val="Heading3"/>
        <w:numPr>
          <w:ilvl w:val="2"/>
          <w:numId w:val="70"/>
        </w:numPr>
        <w:rPr>
          <w:rFonts w:ascii="Times New Roman" w:hAnsi="Times New Roman" w:cs="Times New Roman"/>
          <w:i/>
          <w:iCs/>
          <w:color w:val="000000" w:themeColor="text1"/>
          <w:lang w:val="mk-MK"/>
        </w:rPr>
      </w:pPr>
      <w:bookmarkStart w:id="118" w:name="_Toc230523971"/>
      <w:r w:rsidRPr="00E80AAE">
        <w:rPr>
          <w:rFonts w:ascii="Times New Roman" w:hAnsi="Times New Roman" w:cs="Times New Roman"/>
          <w:i/>
          <w:iCs/>
          <w:color w:val="000000" w:themeColor="text1"/>
          <w:lang w:val="mk-MK"/>
        </w:rPr>
        <w:t>Член</w:t>
      </w:r>
      <w:r>
        <w:rPr>
          <w:rFonts w:ascii="Times New Roman" w:hAnsi="Times New Roman" w:cs="Times New Roman"/>
          <w:i/>
          <w:iCs/>
          <w:color w:val="000000" w:themeColor="text1"/>
          <w:lang w:val="mk-MK"/>
        </w:rPr>
        <w:t>ови 6</w:t>
      </w:r>
      <w:r w:rsidR="00441956">
        <w:rPr>
          <w:rFonts w:ascii="Times New Roman" w:hAnsi="Times New Roman" w:cs="Times New Roman"/>
          <w:i/>
          <w:iCs/>
          <w:color w:val="000000" w:themeColor="text1"/>
          <w:lang w:val="mk-MK"/>
        </w:rPr>
        <w:t>62</w:t>
      </w:r>
      <w:r>
        <w:rPr>
          <w:rFonts w:ascii="Times New Roman" w:hAnsi="Times New Roman" w:cs="Times New Roman"/>
          <w:i/>
          <w:iCs/>
          <w:color w:val="000000" w:themeColor="text1"/>
          <w:lang w:val="mk-MK"/>
        </w:rPr>
        <w:t>-6</w:t>
      </w:r>
      <w:r w:rsidR="00441956">
        <w:rPr>
          <w:rFonts w:ascii="Times New Roman" w:hAnsi="Times New Roman" w:cs="Times New Roman"/>
          <w:i/>
          <w:iCs/>
          <w:color w:val="000000" w:themeColor="text1"/>
          <w:lang w:val="mk-MK"/>
        </w:rPr>
        <w:t>63</w:t>
      </w:r>
      <w:r>
        <w:rPr>
          <w:rFonts w:ascii="Times New Roman" w:hAnsi="Times New Roman" w:cs="Times New Roman"/>
          <w:i/>
          <w:iCs/>
          <w:color w:val="000000" w:themeColor="text1"/>
          <w:lang w:val="mk-MK"/>
        </w:rPr>
        <w:t xml:space="preserve"> – Прекуграничн</w:t>
      </w:r>
      <w:r w:rsidR="00441956">
        <w:rPr>
          <w:rFonts w:ascii="Times New Roman" w:hAnsi="Times New Roman" w:cs="Times New Roman"/>
          <w:i/>
          <w:iCs/>
          <w:color w:val="000000" w:themeColor="text1"/>
          <w:lang w:val="mk-MK"/>
        </w:rPr>
        <w:t>о спојување</w:t>
      </w:r>
      <w:bookmarkEnd w:id="118"/>
    </w:p>
    <w:p w14:paraId="603E8203" w14:textId="380028C3" w:rsidR="00A312F7" w:rsidRDefault="00087B20" w:rsidP="00087B20">
      <w:pPr>
        <w:pStyle w:val="BodyText"/>
        <w:spacing w:before="240"/>
        <w:ind w:firstLine="720"/>
        <w:jc w:val="both"/>
        <w:rPr>
          <w:lang w:val="mk-MK"/>
        </w:rPr>
      </w:pPr>
      <w:r>
        <w:rPr>
          <w:lang w:val="mk-MK"/>
        </w:rPr>
        <w:t>Од</w:t>
      </w:r>
      <w:r w:rsidRPr="00087B20">
        <w:rPr>
          <w:lang w:val="mk-MK"/>
        </w:rPr>
        <w:t xml:space="preserve"> особено значење за темата на учество на вработените се и одредбите што го уредуваат прекуграничното спојување на трговски друштва. Согласно членовите 662 и 663, се применува сличен модел како кај прекуграничната преобразба, односно се гарантираат права на информирање и консултирање на вработените, а во одредени случаи и нивно учество во одлучувањето. Кога најмалку едно од друштвата што учествуваат во спојувањето има повеќе од 500 вработени, се активираат посебни механизми за заштита на работничкото претставување. Ова покажува дека законодавецот препознава </w:t>
      </w:r>
      <w:r w:rsidR="00417A5F">
        <w:rPr>
          <w:lang w:val="mk-MK"/>
        </w:rPr>
        <w:t>дека</w:t>
      </w:r>
      <w:r w:rsidRPr="00087B20">
        <w:rPr>
          <w:lang w:val="mk-MK"/>
        </w:rPr>
        <w:t xml:space="preserve"> големината на друштвото и потенцијалното влијание врз работната сила бараат повисоко ниво на институционална заштита.</w:t>
      </w:r>
      <w:r w:rsidR="00417A5F">
        <w:rPr>
          <w:rStyle w:val="FootnoteReference"/>
          <w:lang w:val="mk-MK"/>
        </w:rPr>
        <w:footnoteReference w:id="865"/>
      </w:r>
      <w:r>
        <w:rPr>
          <w:lang w:val="mk-MK"/>
        </w:rPr>
        <w:t xml:space="preserve"> </w:t>
      </w:r>
    </w:p>
    <w:p w14:paraId="7567D279" w14:textId="4B11C6E1" w:rsidR="00E169F7" w:rsidRDefault="002F1BED" w:rsidP="00087B20">
      <w:pPr>
        <w:pStyle w:val="BodyText"/>
        <w:spacing w:before="240"/>
        <w:ind w:firstLine="720"/>
        <w:jc w:val="both"/>
        <w:rPr>
          <w:lang w:val="mk-MK"/>
        </w:rPr>
      </w:pPr>
      <w:r w:rsidRPr="002F1BED">
        <w:rPr>
          <w:lang w:val="mk-MK"/>
        </w:rPr>
        <w:t>Особено важно е што претставниците на вработените во органите на управување или надзор не смеат да бидат намалени под една третина од вкупниот број членови, а стекнатите права се зачувуваат четири години по спојувањето. Со тоа се спречува прекуграничната трансакција да се искористи за укинување или слабеење на претходно постоечките механизми на работничко учество. Дополнително, ново</w:t>
      </w:r>
      <w:r w:rsidR="00CF262D">
        <w:rPr>
          <w:lang w:val="mk-MK"/>
        </w:rPr>
        <w:t>-</w:t>
      </w:r>
      <w:r w:rsidRPr="002F1BED">
        <w:rPr>
          <w:lang w:val="mk-MK"/>
        </w:rPr>
        <w:t>настанатото друштво мора да биде во правна форма што</w:t>
      </w:r>
      <w:r w:rsidR="00CF262D">
        <w:rPr>
          <w:lang w:val="mk-MK"/>
        </w:rPr>
        <w:t xml:space="preserve"> го</w:t>
      </w:r>
      <w:r w:rsidRPr="002F1BED">
        <w:rPr>
          <w:lang w:val="mk-MK"/>
        </w:rPr>
        <w:t xml:space="preserve"> овозможува остварување</w:t>
      </w:r>
      <w:r w:rsidR="00CF262D">
        <w:rPr>
          <w:lang w:val="mk-MK"/>
        </w:rPr>
        <w:t>то</w:t>
      </w:r>
      <w:r w:rsidRPr="002F1BED">
        <w:rPr>
          <w:lang w:val="mk-MK"/>
        </w:rPr>
        <w:t xml:space="preserve"> на овие права, што значи дека организациската структура не смее да служи како средство за избегнување на работничката застапеност.</w:t>
      </w:r>
    </w:p>
    <w:p w14:paraId="55176BA2" w14:textId="0D77ABCB" w:rsidR="002F1BED" w:rsidRDefault="002F1BED" w:rsidP="00087B20">
      <w:pPr>
        <w:pStyle w:val="BodyText"/>
        <w:spacing w:before="240"/>
        <w:ind w:firstLine="720"/>
        <w:jc w:val="both"/>
        <w:rPr>
          <w:lang w:val="mk-MK"/>
        </w:rPr>
      </w:pPr>
      <w:r w:rsidRPr="002F1BED">
        <w:rPr>
          <w:lang w:val="mk-MK"/>
        </w:rPr>
        <w:t>Посебна тежина има член 660 став 1, според кој собранието може да го услови спроведувањето на прекуграничното спојување со изречно одобрување на спогодбите за учество на вработените. Ова решение е значајно бидејќи прашањето на работничко учество не го третира како споредно или техничко прашање, туку како елемент што може да биде составен дел од самата корпоративна одлука за спојување. Со други зборови, интересите на вработените стануваат дел од централниот процес на корпоративно одлучување.</w:t>
      </w:r>
    </w:p>
    <w:p w14:paraId="5CE98731" w14:textId="076341C5" w:rsidR="00574E91" w:rsidRDefault="002F1BED" w:rsidP="00574E91">
      <w:pPr>
        <w:pStyle w:val="BodyText"/>
        <w:spacing w:before="240" w:after="240"/>
        <w:ind w:firstLine="720"/>
        <w:jc w:val="both"/>
        <w:rPr>
          <w:lang w:val="mk-MK"/>
        </w:rPr>
      </w:pPr>
      <w:r w:rsidRPr="002F1BED">
        <w:rPr>
          <w:lang w:val="mk-MK"/>
        </w:rPr>
        <w:t xml:space="preserve">И овде се поставува истото пошироко прашање на нормативна доследност: ако законодавецот признава дека вработените мора да бидат заштитени при прекугранични спојувања, зошто слични стандарди не важат и за големи домашни спојувања, реорганизации или други статусни промени што можат подеднакво длабоко да влијаат врз работните места, платите и условите за работа. Оттука, овие одредби се релевантни за темата затоа што покажуваат дека македонското право веќе прифаќа напредни модели на employee participation, но ги ограничува главно таму каде што тоа го бара европската регулатива, наместо да ги развие како општ домашен принцип на корпоративно </w:t>
      </w:r>
      <w:r w:rsidRPr="002F1BED">
        <w:rPr>
          <w:lang w:val="mk-MK"/>
        </w:rPr>
        <w:lastRenderedPageBreak/>
        <w:t>управување.</w:t>
      </w:r>
    </w:p>
    <w:p w14:paraId="05F4391F" w14:textId="6DF06BDF" w:rsidR="00574E91" w:rsidRPr="00E80AAE" w:rsidRDefault="00574E91" w:rsidP="00574E91">
      <w:pPr>
        <w:pStyle w:val="Heading3"/>
        <w:numPr>
          <w:ilvl w:val="2"/>
          <w:numId w:val="70"/>
        </w:numPr>
        <w:rPr>
          <w:rFonts w:ascii="Times New Roman" w:hAnsi="Times New Roman" w:cs="Times New Roman"/>
          <w:i/>
          <w:iCs/>
          <w:color w:val="000000" w:themeColor="text1"/>
          <w:lang w:val="mk-MK"/>
        </w:rPr>
      </w:pPr>
      <w:bookmarkStart w:id="119" w:name="_Toc230523972"/>
      <w:r w:rsidRPr="00E80AAE">
        <w:rPr>
          <w:rFonts w:ascii="Times New Roman" w:hAnsi="Times New Roman" w:cs="Times New Roman"/>
          <w:i/>
          <w:iCs/>
          <w:color w:val="000000" w:themeColor="text1"/>
          <w:lang w:val="mk-MK"/>
        </w:rPr>
        <w:t>Член</w:t>
      </w:r>
      <w:r>
        <w:rPr>
          <w:rFonts w:ascii="Times New Roman" w:hAnsi="Times New Roman" w:cs="Times New Roman"/>
          <w:i/>
          <w:iCs/>
          <w:color w:val="000000" w:themeColor="text1"/>
          <w:lang w:val="mk-MK"/>
        </w:rPr>
        <w:t>ови 6</w:t>
      </w:r>
      <w:r w:rsidR="001F6A98">
        <w:rPr>
          <w:rFonts w:ascii="Times New Roman" w:hAnsi="Times New Roman" w:cs="Times New Roman"/>
          <w:i/>
          <w:iCs/>
          <w:color w:val="000000" w:themeColor="text1"/>
          <w:lang w:val="mk-MK"/>
        </w:rPr>
        <w:t>79</w:t>
      </w:r>
      <w:r>
        <w:rPr>
          <w:rFonts w:ascii="Times New Roman" w:hAnsi="Times New Roman" w:cs="Times New Roman"/>
          <w:i/>
          <w:iCs/>
          <w:color w:val="000000" w:themeColor="text1"/>
          <w:lang w:val="mk-MK"/>
        </w:rPr>
        <w:t>-6</w:t>
      </w:r>
      <w:r w:rsidR="001F6A98">
        <w:rPr>
          <w:rFonts w:ascii="Times New Roman" w:hAnsi="Times New Roman" w:cs="Times New Roman"/>
          <w:i/>
          <w:iCs/>
          <w:color w:val="000000" w:themeColor="text1"/>
          <w:lang w:val="mk-MK"/>
        </w:rPr>
        <w:t>80</w:t>
      </w:r>
      <w:r>
        <w:rPr>
          <w:rFonts w:ascii="Times New Roman" w:hAnsi="Times New Roman" w:cs="Times New Roman"/>
          <w:i/>
          <w:iCs/>
          <w:color w:val="000000" w:themeColor="text1"/>
          <w:lang w:val="mk-MK"/>
        </w:rPr>
        <w:t xml:space="preserve"> – Прекуграничн</w:t>
      </w:r>
      <w:r w:rsidR="001F6A98">
        <w:rPr>
          <w:rFonts w:ascii="Times New Roman" w:hAnsi="Times New Roman" w:cs="Times New Roman"/>
          <w:i/>
          <w:iCs/>
          <w:color w:val="000000" w:themeColor="text1"/>
          <w:lang w:val="mk-MK"/>
        </w:rPr>
        <w:t>а поделба</w:t>
      </w:r>
      <w:bookmarkEnd w:id="119"/>
    </w:p>
    <w:p w14:paraId="181AF303" w14:textId="6496710C" w:rsidR="00574E91" w:rsidRDefault="006700CA" w:rsidP="006700CA">
      <w:pPr>
        <w:pStyle w:val="BodyText"/>
        <w:spacing w:before="240"/>
        <w:ind w:firstLine="720"/>
        <w:jc w:val="both"/>
        <w:rPr>
          <w:lang w:val="mk-MK"/>
        </w:rPr>
      </w:pPr>
      <w:r w:rsidRPr="006700CA">
        <w:rPr>
          <w:lang w:val="mk-MK"/>
        </w:rPr>
        <w:t>Слични решенија се предвидени и кај прекуграничната поделба на трговски друштва, уредена во членовите 679 и 680. И тука законодавецот воспоставува тристепен модел на заштита на вработените преку информирање, консултирање и, во определени случаи, учество во одлучувањето. Кога се исполнува прагот од најмалку 500 вработени, се активираат посебни правила што имаат цел да обезбедат дека статусната промена нема да доведе до губење на претходно стекнатите права на работничко претставување.</w:t>
      </w:r>
      <w:r w:rsidR="0065407E">
        <w:rPr>
          <w:lang w:val="mk-MK"/>
        </w:rPr>
        <w:t xml:space="preserve"> </w:t>
      </w:r>
    </w:p>
    <w:p w14:paraId="51DD1C0B" w14:textId="569C8705" w:rsidR="00910901" w:rsidRDefault="00910901" w:rsidP="006700CA">
      <w:pPr>
        <w:pStyle w:val="BodyText"/>
        <w:spacing w:before="240"/>
        <w:ind w:firstLine="720"/>
        <w:jc w:val="both"/>
        <w:rPr>
          <w:lang w:val="mk-MK"/>
        </w:rPr>
      </w:pPr>
      <w:r w:rsidRPr="00910901">
        <w:rPr>
          <w:lang w:val="mk-MK"/>
        </w:rPr>
        <w:t>Особено значајно е што застапеноста на претставниците на вработените не смее да биде намалена под една третина од вкупниот број членови во релевантните органи, додека постојните права остануваат заштитени во период од четири години по поделбата. Ова решение има јасна превентивна функција</w:t>
      </w:r>
      <w:r w:rsidR="009E421D">
        <w:rPr>
          <w:lang w:val="mk-MK"/>
        </w:rPr>
        <w:t xml:space="preserve"> затоа што цели </w:t>
      </w:r>
      <w:r w:rsidRPr="00910901">
        <w:rPr>
          <w:lang w:val="mk-MK"/>
        </w:rPr>
        <w:t xml:space="preserve">да спречи корпоративната поделба да се користи како инструмент за раздробување на друштвото со цел ослабување на организацијата на вработените или елиминирање на нивното учество во управувањето. Дополнително, друштвото што </w:t>
      </w:r>
      <w:r w:rsidR="009E421D">
        <w:rPr>
          <w:lang w:val="mk-MK"/>
        </w:rPr>
        <w:t>настанува</w:t>
      </w:r>
      <w:r w:rsidRPr="00910901">
        <w:rPr>
          <w:lang w:val="mk-MK"/>
        </w:rPr>
        <w:t xml:space="preserve"> мора да ја преземе правната форма што овозможува продолжување на овие права, со што правната реорганизација не смее да биде средство за нивно заобиколување.</w:t>
      </w:r>
      <w:r w:rsidR="00B62DF2">
        <w:rPr>
          <w:rStyle w:val="FootnoteReference"/>
          <w:lang w:val="mk-MK"/>
        </w:rPr>
        <w:footnoteReference w:id="866"/>
      </w:r>
    </w:p>
    <w:p w14:paraId="71357FD7" w14:textId="39228419" w:rsidR="0033243B" w:rsidRDefault="00A959B2" w:rsidP="00A959B2">
      <w:pPr>
        <w:pStyle w:val="BodyText"/>
        <w:spacing w:before="240" w:after="240"/>
        <w:ind w:firstLine="720"/>
        <w:jc w:val="both"/>
        <w:rPr>
          <w:lang w:val="mk-MK"/>
        </w:rPr>
      </w:pPr>
      <w:r w:rsidRPr="00A959B2">
        <w:rPr>
          <w:lang w:val="mk-MK"/>
        </w:rPr>
        <w:t xml:space="preserve">Од аспект на темата </w:t>
      </w:r>
      <w:r>
        <w:rPr>
          <w:lang w:val="mk-MK"/>
        </w:rPr>
        <w:t>на дисертацијата</w:t>
      </w:r>
      <w:r w:rsidRPr="00A959B2">
        <w:rPr>
          <w:lang w:val="mk-MK"/>
        </w:rPr>
        <w:t>, овие одредби се релевантни затоа што уште еднаш потврдуваат дека македонското право признава легитимност на работничкото учество кога станува збор за сложени корпоративни трансакции со прекуграничен елемент. Истовремено, тоа повторно го отвора прашањето зошто вакви механизми на информирање, консултирање и застапеност не се применуваат пошироко и кај домашни поделби, реорганизации или преструктурирања, кои можат да имаат исто толку сериозни последици врз вработените. Оттука, прекуграничната поделба покажува дека проблемот не е во недостиг на правни модели, туку во ограничениот опсег на нивната примена.</w:t>
      </w:r>
    </w:p>
    <w:p w14:paraId="42C40FD3" w14:textId="12FA6B8F" w:rsidR="00F24623" w:rsidRPr="00884503" w:rsidRDefault="00CC2148" w:rsidP="00F24623">
      <w:pPr>
        <w:pStyle w:val="Heading2"/>
        <w:numPr>
          <w:ilvl w:val="1"/>
          <w:numId w:val="70"/>
        </w:numPr>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120" w:name="_Toc230523973"/>
      <w:r w:rsidR="00B117A0">
        <w:rPr>
          <w:rFonts w:ascii="Times New Roman" w:hAnsi="Times New Roman" w:cs="Times New Roman"/>
          <w:b w:val="0"/>
          <w:bCs w:val="0"/>
          <w:color w:val="000000" w:themeColor="text1"/>
          <w:sz w:val="24"/>
          <w:szCs w:val="24"/>
          <w:lang w:val="mk-MK"/>
        </w:rPr>
        <w:t>Недостатоците на предлог-Законот</w:t>
      </w:r>
      <w:r w:rsidR="00B117A0" w:rsidRPr="00B117A0">
        <w:t xml:space="preserve"> </w:t>
      </w:r>
      <w:r w:rsidR="00B117A0" w:rsidRPr="00B117A0">
        <w:rPr>
          <w:rFonts w:ascii="Times New Roman" w:hAnsi="Times New Roman" w:cs="Times New Roman"/>
          <w:b w:val="0"/>
          <w:bCs w:val="0"/>
          <w:color w:val="000000" w:themeColor="text1"/>
          <w:sz w:val="24"/>
          <w:szCs w:val="24"/>
          <w:lang w:val="mk-MK"/>
        </w:rPr>
        <w:t>за</w:t>
      </w:r>
      <w:r w:rsidR="00B117A0">
        <w:rPr>
          <w:rFonts w:ascii="Times New Roman" w:hAnsi="Times New Roman" w:cs="Times New Roman"/>
          <w:b w:val="0"/>
          <w:bCs w:val="0"/>
          <w:color w:val="000000" w:themeColor="text1"/>
          <w:sz w:val="24"/>
          <w:szCs w:val="24"/>
          <w:lang w:val="mk-MK"/>
        </w:rPr>
        <w:t xml:space="preserve"> целосно воспоставување на</w:t>
      </w:r>
      <w:r w:rsidR="00B117A0" w:rsidRPr="00B117A0">
        <w:rPr>
          <w:rFonts w:ascii="Times New Roman" w:hAnsi="Times New Roman" w:cs="Times New Roman"/>
          <w:b w:val="0"/>
          <w:bCs w:val="0"/>
          <w:color w:val="000000" w:themeColor="text1"/>
          <w:sz w:val="24"/>
          <w:szCs w:val="24"/>
          <w:lang w:val="mk-MK"/>
        </w:rPr>
        <w:t xml:space="preserve"> работничко акционерство и реално учество на вработените</w:t>
      </w:r>
      <w:bookmarkEnd w:id="120"/>
    </w:p>
    <w:p w14:paraId="6CAD25FC" w14:textId="25042815" w:rsidR="00970B01" w:rsidRDefault="00530432" w:rsidP="00530432">
      <w:pPr>
        <w:pStyle w:val="BodyText"/>
        <w:spacing w:before="240"/>
        <w:ind w:firstLine="720"/>
        <w:jc w:val="both"/>
        <w:rPr>
          <w:lang w:val="mk-MK"/>
        </w:rPr>
      </w:pPr>
      <w:r w:rsidRPr="00530432">
        <w:rPr>
          <w:lang w:val="mk-MK"/>
        </w:rPr>
        <w:t xml:space="preserve">Предлог Законот за трговски друштва несомнено претставува напредок во однос на претходната регулатива бидејќи поексплицитно и посистематски воведува повеќе механизми преку кои вработените можат да бидат вклучени во животот на друштвото. Сопственичката вклученост преку бесплатни или повластени акции, </w:t>
      </w:r>
      <w:r w:rsidR="00864748">
        <w:rPr>
          <w:lang w:val="mk-MK"/>
        </w:rPr>
        <w:t xml:space="preserve">што беше делумно присутна и во </w:t>
      </w:r>
      <w:r w:rsidR="00831236">
        <w:rPr>
          <w:lang w:val="mk-MK"/>
        </w:rPr>
        <w:t xml:space="preserve">сегашниот закон, </w:t>
      </w:r>
      <w:r w:rsidRPr="00530432">
        <w:rPr>
          <w:lang w:val="mk-MK"/>
        </w:rPr>
        <w:t>можноста за учество во добивката, одредени институционални форми на претставување, нови стандарди на транспарентност и посебните права при прекугранични операции се јасен сигнал дека македонското корпоративно право постепено се оддалечува од строго капитално ориентираниот модел. Сепак, и покрај овие позитивни исчекори, сè уште е прерано да се заклучи дека Македонија навистина воспоставила систем на работничко акционерство или обезбедила суштинска вклученост на вработените во корпоративното управување.</w:t>
      </w:r>
      <w:r w:rsidR="004A7E04">
        <w:rPr>
          <w:lang w:val="en-US"/>
        </w:rPr>
        <w:t xml:space="preserve"> </w:t>
      </w:r>
    </w:p>
    <w:p w14:paraId="4598D61D" w14:textId="23A1263D" w:rsidR="00831236" w:rsidRDefault="00415EA5" w:rsidP="00530432">
      <w:pPr>
        <w:pStyle w:val="BodyText"/>
        <w:spacing w:before="240"/>
        <w:ind w:firstLine="720"/>
        <w:jc w:val="both"/>
        <w:rPr>
          <w:lang w:val="mk-MK"/>
        </w:rPr>
      </w:pPr>
      <w:r w:rsidRPr="00415EA5">
        <w:rPr>
          <w:lang w:val="mk-MK"/>
        </w:rPr>
        <w:t xml:space="preserve">Најнапред, во делот на сопственичката вклученост, предложените решенија остануваат ограничени по обем и амбиција. Фондот за акции на вработени е ограничен на најмногу 5% од основната главнина, што во споредбена перспектива претставува </w:t>
      </w:r>
      <w:r w:rsidRPr="00415EA5">
        <w:rPr>
          <w:lang w:val="mk-MK"/>
        </w:rPr>
        <w:lastRenderedPageBreak/>
        <w:t xml:space="preserve">релативно низок праг. Во многу развиени модели на </w:t>
      </w:r>
      <w:r w:rsidRPr="00CA4842">
        <w:rPr>
          <w:i/>
          <w:iCs/>
          <w:lang w:val="mk-MK"/>
        </w:rPr>
        <w:t>employee share ownership</w:t>
      </w:r>
      <w:r w:rsidRPr="00415EA5">
        <w:rPr>
          <w:lang w:val="mk-MK"/>
        </w:rPr>
        <w:t xml:space="preserve"> токму значајниот удел создава реално чувство на сопственост, акумулација на капитал кај вработените и можност за долгорочно влијание врз корпоративната култура. Кога уделот е минимален, постои ризик институтот да има симболичен карактер, без суштинско економско значење. Дополнително, законот не создава даночни поттикнувања, не воспоставува национална политика за </w:t>
      </w:r>
      <w:r w:rsidRPr="004B102C">
        <w:rPr>
          <w:i/>
          <w:iCs/>
          <w:lang w:val="mk-MK"/>
        </w:rPr>
        <w:t>employee ownership</w:t>
      </w:r>
      <w:r w:rsidRPr="00415EA5">
        <w:rPr>
          <w:lang w:val="mk-MK"/>
        </w:rPr>
        <w:t xml:space="preserve"> и не предвидува обврска за поширока достапност на ваквите шеми, што се чести инструменти во компаративното право.</w:t>
      </w:r>
    </w:p>
    <w:p w14:paraId="6F001DE5" w14:textId="628E4DA3" w:rsidR="004B102C" w:rsidRDefault="00520EEE" w:rsidP="00530432">
      <w:pPr>
        <w:pStyle w:val="BodyText"/>
        <w:spacing w:before="240"/>
        <w:ind w:firstLine="720"/>
        <w:jc w:val="both"/>
        <w:rPr>
          <w:lang w:val="mk-MK"/>
        </w:rPr>
      </w:pPr>
      <w:r w:rsidRPr="00520EEE">
        <w:rPr>
          <w:lang w:val="mk-MK"/>
        </w:rPr>
        <w:t xml:space="preserve">Понатаму, иако се дозволуваат индивидуални договори за учество во добивката, не се воспоставува системско право на </w:t>
      </w:r>
      <w:r w:rsidR="00EE13CE">
        <w:rPr>
          <w:lang w:val="mk-MK"/>
        </w:rPr>
        <w:t>делење профит</w:t>
      </w:r>
      <w:r w:rsidRPr="00520EEE">
        <w:rPr>
          <w:lang w:val="mk-MK"/>
        </w:rPr>
        <w:t xml:space="preserve"> за вработените, ниту механизам што би ги поврзал корпоративните резултати со колективната благосостојба на работната сила. Отсуствува концепт според кој вработените како група би учествувале во создадената вредност, наместо тоа да зависи исклучиво од дискреција на менаџментот или индивидуални договорни односи.</w:t>
      </w:r>
    </w:p>
    <w:p w14:paraId="67DBDB09" w14:textId="48BA8DC1" w:rsidR="00EE13CE" w:rsidRDefault="00EE13CE" w:rsidP="00530432">
      <w:pPr>
        <w:pStyle w:val="BodyText"/>
        <w:spacing w:before="240"/>
        <w:ind w:firstLine="720"/>
        <w:jc w:val="both"/>
        <w:rPr>
          <w:lang w:val="mk-MK"/>
        </w:rPr>
      </w:pPr>
      <w:r w:rsidRPr="00EE13CE">
        <w:rPr>
          <w:lang w:val="mk-MK"/>
        </w:rPr>
        <w:t xml:space="preserve">Во сферата на институционалната вклученост, слабоста е уште поочигледна. Законот начелно предвидува дека учеството на вработените во управувањето ќе се уреди со посебен закон, но самиот не воспоставува конкретен модел за домашните друштва. Тоа значи дека нема задолжително претставување на вработените во надзорни одбори, нема право на избор на работнички директори, нема механизми за </w:t>
      </w:r>
      <w:r w:rsidR="0050059B">
        <w:rPr>
          <w:lang w:val="mk-MK"/>
        </w:rPr>
        <w:t xml:space="preserve">кодетерминација во </w:t>
      </w:r>
      <w:r w:rsidRPr="00EE13CE">
        <w:rPr>
          <w:lang w:val="mk-MK"/>
        </w:rPr>
        <w:t>големи</w:t>
      </w:r>
      <w:r w:rsidR="0050059B">
        <w:rPr>
          <w:lang w:val="mk-MK"/>
        </w:rPr>
        <w:t>те</w:t>
      </w:r>
      <w:r w:rsidRPr="00EE13CE">
        <w:rPr>
          <w:lang w:val="mk-MK"/>
        </w:rPr>
        <w:t xml:space="preserve"> компании, ниту обврзувачки консултативни совети во приватниот сектор. Во споредба со германскиот, нордискиот или делумно францускиот модел, македонското решение останува претежно декларативно</w:t>
      </w:r>
      <w:r w:rsidR="00E70643">
        <w:rPr>
          <w:lang w:val="mk-MK"/>
        </w:rPr>
        <w:t xml:space="preserve"> и речиси ништо не се менува во однос на статус-квото</w:t>
      </w:r>
      <w:r w:rsidRPr="00EE13CE">
        <w:rPr>
          <w:lang w:val="mk-MK"/>
        </w:rPr>
        <w:t>.</w:t>
      </w:r>
    </w:p>
    <w:p w14:paraId="346CE578" w14:textId="73D888D3" w:rsidR="00E70643" w:rsidRDefault="00991C0A" w:rsidP="00530432">
      <w:pPr>
        <w:pStyle w:val="BodyText"/>
        <w:spacing w:before="240"/>
        <w:ind w:firstLine="720"/>
        <w:jc w:val="both"/>
        <w:rPr>
          <w:lang w:val="mk-MK"/>
        </w:rPr>
      </w:pPr>
      <w:r w:rsidRPr="00991C0A">
        <w:rPr>
          <w:lang w:val="mk-MK"/>
        </w:rPr>
        <w:t>Иако одредени позитивни решенија постојат кај државните друштва, како учество на вработени во комисиите за селекција или поврзување на надоместоците со просечната плата, тие се ограничени на јавниот сектор и не создаваат општ корпоративен стандард. На тој начин, вклученоста на вработените останува секторски фрагментирана наместо системски уредена.</w:t>
      </w:r>
    </w:p>
    <w:p w14:paraId="10F3FD0B" w14:textId="544A2A2E" w:rsidR="00991C0A" w:rsidRDefault="006341F6" w:rsidP="00530432">
      <w:pPr>
        <w:pStyle w:val="BodyText"/>
        <w:spacing w:before="240"/>
        <w:ind w:firstLine="720"/>
        <w:jc w:val="both"/>
        <w:rPr>
          <w:lang w:val="en-US"/>
        </w:rPr>
      </w:pPr>
      <w:r w:rsidRPr="006341F6">
        <w:rPr>
          <w:lang w:val="mk-MK"/>
        </w:rPr>
        <w:t xml:space="preserve">Во делот на транспарентноста, законодавецот воведува корисни механизми, како споредба на менаџерските примања со просечните примања на вработените и обврска да се објасни како биле земени предвид платите и условите за работа. Ова е значајно за отчетноста, но транспарентноста сама по себе не е учество. Таа информира, но не овластува. Без право на вработените да влијаат врз политиките за наградување, да даваат обврзувачки мислења или преку свои претставници да учествуваат во одлучувањето, овие одредби остануваат ограничени на </w:t>
      </w:r>
      <w:r w:rsidRPr="006341F6">
        <w:rPr>
          <w:i/>
          <w:iCs/>
          <w:lang w:val="mk-MK"/>
        </w:rPr>
        <w:t xml:space="preserve">disclosure </w:t>
      </w:r>
      <w:r w:rsidRPr="006341F6">
        <w:rPr>
          <w:lang w:val="mk-MK"/>
        </w:rPr>
        <w:t>модел.</w:t>
      </w:r>
      <w:r>
        <w:rPr>
          <w:rStyle w:val="FootnoteReference"/>
          <w:lang w:val="mk-MK"/>
        </w:rPr>
        <w:footnoteReference w:id="867"/>
      </w:r>
    </w:p>
    <w:p w14:paraId="35CAC037" w14:textId="6258A5AE" w:rsidR="004F5766" w:rsidRDefault="004F5766" w:rsidP="00530432">
      <w:pPr>
        <w:pStyle w:val="BodyText"/>
        <w:spacing w:before="240"/>
        <w:ind w:firstLine="720"/>
        <w:jc w:val="both"/>
        <w:rPr>
          <w:lang w:val="mk-MK"/>
        </w:rPr>
      </w:pPr>
      <w:r w:rsidRPr="004F5766">
        <w:rPr>
          <w:lang w:val="mk-MK"/>
        </w:rPr>
        <w:t xml:space="preserve">Најразвиените форми на работничко учество се предвидени кај прекуграничните операции, каде постојат права на информирање, консултирање, претставување во органите и четиригодишна заштита на стекнатите права. Токму ова покажува дека македонскиот правен систем знае и може да имплементира напредни модели на </w:t>
      </w:r>
      <w:r w:rsidR="006F07C0">
        <w:rPr>
          <w:lang w:val="mk-MK"/>
        </w:rPr>
        <w:t>вклученост на вработените</w:t>
      </w:r>
      <w:r w:rsidRPr="004F5766">
        <w:rPr>
          <w:lang w:val="mk-MK"/>
        </w:rPr>
        <w:t xml:space="preserve"> кога тоа го бара европската правна рамка. Но истовремено, тоа ја открива и најголемата слабост на реформата</w:t>
      </w:r>
      <w:r w:rsidR="006F07C0">
        <w:rPr>
          <w:lang w:val="mk-MK"/>
        </w:rPr>
        <w:t xml:space="preserve"> што</w:t>
      </w:r>
      <w:r w:rsidRPr="004F5766">
        <w:rPr>
          <w:lang w:val="mk-MK"/>
        </w:rPr>
        <w:t xml:space="preserve"> истите стандарди не важат за домашните компании што не се вклучени во прекугранични трансакции. Оттука се создава парадоксална состојба во која работник во компанија што се спојува </w:t>
      </w:r>
      <w:r w:rsidRPr="004F5766">
        <w:rPr>
          <w:lang w:val="mk-MK"/>
        </w:rPr>
        <w:lastRenderedPageBreak/>
        <w:t>прекугранично може да има посилни права од работник во големо домашно друштво со идентична економска тежина.</w:t>
      </w:r>
    </w:p>
    <w:p w14:paraId="06636C86" w14:textId="15A47B6E" w:rsidR="006F07C0" w:rsidRDefault="008E2CAD" w:rsidP="00530432">
      <w:pPr>
        <w:pStyle w:val="BodyText"/>
        <w:spacing w:before="240"/>
        <w:ind w:firstLine="720"/>
        <w:jc w:val="both"/>
        <w:rPr>
          <w:lang w:val="mk-MK"/>
        </w:rPr>
      </w:pPr>
      <w:r w:rsidRPr="008E2CAD">
        <w:rPr>
          <w:lang w:val="mk-MK"/>
        </w:rPr>
        <w:t>За да може навистина да се каже дека Македонија воспоставила модел на работничко акционерство и реална вклученост на вработените, би било потребно понатамошно продлабочување на реформата. Тоа би вклучувало повисоки или пофлексибилни лимити за акции на вработени, даночни и финансиски поттикнувања за</w:t>
      </w:r>
      <w:r w:rsidR="00716933">
        <w:rPr>
          <w:i/>
          <w:iCs/>
          <w:lang w:val="mk-MK"/>
        </w:rPr>
        <w:t xml:space="preserve"> </w:t>
      </w:r>
      <w:r w:rsidR="00716933">
        <w:rPr>
          <w:lang w:val="mk-MK"/>
        </w:rPr>
        <w:t>сопственост</w:t>
      </w:r>
      <w:r w:rsidR="00146B36">
        <w:rPr>
          <w:lang w:val="mk-MK"/>
        </w:rPr>
        <w:t>а</w:t>
      </w:r>
      <w:r w:rsidR="00716933">
        <w:rPr>
          <w:lang w:val="mk-MK"/>
        </w:rPr>
        <w:t xml:space="preserve"> на вработените</w:t>
      </w:r>
      <w:r w:rsidRPr="008E2CAD">
        <w:rPr>
          <w:lang w:val="mk-MK"/>
        </w:rPr>
        <w:t>, колективни шеми за учество во добивката, задолжително претставување на вработените во органите на надзор кај големи компании, работнички совети со консултативни и коодлучувачки функции, како и поширока примена на правилата што веќе важат во прекуграничниот контекст. Оттука, актуелниот предлог-закон треба да се оцени како важен прв чекор, но не и како завршена реформа</w:t>
      </w:r>
      <w:r w:rsidR="00C82544">
        <w:rPr>
          <w:lang w:val="mk-MK"/>
        </w:rPr>
        <w:t xml:space="preserve"> туку само како почеток на процсот</w:t>
      </w:r>
      <w:r w:rsidRPr="008E2CAD">
        <w:rPr>
          <w:lang w:val="mk-MK"/>
        </w:rPr>
        <w:t>. Тој отвора врата кон поинклузивен модел на корпоративно управување, но сè уште не ја преминува границата од ограничена вклученост кон вистинска економска демократија.</w:t>
      </w:r>
    </w:p>
    <w:p w14:paraId="7C52A699" w14:textId="21C798B2" w:rsidR="00E70643" w:rsidRPr="00DB33D8" w:rsidRDefault="00C82544" w:rsidP="00DB33D8">
      <w:pPr>
        <w:pStyle w:val="BodyText"/>
        <w:spacing w:before="240" w:after="240"/>
        <w:ind w:firstLine="720"/>
        <w:jc w:val="both"/>
        <w:rPr>
          <w:lang w:val="mk-MK"/>
        </w:rPr>
      </w:pPr>
      <w:r>
        <w:rPr>
          <w:lang w:val="mk-MK"/>
        </w:rPr>
        <w:t>Заклучно, вклучително и со измените на ЗТД и верзијата која во моментот на пишување на оваа дисертација се наоѓа во собраниска процедура,</w:t>
      </w:r>
      <w:r w:rsidR="00DB33D8">
        <w:rPr>
          <w:lang w:val="mk-MK"/>
        </w:rPr>
        <w:t xml:space="preserve"> з</w:t>
      </w:r>
      <w:r w:rsidR="008E2CAD" w:rsidRPr="008E2CAD">
        <w:rPr>
          <w:lang w:val="mk-MK"/>
        </w:rPr>
        <w:t xml:space="preserve">а домашни друштва кои не се вклучени во прекугранични операции, самиот закон не уредува директно учество на вработените во органите на друштвото, туку ова го остава на посебен закон </w:t>
      </w:r>
      <w:r w:rsidR="00DB33D8">
        <w:rPr>
          <w:lang w:val="mk-MK"/>
        </w:rPr>
        <w:t>како и досега</w:t>
      </w:r>
      <w:r w:rsidR="008E2CAD" w:rsidRPr="008E2CAD">
        <w:rPr>
          <w:lang w:val="mk-MK"/>
        </w:rPr>
        <w:t>.</w:t>
      </w:r>
      <w:r w:rsidR="00DB33D8">
        <w:rPr>
          <w:lang w:val="mk-MK"/>
        </w:rPr>
        <w:t xml:space="preserve"> Таков закон се уште не постои и воошто не е најавено дека ќе се донесе во блиска иднина.</w:t>
      </w:r>
      <w:r w:rsidR="008E2CAD" w:rsidRPr="008E2CAD">
        <w:rPr>
          <w:lang w:val="mk-MK"/>
        </w:rPr>
        <w:t xml:space="preserve"> Деталните правила за учество на вработените во одлучувањето се активираат исклучиво во прекуграничен контекст и се базираат на Законот за европско друштво.</w:t>
      </w:r>
    </w:p>
    <w:p w14:paraId="35164162" w14:textId="59EFFDA8" w:rsidR="00415EA5" w:rsidRPr="001B24DD" w:rsidRDefault="00683B40" w:rsidP="00415EA5">
      <w:pPr>
        <w:pStyle w:val="Heading1"/>
        <w:numPr>
          <w:ilvl w:val="0"/>
          <w:numId w:val="70"/>
        </w:numPr>
        <w:spacing w:after="240"/>
        <w:jc w:val="both"/>
      </w:pPr>
      <w:bookmarkStart w:id="121" w:name="_Toc230523974"/>
      <w:r>
        <w:rPr>
          <w:lang w:val="mk-MK"/>
        </w:rPr>
        <w:t>Статус-квото на к</w:t>
      </w:r>
      <w:r w:rsidRPr="00683B40">
        <w:rPr>
          <w:lang w:val="mk-MK"/>
        </w:rPr>
        <w:t>орпоративното управување</w:t>
      </w:r>
      <w:r>
        <w:rPr>
          <w:lang w:val="mk-MK"/>
        </w:rPr>
        <w:t xml:space="preserve"> во Македонија</w:t>
      </w:r>
      <w:bookmarkEnd w:id="121"/>
    </w:p>
    <w:p w14:paraId="7EFA28F6" w14:textId="0591E9D6" w:rsidR="00AE3BE6" w:rsidRDefault="009C4B50" w:rsidP="00AA2345">
      <w:pPr>
        <w:pStyle w:val="BodyText"/>
        <w:spacing w:before="240"/>
        <w:ind w:firstLine="720"/>
        <w:jc w:val="both"/>
        <w:rPr>
          <w:lang w:val="mk-MK"/>
        </w:rPr>
      </w:pPr>
      <w:r w:rsidRPr="009C4B50">
        <w:rPr>
          <w:lang w:val="mk-MK"/>
        </w:rPr>
        <w:t>Концептот на корпоративното управување</w:t>
      </w:r>
      <w:r w:rsidR="00663C64">
        <w:rPr>
          <w:lang w:val="mk-MK"/>
        </w:rPr>
        <w:t xml:space="preserve"> </w:t>
      </w:r>
      <w:r w:rsidRPr="009C4B50">
        <w:rPr>
          <w:lang w:val="mk-MK"/>
        </w:rPr>
        <w:t>е во длабока врска со прашањето за тоа чии интереси треба да ги служи компанијата и кој треба да ги контролира оние на кои им е доверена нејзината управа. Во тој контекст, дефиницијата на Taylor Bernard останува незаменлива о</w:t>
      </w:r>
      <w:r w:rsidR="00663C64">
        <w:rPr>
          <w:lang w:val="mk-MK"/>
        </w:rPr>
        <w:t xml:space="preserve">д </w:t>
      </w:r>
      <w:r w:rsidRPr="009C4B50">
        <w:rPr>
          <w:lang w:val="mk-MK"/>
        </w:rPr>
        <w:t>правна точка</w:t>
      </w:r>
      <w:r w:rsidR="00663C64">
        <w:rPr>
          <w:lang w:val="mk-MK"/>
        </w:rPr>
        <w:t>,</w:t>
      </w:r>
      <w:r w:rsidRPr="009C4B50">
        <w:rPr>
          <w:lang w:val="mk-MK"/>
        </w:rPr>
        <w:t xml:space="preserve"> корпоративното управување (КУ) е наука која се занимава со прашањето „како оние на кои им делегирате огромна моќ да се направат одговорни на оние на чии интереси треба да им служат".</w:t>
      </w:r>
      <w:r w:rsidR="00663C64">
        <w:rPr>
          <w:rStyle w:val="FootnoteReference"/>
          <w:lang w:val="mk-MK"/>
        </w:rPr>
        <w:footnoteReference w:id="868"/>
      </w:r>
      <w:r w:rsidRPr="009C4B50">
        <w:rPr>
          <w:lang w:val="mk-MK"/>
        </w:rPr>
        <w:t xml:space="preserve"> Иако оваа дефиниција на прв поглед упатува само на односот помеѓу акционерите и менаџментот, нејзиниот нормативен </w:t>
      </w:r>
      <w:r w:rsidR="005531FC">
        <w:rPr>
          <w:lang w:val="mk-MK"/>
        </w:rPr>
        <w:t>опсеф</w:t>
      </w:r>
      <w:r w:rsidRPr="009C4B50">
        <w:rPr>
          <w:lang w:val="mk-MK"/>
        </w:rPr>
        <w:t xml:space="preserve"> е значително поширок</w:t>
      </w:r>
      <w:r w:rsidR="009126DA">
        <w:rPr>
          <w:lang w:val="mk-MK"/>
        </w:rPr>
        <w:t xml:space="preserve"> затоа што</w:t>
      </w:r>
      <w:r w:rsidRPr="009C4B50">
        <w:rPr>
          <w:lang w:val="mk-MK"/>
        </w:rPr>
        <w:t xml:space="preserve"> таа не ги исклучува вработените од кругот на оние чии интереси треба да бидат служени</w:t>
      </w:r>
      <w:r w:rsidR="00AA2345">
        <w:rPr>
          <w:lang w:val="mk-MK"/>
        </w:rPr>
        <w:t>,</w:t>
      </w:r>
      <w:r w:rsidRPr="009C4B50">
        <w:rPr>
          <w:lang w:val="mk-MK"/>
        </w:rPr>
        <w:t xml:space="preserve"> напротив, во контекст на современото корпоративно право, тие сè поизразито се препознаваат токму во таа улога</w:t>
      </w:r>
      <w:r w:rsidR="00A81AC3">
        <w:rPr>
          <w:lang w:val="mk-MK"/>
        </w:rPr>
        <w:t>.</w:t>
      </w:r>
      <w:r w:rsidR="00A81AC3">
        <w:rPr>
          <w:rStyle w:val="FootnoteReference"/>
          <w:lang w:val="mk-MK"/>
        </w:rPr>
        <w:footnoteReference w:id="869"/>
      </w:r>
    </w:p>
    <w:p w14:paraId="2F1DEA2B" w14:textId="703FB3A7" w:rsidR="003B3893" w:rsidRDefault="00DC1E3B" w:rsidP="00AA2345">
      <w:pPr>
        <w:pStyle w:val="BodyText"/>
        <w:spacing w:before="240"/>
        <w:ind w:firstLine="720"/>
        <w:jc w:val="both"/>
        <w:rPr>
          <w:lang w:val="mk-MK"/>
        </w:rPr>
      </w:pPr>
      <w:r>
        <w:rPr>
          <w:lang w:val="mk-MK"/>
        </w:rPr>
        <w:t xml:space="preserve">Оваа дисертација го анализираше </w:t>
      </w:r>
      <w:r w:rsidR="007E657B">
        <w:rPr>
          <w:lang w:val="mk-MK"/>
        </w:rPr>
        <w:t>КУ</w:t>
      </w:r>
      <w:r>
        <w:rPr>
          <w:lang w:val="mk-MK"/>
        </w:rPr>
        <w:t xml:space="preserve"> како поширок процес, но</w:t>
      </w:r>
      <w:r w:rsidR="006A5E27">
        <w:rPr>
          <w:lang w:val="mk-MK"/>
        </w:rPr>
        <w:t xml:space="preserve"> п</w:t>
      </w:r>
      <w:r w:rsidRPr="00DC1E3B">
        <w:rPr>
          <w:lang w:val="mk-MK"/>
        </w:rPr>
        <w:t xml:space="preserve">роширената </w:t>
      </w:r>
      <w:r w:rsidRPr="00DC1E3B">
        <w:rPr>
          <w:lang w:val="mk-MK"/>
        </w:rPr>
        <w:lastRenderedPageBreak/>
        <w:t>дефиниција на КУ</w:t>
      </w:r>
      <w:r w:rsidR="006A5E27">
        <w:rPr>
          <w:lang w:val="mk-MK"/>
        </w:rPr>
        <w:t xml:space="preserve">, </w:t>
      </w:r>
      <w:r w:rsidRPr="00DC1E3B">
        <w:rPr>
          <w:lang w:val="mk-MK"/>
        </w:rPr>
        <w:t>сфатено како севкупност на правното, институционалното, регулаторното, економското и социјалното опкружување и влијанието и сигналите кои тоа опкружување ги врши врз внатрешното управување и распределбата на моќта во крупните акционерски друштва</w:t>
      </w:r>
      <w:r w:rsidR="006A5E27">
        <w:rPr>
          <w:lang w:val="mk-MK"/>
        </w:rPr>
        <w:t>, допрва треба да биде</w:t>
      </w:r>
      <w:r w:rsidRPr="00DC1E3B">
        <w:rPr>
          <w:lang w:val="mk-MK"/>
        </w:rPr>
        <w:t xml:space="preserve"> директно </w:t>
      </w:r>
      <w:r w:rsidR="006A5E27">
        <w:rPr>
          <w:lang w:val="mk-MK"/>
        </w:rPr>
        <w:t>разгледана и анализиран</w:t>
      </w:r>
      <w:r w:rsidR="007E657B">
        <w:rPr>
          <w:lang w:val="mk-MK"/>
        </w:rPr>
        <w:t xml:space="preserve">а </w:t>
      </w:r>
      <w:r w:rsidR="006A5E27">
        <w:rPr>
          <w:lang w:val="mk-MK"/>
        </w:rPr>
        <w:t>преку</w:t>
      </w:r>
      <w:r w:rsidRPr="00DC1E3B">
        <w:rPr>
          <w:lang w:val="mk-MK"/>
        </w:rPr>
        <w:t xml:space="preserve"> улогата на вработените</w:t>
      </w:r>
      <w:r w:rsidR="006A5E27">
        <w:rPr>
          <w:lang w:val="mk-MK"/>
        </w:rPr>
        <w:t xml:space="preserve"> во Македонија</w:t>
      </w:r>
      <w:r w:rsidRPr="00DC1E3B">
        <w:rPr>
          <w:lang w:val="mk-MK"/>
        </w:rPr>
        <w:t>. Кога вработените поседуваат акции во компанијата за која работат, тие истовремено ја менуваат својата правна позиција</w:t>
      </w:r>
      <w:r w:rsidR="007E657B">
        <w:rPr>
          <w:lang w:val="mk-MK"/>
        </w:rPr>
        <w:t xml:space="preserve"> затоа што</w:t>
      </w:r>
      <w:r w:rsidRPr="00DC1E3B">
        <w:rPr>
          <w:lang w:val="mk-MK"/>
        </w:rPr>
        <w:t xml:space="preserve"> тие не се повеќе само фактор на производство</w:t>
      </w:r>
      <w:r w:rsidR="007E657B">
        <w:rPr>
          <w:lang w:val="mk-MK"/>
        </w:rPr>
        <w:t>, туку</w:t>
      </w:r>
      <w:r w:rsidRPr="00DC1E3B">
        <w:rPr>
          <w:lang w:val="mk-MK"/>
        </w:rPr>
        <w:t xml:space="preserve"> стануваат и носители на капитал, со правно заштитени интереси во управувањето со компанијата. Токму оваа двојна позиција го прави проучувањето на акционерството на вработените хибридна дисциплина, која ги поврзува трудовото право, корпоративното право и економијата на информации.</w:t>
      </w:r>
    </w:p>
    <w:p w14:paraId="376EB330" w14:textId="44E4F7B3" w:rsidR="002C7BB1" w:rsidRDefault="002C7BB1" w:rsidP="00AA2345">
      <w:pPr>
        <w:pStyle w:val="BodyText"/>
        <w:spacing w:before="240"/>
        <w:ind w:firstLine="720"/>
        <w:jc w:val="both"/>
        <w:rPr>
          <w:lang w:val="mk-MK"/>
        </w:rPr>
      </w:pPr>
      <w:r w:rsidRPr="002C7BB1">
        <w:rPr>
          <w:lang w:val="mk-MK"/>
        </w:rPr>
        <w:t>Незаобиколна теор</w:t>
      </w:r>
      <w:r w:rsidR="00FB39CC">
        <w:rPr>
          <w:lang w:val="mk-MK"/>
        </w:rPr>
        <w:t>ертска</w:t>
      </w:r>
      <w:r w:rsidRPr="002C7BB1">
        <w:rPr>
          <w:lang w:val="mk-MK"/>
        </w:rPr>
        <w:t xml:space="preserve"> рамка при разгледувањето на учеството на вработените</w:t>
      </w:r>
      <w:r w:rsidR="00FB39CC">
        <w:rPr>
          <w:lang w:val="mk-MK"/>
        </w:rPr>
        <w:t xml:space="preserve"> во оваа смисла</w:t>
      </w:r>
      <w:r w:rsidRPr="002C7BB1">
        <w:rPr>
          <w:lang w:val="mk-MK"/>
        </w:rPr>
        <w:t xml:space="preserve"> е агентската теорија на Jensen и Meckling </w:t>
      </w:r>
      <w:r w:rsidR="006D420F">
        <w:rPr>
          <w:lang w:val="mk-MK"/>
        </w:rPr>
        <w:t xml:space="preserve">од </w:t>
      </w:r>
      <w:r w:rsidRPr="002C7BB1">
        <w:rPr>
          <w:lang w:val="mk-MK"/>
        </w:rPr>
        <w:t>1976</w:t>
      </w:r>
      <w:r w:rsidR="006D420F">
        <w:rPr>
          <w:lang w:val="mk-MK"/>
        </w:rPr>
        <w:t xml:space="preserve"> година</w:t>
      </w:r>
      <w:r w:rsidRPr="002C7BB1">
        <w:rPr>
          <w:lang w:val="mk-MK"/>
        </w:rPr>
        <w:t xml:space="preserve">, чија основна теза е дека секогаш кога едно лице (принципалот) ангажира друго лице (агентот) да врши дејствија во негово име, постои опасност агентот да ги следи своите сопствени интереси наместо интересите на принципалот. Во применетата форма кон корпоративното управување, агентските трошоци произлегуваат токму од оваа дивергенција на интереси помеѓу акционерите (принципали) и менаџерите (агенти). Jensen и Meckling ги дефинираат агентските трошоци преку три компоненти: трошоците за надзор на однесувањето на агентот, трошоците за врзување (bonding costs) и резидуалниот губиток кој настанува затоа </w:t>
      </w:r>
      <w:r w:rsidR="00027A11">
        <w:rPr>
          <w:lang w:val="mk-MK"/>
        </w:rPr>
        <w:t>што</w:t>
      </w:r>
      <w:r w:rsidRPr="002C7BB1">
        <w:rPr>
          <w:lang w:val="mk-MK"/>
        </w:rPr>
        <w:t xml:space="preserve"> одлуките на агентот не ги максимизираат добробитите на принципалот.</w:t>
      </w:r>
    </w:p>
    <w:p w14:paraId="483A9612" w14:textId="0AC76D98" w:rsidR="00027A11" w:rsidRDefault="00A723A4" w:rsidP="00AA2345">
      <w:pPr>
        <w:pStyle w:val="BodyText"/>
        <w:spacing w:before="240"/>
        <w:ind w:firstLine="720"/>
        <w:jc w:val="both"/>
        <w:rPr>
          <w:lang w:val="mk-MK"/>
        </w:rPr>
      </w:pPr>
      <w:r w:rsidRPr="00A723A4">
        <w:rPr>
          <w:lang w:val="mk-MK"/>
        </w:rPr>
        <w:t>Клучниот увид за темата на акционерството на вработените е тој дека кога вработените стануваат акционери, тие</w:t>
      </w:r>
      <w:r>
        <w:rPr>
          <w:lang w:val="mk-MK"/>
        </w:rPr>
        <w:t>,</w:t>
      </w:r>
      <w:r w:rsidRPr="00A723A4">
        <w:rPr>
          <w:lang w:val="mk-MK"/>
        </w:rPr>
        <w:t xml:space="preserve"> барем делумно</w:t>
      </w:r>
      <w:r>
        <w:rPr>
          <w:lang w:val="mk-MK"/>
        </w:rPr>
        <w:t xml:space="preserve">, </w:t>
      </w:r>
      <w:r w:rsidRPr="00A723A4">
        <w:rPr>
          <w:lang w:val="mk-MK"/>
        </w:rPr>
        <w:t>ја менуваат позицијата на „трета страна" и ја преземаат улогата на принципали. Во тие услови, нивните интереси</w:t>
      </w:r>
      <w:r>
        <w:rPr>
          <w:lang w:val="mk-MK"/>
        </w:rPr>
        <w:t xml:space="preserve"> </w:t>
      </w:r>
      <w:r w:rsidRPr="00A723A4">
        <w:rPr>
          <w:lang w:val="mk-MK"/>
        </w:rPr>
        <w:t xml:space="preserve">поблиску </w:t>
      </w:r>
      <w:r>
        <w:rPr>
          <w:lang w:val="mk-MK"/>
        </w:rPr>
        <w:t xml:space="preserve">се </w:t>
      </w:r>
      <w:r w:rsidRPr="00A723A4">
        <w:rPr>
          <w:lang w:val="mk-MK"/>
        </w:rPr>
        <w:t xml:space="preserve">поврзуваат со долгорочните перформанси на компанијата, а агентскиот конфликт се ублажува. Истражувачите во областа на корпоративното управување докажале дека сопственичките структури во кои вработените имаат дел ги намалуваат информациските асиметрии помеѓу работниот тим и менаџментот бидејќи </w:t>
      </w:r>
      <w:r w:rsidR="005E7D96">
        <w:rPr>
          <w:lang w:val="mk-MK"/>
        </w:rPr>
        <w:t>„</w:t>
      </w:r>
      <w:r w:rsidRPr="00A723A4">
        <w:rPr>
          <w:lang w:val="mk-MK"/>
        </w:rPr>
        <w:t>добро информираните вработени можат значително да придонесат за ефективноста на одборите на директори</w:t>
      </w:r>
      <w:r w:rsidR="005E7D96">
        <w:rPr>
          <w:lang w:val="mk-MK"/>
        </w:rPr>
        <w:t xml:space="preserve"> и</w:t>
      </w:r>
      <w:r w:rsidRPr="00A723A4">
        <w:rPr>
          <w:lang w:val="mk-MK"/>
        </w:rPr>
        <w:t xml:space="preserve"> нивната клучна функција на надзор и контрола</w:t>
      </w:r>
      <w:r w:rsidR="005E7D96">
        <w:rPr>
          <w:lang w:val="mk-MK"/>
        </w:rPr>
        <w:t>.</w:t>
      </w:r>
      <w:r w:rsidR="005E7D96">
        <w:rPr>
          <w:rStyle w:val="FootnoteReference"/>
          <w:lang w:val="mk-MK"/>
        </w:rPr>
        <w:footnoteReference w:id="870"/>
      </w:r>
      <w:r w:rsidRPr="00A723A4">
        <w:rPr>
          <w:lang w:val="mk-MK"/>
        </w:rPr>
        <w:t xml:space="preserve"> Оттука, </w:t>
      </w:r>
      <w:r w:rsidR="00EB761F">
        <w:rPr>
          <w:lang w:val="mk-MK"/>
        </w:rPr>
        <w:t xml:space="preserve">на </w:t>
      </w:r>
      <w:r w:rsidRPr="00A723A4">
        <w:rPr>
          <w:lang w:val="mk-MK"/>
        </w:rPr>
        <w:t xml:space="preserve">акционерството на вработените </w:t>
      </w:r>
      <w:r w:rsidR="00EB761F">
        <w:rPr>
          <w:lang w:val="mk-MK"/>
        </w:rPr>
        <w:t>може да се гледа како на</w:t>
      </w:r>
      <w:r w:rsidRPr="00A723A4">
        <w:rPr>
          <w:lang w:val="mk-MK"/>
        </w:rPr>
        <w:t xml:space="preserve"> механизам за намалување на суштинска пазарна неуспешност.</w:t>
      </w:r>
    </w:p>
    <w:p w14:paraId="4198D54D" w14:textId="2349F2C4" w:rsidR="00EB761F" w:rsidRDefault="00AC181D" w:rsidP="00AA2345">
      <w:pPr>
        <w:pStyle w:val="BodyText"/>
        <w:spacing w:before="240"/>
        <w:ind w:firstLine="720"/>
        <w:jc w:val="both"/>
        <w:rPr>
          <w:lang w:val="mk-MK"/>
        </w:rPr>
      </w:pPr>
      <w:r w:rsidRPr="00AC181D">
        <w:rPr>
          <w:lang w:val="mk-MK"/>
        </w:rPr>
        <w:t xml:space="preserve">Во стопанствата во кои постои концентрирана сопственост, каков </w:t>
      </w:r>
      <w:r>
        <w:rPr>
          <w:lang w:val="mk-MK"/>
        </w:rPr>
        <w:t xml:space="preserve">што </w:t>
      </w:r>
      <w:r w:rsidRPr="00AC181D">
        <w:rPr>
          <w:lang w:val="mk-MK"/>
        </w:rPr>
        <w:t>е случајот и со македонскиот пазар на капитал, агентскиот конфликт дополнително добива форма на конфликт помеѓу мнозинските и малцинските акционери. Во таков контекст, вработените-акционери претставуваат специфична категорија</w:t>
      </w:r>
      <w:r>
        <w:rPr>
          <w:lang w:val="mk-MK"/>
        </w:rPr>
        <w:t xml:space="preserve"> затоа што</w:t>
      </w:r>
      <w:r w:rsidRPr="00AC181D">
        <w:rPr>
          <w:lang w:val="mk-MK"/>
        </w:rPr>
        <w:t xml:space="preserve"> тие имаат природна стимулација да бидат информирани за работењето на компанијата бидејќи нивниот работен ангажман им обезбедува длабоки познавања за состојбата, но истовремено се системски ранливи </w:t>
      </w:r>
      <w:r w:rsidR="003E0C30">
        <w:rPr>
          <w:lang w:val="mk-MK"/>
        </w:rPr>
        <w:t>затоа што</w:t>
      </w:r>
      <w:r w:rsidRPr="00AC181D">
        <w:rPr>
          <w:lang w:val="mk-MK"/>
        </w:rPr>
        <w:t xml:space="preserve"> нивниот имотен и работен статус се врзани за истата правна единица. Оваа „двојна изложеност" е клучна за разбирањето на специфичниот правен режим кој мора да ги уреди шемите за акционерство на вработените.</w:t>
      </w:r>
      <w:r w:rsidR="003E0C30">
        <w:rPr>
          <w:rStyle w:val="FootnoteReference"/>
          <w:lang w:val="mk-MK"/>
        </w:rPr>
        <w:footnoteReference w:id="871"/>
      </w:r>
    </w:p>
    <w:p w14:paraId="23F90261" w14:textId="2FF7BAFD" w:rsidR="000F79CF" w:rsidRDefault="000F79CF" w:rsidP="00AA2345">
      <w:pPr>
        <w:pStyle w:val="BodyText"/>
        <w:spacing w:before="240"/>
        <w:ind w:firstLine="720"/>
        <w:jc w:val="both"/>
        <w:rPr>
          <w:lang w:val="mk-MK"/>
        </w:rPr>
      </w:pPr>
      <w:r>
        <w:rPr>
          <w:lang w:val="mk-MK"/>
        </w:rPr>
        <w:lastRenderedPageBreak/>
        <w:t>Наспроти а</w:t>
      </w:r>
      <w:r w:rsidRPr="000F79CF">
        <w:rPr>
          <w:lang w:val="mk-MK"/>
        </w:rPr>
        <w:t>кционерскиот модел на корпоративно управување кој ексклузивно се фокусира на максимизирање на акционерската вредност, теоријата на заинтересираните страни (stakeholder theory)</w:t>
      </w:r>
      <w:r w:rsidR="009B6306">
        <w:rPr>
          <w:lang w:val="en-US"/>
        </w:rPr>
        <w:t>,</w:t>
      </w:r>
      <w:r w:rsidRPr="000F79CF">
        <w:rPr>
          <w:lang w:val="mk-MK"/>
        </w:rPr>
        <w:t xml:space="preserve"> во нејзините клучни разработки кај Blair </w:t>
      </w:r>
      <w:r w:rsidR="009B6306">
        <w:rPr>
          <w:lang w:val="mk-MK"/>
        </w:rPr>
        <w:t xml:space="preserve">од </w:t>
      </w:r>
      <w:r w:rsidRPr="000F79CF">
        <w:rPr>
          <w:lang w:val="mk-MK"/>
        </w:rPr>
        <w:t>1995</w:t>
      </w:r>
      <w:r w:rsidR="009B6306">
        <w:rPr>
          <w:lang w:val="mk-MK"/>
        </w:rPr>
        <w:t xml:space="preserve"> година</w:t>
      </w:r>
      <w:r w:rsidRPr="000F79CF">
        <w:rPr>
          <w:lang w:val="mk-MK"/>
        </w:rPr>
        <w:t xml:space="preserve"> и Blair и Roe </w:t>
      </w:r>
      <w:r w:rsidR="009B6306">
        <w:rPr>
          <w:lang w:val="mk-MK"/>
        </w:rPr>
        <w:t xml:space="preserve">од </w:t>
      </w:r>
      <w:r w:rsidRPr="000F79CF">
        <w:rPr>
          <w:lang w:val="mk-MK"/>
        </w:rPr>
        <w:t>1999</w:t>
      </w:r>
      <w:r w:rsidR="009B6306">
        <w:rPr>
          <w:lang w:val="mk-MK"/>
        </w:rPr>
        <w:t xml:space="preserve"> година,</w:t>
      </w:r>
      <w:r w:rsidRPr="000F79CF">
        <w:rPr>
          <w:lang w:val="mk-MK"/>
        </w:rPr>
        <w:t xml:space="preserve"> ги препознава вработените, заедниците, добавувачите и клиентите како легитимни носители на побарувања врз корпоративното создавање вредност. Blair </w:t>
      </w:r>
      <w:r w:rsidR="00B60AC6">
        <w:rPr>
          <w:lang w:val="mk-MK"/>
        </w:rPr>
        <w:t xml:space="preserve">во </w:t>
      </w:r>
      <w:r w:rsidRPr="000F79CF">
        <w:rPr>
          <w:lang w:val="mk-MK"/>
        </w:rPr>
        <w:t>1995</w:t>
      </w:r>
      <w:r w:rsidR="00B60AC6">
        <w:rPr>
          <w:lang w:val="mk-MK"/>
        </w:rPr>
        <w:t xml:space="preserve"> година</w:t>
      </w:r>
      <w:r w:rsidRPr="000F79CF">
        <w:rPr>
          <w:lang w:val="mk-MK"/>
        </w:rPr>
        <w:t xml:space="preserve"> особено нагласува дека вработените кои вложуваат специфичен човечки капитал во компанијата</w:t>
      </w:r>
      <w:r w:rsidR="00CF2026">
        <w:rPr>
          <w:lang w:val="mk-MK"/>
        </w:rPr>
        <w:t>,</w:t>
      </w:r>
      <w:r w:rsidRPr="000F79CF">
        <w:rPr>
          <w:lang w:val="mk-MK"/>
        </w:rPr>
        <w:t xml:space="preserve"> вештини и знаења кои не може лесно да бидат пренесени кај друг работодавач</w:t>
      </w:r>
      <w:r w:rsidR="00CF2026">
        <w:rPr>
          <w:lang w:val="mk-MK"/>
        </w:rPr>
        <w:t>,</w:t>
      </w:r>
      <w:r w:rsidRPr="000F79CF">
        <w:rPr>
          <w:lang w:val="mk-MK"/>
        </w:rPr>
        <w:t xml:space="preserve"> имаат „квази-сопственичко" побарување врз создадената вредност, иако правниот систем тоа побарување не го признава формално.</w:t>
      </w:r>
    </w:p>
    <w:p w14:paraId="5776CE68" w14:textId="2F8BF9BF" w:rsidR="00CF2026" w:rsidRPr="00AA2345" w:rsidRDefault="00CF2026" w:rsidP="00AA2345">
      <w:pPr>
        <w:pStyle w:val="BodyText"/>
        <w:spacing w:before="240"/>
        <w:ind w:firstLine="720"/>
        <w:jc w:val="both"/>
        <w:rPr>
          <w:lang w:val="mk-MK"/>
        </w:rPr>
      </w:pPr>
      <w:r w:rsidRPr="00CF2026">
        <w:rPr>
          <w:lang w:val="mk-MK"/>
        </w:rPr>
        <w:t>Токму на оваа теоретска лакуна одговараат шемите за акционерство на вработените</w:t>
      </w:r>
      <w:r w:rsidR="00737014">
        <w:rPr>
          <w:lang w:val="mk-MK"/>
        </w:rPr>
        <w:t>,</w:t>
      </w:r>
      <w:r w:rsidR="00737014">
        <w:rPr>
          <w:rStyle w:val="FootnoteReference"/>
          <w:lang w:val="mk-MK"/>
        </w:rPr>
        <w:footnoteReference w:id="872"/>
      </w:r>
      <w:r w:rsidRPr="00CF2026">
        <w:rPr>
          <w:lang w:val="mk-MK"/>
        </w:rPr>
        <w:t xml:space="preserve"> тие ја „материјализираат" претензијата на вработените врз создадената вредност преку формалната правна категорија на акционерски права. На тој начин</w:t>
      </w:r>
      <w:r w:rsidR="00FF284E">
        <w:rPr>
          <w:lang w:val="mk-MK"/>
        </w:rPr>
        <w:t>,</w:t>
      </w:r>
      <w:r w:rsidRPr="00CF2026">
        <w:rPr>
          <w:lang w:val="mk-MK"/>
        </w:rPr>
        <w:t xml:space="preserve"> тие </w:t>
      </w:r>
      <w:r w:rsidR="00FF284E">
        <w:rPr>
          <w:lang w:val="mk-MK"/>
        </w:rPr>
        <w:t>го премостуваат</w:t>
      </w:r>
      <w:r w:rsidRPr="00CF2026">
        <w:rPr>
          <w:lang w:val="mk-MK"/>
        </w:rPr>
        <w:t xml:space="preserve"> јазот помеѓу економската реалност</w:t>
      </w:r>
      <w:r w:rsidR="00FF284E">
        <w:rPr>
          <w:lang w:val="mk-MK"/>
        </w:rPr>
        <w:t>,</w:t>
      </w:r>
      <w:r w:rsidR="00FF284E">
        <w:rPr>
          <w:rStyle w:val="FootnoteReference"/>
          <w:lang w:val="mk-MK"/>
        </w:rPr>
        <w:footnoteReference w:id="873"/>
      </w:r>
      <w:r w:rsidRPr="00CF2026">
        <w:rPr>
          <w:lang w:val="mk-MK"/>
        </w:rPr>
        <w:t xml:space="preserve"> и правната форма.</w:t>
      </w:r>
      <w:r w:rsidR="00122F2A">
        <w:rPr>
          <w:rStyle w:val="FootnoteReference"/>
          <w:lang w:val="mk-MK"/>
        </w:rPr>
        <w:footnoteReference w:id="874"/>
      </w:r>
      <w:r w:rsidRPr="00CF2026">
        <w:rPr>
          <w:lang w:val="mk-MK"/>
        </w:rPr>
        <w:t xml:space="preserve"> Со добивањето на статус на акционер, вработениот добива пристап до законски загарантираните права на информирање, права на учество на собрание и правна заштита предвидени во </w:t>
      </w:r>
      <w:r w:rsidR="00122F2A">
        <w:rPr>
          <w:lang w:val="mk-MK"/>
        </w:rPr>
        <w:t>деловното право,</w:t>
      </w:r>
      <w:r w:rsidRPr="00CF2026">
        <w:rPr>
          <w:lang w:val="mk-MK"/>
        </w:rPr>
        <w:t xml:space="preserve"> права кои во отсуство на акционерски статус</w:t>
      </w:r>
      <w:r w:rsidR="00122F2A">
        <w:rPr>
          <w:lang w:val="mk-MK"/>
        </w:rPr>
        <w:t xml:space="preserve"> би </w:t>
      </w:r>
      <w:r w:rsidR="00A617DB">
        <w:rPr>
          <w:lang w:val="mk-MK"/>
        </w:rPr>
        <w:t>му</w:t>
      </w:r>
      <w:r w:rsidR="00122F2A">
        <w:rPr>
          <w:lang w:val="mk-MK"/>
        </w:rPr>
        <w:t xml:space="preserve"> биле</w:t>
      </w:r>
      <w:r w:rsidRPr="00CF2026">
        <w:rPr>
          <w:lang w:val="mk-MK"/>
        </w:rPr>
        <w:t xml:space="preserve"> фактички недостапни.</w:t>
      </w:r>
    </w:p>
    <w:p w14:paraId="627028C3" w14:textId="1C1B588F" w:rsidR="00A13BDC" w:rsidRDefault="00B12FC3" w:rsidP="00694CCB">
      <w:pPr>
        <w:pStyle w:val="BodyText"/>
        <w:spacing w:before="240"/>
        <w:ind w:firstLine="720"/>
        <w:jc w:val="both"/>
        <w:rPr>
          <w:lang w:val="mk-MK"/>
        </w:rPr>
      </w:pPr>
      <w:r>
        <w:rPr>
          <w:lang w:val="mk-MK"/>
        </w:rPr>
        <w:t>Во таа линија, с</w:t>
      </w:r>
      <w:r w:rsidRPr="00B12FC3">
        <w:rPr>
          <w:lang w:val="mk-MK"/>
        </w:rPr>
        <w:t>истемот на директиви за компаниско право на Европската унија претставува примар</w:t>
      </w:r>
      <w:r>
        <w:rPr>
          <w:lang w:val="mk-MK"/>
        </w:rPr>
        <w:t>на</w:t>
      </w:r>
      <w:r w:rsidRPr="00B12FC3">
        <w:rPr>
          <w:lang w:val="mk-MK"/>
        </w:rPr>
        <w:t xml:space="preserve"> наднационал</w:t>
      </w:r>
      <w:r>
        <w:rPr>
          <w:lang w:val="mk-MK"/>
        </w:rPr>
        <w:t>на</w:t>
      </w:r>
      <w:r w:rsidRPr="00B12FC3">
        <w:rPr>
          <w:lang w:val="mk-MK"/>
        </w:rPr>
        <w:t xml:space="preserve"> прав</w:t>
      </w:r>
      <w:r>
        <w:rPr>
          <w:lang w:val="mk-MK"/>
        </w:rPr>
        <w:t>на</w:t>
      </w:r>
      <w:r w:rsidRPr="00B12FC3">
        <w:rPr>
          <w:lang w:val="mk-MK"/>
        </w:rPr>
        <w:t xml:space="preserve"> </w:t>
      </w:r>
      <w:r>
        <w:rPr>
          <w:lang w:val="mk-MK"/>
        </w:rPr>
        <w:t>рамка</w:t>
      </w:r>
      <w:r w:rsidRPr="00B12FC3">
        <w:rPr>
          <w:lang w:val="mk-MK"/>
        </w:rPr>
        <w:t xml:space="preserve"> во чии </w:t>
      </w:r>
      <w:r>
        <w:rPr>
          <w:lang w:val="mk-MK"/>
        </w:rPr>
        <w:t>контури</w:t>
      </w:r>
      <w:r w:rsidRPr="00B12FC3">
        <w:rPr>
          <w:lang w:val="mk-MK"/>
        </w:rPr>
        <w:t xml:space="preserve"> националните правила за учество на вработените и акционерството на вработените мора да се сместат. Коевски прецизно ги дели директивите во два фундаментални слоја: оние кои се однесуваат на надворешните односи на компаниите кон третите лица</w:t>
      </w:r>
      <w:r w:rsidR="00A41894">
        <w:rPr>
          <w:lang w:val="mk-MK"/>
        </w:rPr>
        <w:t>,</w:t>
      </w:r>
      <w:r w:rsidR="00A41894">
        <w:rPr>
          <w:rStyle w:val="FootnoteReference"/>
          <w:lang w:val="mk-MK"/>
        </w:rPr>
        <w:footnoteReference w:id="875"/>
      </w:r>
      <w:r w:rsidRPr="00B12FC3">
        <w:rPr>
          <w:lang w:val="mk-MK"/>
        </w:rPr>
        <w:t xml:space="preserve"> и оние кои ги уредуваат внатрешните односи</w:t>
      </w:r>
      <w:r w:rsidR="00230F2A">
        <w:rPr>
          <w:lang w:val="mk-MK"/>
        </w:rPr>
        <w:t>, како</w:t>
      </w:r>
      <w:r w:rsidRPr="00B12FC3">
        <w:rPr>
          <w:lang w:val="mk-MK"/>
        </w:rPr>
        <w:t xml:space="preserve"> распределбата на моќ, заштитата на малцинските акционери и положбата на вработените.</w:t>
      </w:r>
      <w:r w:rsidR="00230F2A">
        <w:rPr>
          <w:rStyle w:val="FootnoteReference"/>
          <w:lang w:val="mk-MK"/>
        </w:rPr>
        <w:footnoteReference w:id="876"/>
      </w:r>
      <w:r w:rsidRPr="00B12FC3">
        <w:rPr>
          <w:lang w:val="mk-MK"/>
        </w:rPr>
        <w:t xml:space="preserve"> За научното истражување на учеството на вработените</w:t>
      </w:r>
      <w:r w:rsidR="00C717E1">
        <w:rPr>
          <w:lang w:val="mk-MK"/>
        </w:rPr>
        <w:t xml:space="preserve"> од примарна важност е</w:t>
      </w:r>
      <w:r w:rsidRPr="00B12FC3">
        <w:rPr>
          <w:lang w:val="mk-MK"/>
        </w:rPr>
        <w:t xml:space="preserve"> втор</w:t>
      </w:r>
      <w:r w:rsidR="00C717E1">
        <w:rPr>
          <w:lang w:val="mk-MK"/>
        </w:rPr>
        <w:t>иот</w:t>
      </w:r>
      <w:r w:rsidRPr="00B12FC3">
        <w:rPr>
          <w:lang w:val="mk-MK"/>
        </w:rPr>
        <w:t xml:space="preserve"> слој.</w:t>
      </w:r>
    </w:p>
    <w:p w14:paraId="717D14E5" w14:textId="3B15AA2A" w:rsidR="00C717E1" w:rsidRDefault="00FF28C9" w:rsidP="00694CCB">
      <w:pPr>
        <w:pStyle w:val="BodyText"/>
        <w:spacing w:before="240"/>
        <w:ind w:firstLine="720"/>
        <w:jc w:val="both"/>
        <w:rPr>
          <w:lang w:val="mk-MK"/>
        </w:rPr>
      </w:pPr>
      <w:r>
        <w:rPr>
          <w:lang w:val="mk-MK"/>
        </w:rPr>
        <w:t>Сепак, н</w:t>
      </w:r>
      <w:r w:rsidRPr="00FF28C9">
        <w:rPr>
          <w:lang w:val="mk-MK"/>
        </w:rPr>
        <w:t xml:space="preserve">иту едно прашање во историјата на европското компаниско право не ги покажа длабоките разлики </w:t>
      </w:r>
      <w:r w:rsidR="00B91BD5">
        <w:rPr>
          <w:lang w:val="mk-MK"/>
        </w:rPr>
        <w:t>по</w:t>
      </w:r>
      <w:r w:rsidRPr="00FF28C9">
        <w:rPr>
          <w:lang w:val="mk-MK"/>
        </w:rPr>
        <w:t>меѓу државите-членки колку прашањето за ко-детерминацијата</w:t>
      </w:r>
      <w:r w:rsidR="00B91BD5">
        <w:rPr>
          <w:lang w:val="mk-MK"/>
        </w:rPr>
        <w:t xml:space="preserve">, </w:t>
      </w:r>
      <w:r w:rsidRPr="00FF28C9">
        <w:rPr>
          <w:lang w:val="mk-MK"/>
        </w:rPr>
        <w:t>т.е. формалното учество на вработените во органите на управување и надзор на акционерски друштва. На 27 септември 1972 година, Комисијата на ЕЗ го предложи нацртот на Петтата директива, со намера да се хармонизираат структурите на органите на управување на акционерските друштва низ целата Заедница, по примерот на германскиот систем на Mitbestimmung</w:t>
      </w:r>
      <w:r w:rsidR="00B538AE">
        <w:rPr>
          <w:lang w:val="mk-MK"/>
        </w:rPr>
        <w:t>,</w:t>
      </w:r>
      <w:r w:rsidRPr="00FF28C9">
        <w:rPr>
          <w:lang w:val="mk-MK"/>
        </w:rPr>
        <w:t xml:space="preserve"> ко-детерминација, во кој претставниците на вработените задолжително заземаат места во надзорниот одбор на акционерските друштва.</w:t>
      </w:r>
      <w:r w:rsidR="00B538AE">
        <w:rPr>
          <w:rStyle w:val="FootnoteReference"/>
          <w:lang w:val="mk-MK"/>
        </w:rPr>
        <w:footnoteReference w:id="877"/>
      </w:r>
      <w:r w:rsidRPr="00FF28C9">
        <w:rPr>
          <w:lang w:val="mk-MK"/>
        </w:rPr>
        <w:t xml:space="preserve"> Нацртот предвидуваше двостепена структура на органи (управен и надзорен одбор) и задолжително учество на претставниците на вработените во надзорниот одбор за компании со повеќе од 500 вработени.</w:t>
      </w:r>
    </w:p>
    <w:p w14:paraId="4EB4FF6A" w14:textId="46CBCE0E" w:rsidR="006C44AD" w:rsidRDefault="006C44AD" w:rsidP="00694CCB">
      <w:pPr>
        <w:pStyle w:val="BodyText"/>
        <w:spacing w:before="240"/>
        <w:ind w:firstLine="720"/>
        <w:jc w:val="both"/>
        <w:rPr>
          <w:lang w:val="mk-MK"/>
        </w:rPr>
      </w:pPr>
      <w:r w:rsidRPr="006C44AD">
        <w:rPr>
          <w:lang w:val="mk-MK"/>
        </w:rPr>
        <w:t>Директивата никогаш не стана дел од позитивното право</w:t>
      </w:r>
      <w:r w:rsidR="00C54BAF">
        <w:rPr>
          <w:lang w:val="mk-MK"/>
        </w:rPr>
        <w:t xml:space="preserve"> и</w:t>
      </w:r>
      <w:r w:rsidRPr="006C44AD">
        <w:rPr>
          <w:lang w:val="mk-MK"/>
        </w:rPr>
        <w:t xml:space="preserve"> беше официјално повлечена во 2001 година, по </w:t>
      </w:r>
      <w:r w:rsidR="00046203">
        <w:rPr>
          <w:lang w:val="mk-MK"/>
        </w:rPr>
        <w:t>речиси</w:t>
      </w:r>
      <w:r w:rsidRPr="006C44AD">
        <w:rPr>
          <w:lang w:val="mk-MK"/>
        </w:rPr>
        <w:t xml:space="preserve"> три децении неуспешни преговори. Причините за </w:t>
      </w:r>
      <w:r w:rsidRPr="006C44AD">
        <w:rPr>
          <w:lang w:val="mk-MK"/>
        </w:rPr>
        <w:lastRenderedPageBreak/>
        <w:t>нејзиниот неуспех се сложени и повеќедимензионални</w:t>
      </w:r>
      <w:r w:rsidR="00046203">
        <w:rPr>
          <w:lang w:val="mk-MK"/>
        </w:rPr>
        <w:t>, но вреди да се анализираат</w:t>
      </w:r>
      <w:r w:rsidRPr="006C44AD">
        <w:rPr>
          <w:lang w:val="mk-MK"/>
        </w:rPr>
        <w:t>.</w:t>
      </w:r>
      <w:r w:rsidR="00046203">
        <w:rPr>
          <w:rStyle w:val="FootnoteReference"/>
          <w:lang w:val="mk-MK"/>
        </w:rPr>
        <w:footnoteReference w:id="878"/>
      </w:r>
      <w:r w:rsidRPr="006C44AD">
        <w:rPr>
          <w:lang w:val="mk-MK"/>
        </w:rPr>
        <w:t xml:space="preserve"> На прво место, структурните разлики </w:t>
      </w:r>
      <w:r w:rsidR="0052436A">
        <w:rPr>
          <w:lang w:val="mk-MK"/>
        </w:rPr>
        <w:t>по</w:t>
      </w:r>
      <w:r w:rsidRPr="006C44AD">
        <w:rPr>
          <w:lang w:val="mk-MK"/>
        </w:rPr>
        <w:t>меѓу правните системи б</w:t>
      </w:r>
      <w:r w:rsidR="0052436A">
        <w:rPr>
          <w:lang w:val="mk-MK"/>
        </w:rPr>
        <w:t>иле</w:t>
      </w:r>
      <w:r w:rsidRPr="006C44AD">
        <w:rPr>
          <w:lang w:val="mk-MK"/>
        </w:rPr>
        <w:t xml:space="preserve"> </w:t>
      </w:r>
      <w:r w:rsidR="0052436A">
        <w:rPr>
          <w:lang w:val="mk-MK"/>
        </w:rPr>
        <w:t>пре</w:t>
      </w:r>
      <w:r w:rsidRPr="006C44AD">
        <w:rPr>
          <w:lang w:val="mk-MK"/>
        </w:rPr>
        <w:t>длабоки</w:t>
      </w:r>
      <w:r w:rsidR="0052436A">
        <w:rPr>
          <w:lang w:val="mk-MK"/>
        </w:rPr>
        <w:t>.</w:t>
      </w:r>
      <w:r w:rsidRPr="006C44AD">
        <w:rPr>
          <w:lang w:val="mk-MK"/>
        </w:rPr>
        <w:t xml:space="preserve"> </w:t>
      </w:r>
      <w:r w:rsidR="0052436A">
        <w:rPr>
          <w:lang w:val="mk-MK"/>
        </w:rPr>
        <w:t>Г</w:t>
      </w:r>
      <w:r w:rsidRPr="006C44AD">
        <w:rPr>
          <w:lang w:val="mk-MK"/>
        </w:rPr>
        <w:t>ерманскиот двостепен систем (Vorstand и Aufsichtsrat) функционално се базира</w:t>
      </w:r>
      <w:r w:rsidR="0052436A">
        <w:rPr>
          <w:lang w:val="mk-MK"/>
        </w:rPr>
        <w:t>л</w:t>
      </w:r>
      <w:r w:rsidRPr="006C44AD">
        <w:rPr>
          <w:lang w:val="mk-MK"/>
        </w:rPr>
        <w:t xml:space="preserve"> на претставништво на вработените, додека британскиот унитарен одбор на директори нема</w:t>
      </w:r>
      <w:r w:rsidR="0052436A">
        <w:rPr>
          <w:lang w:val="mk-MK"/>
        </w:rPr>
        <w:t>л</w:t>
      </w:r>
      <w:r w:rsidRPr="006C44AD">
        <w:rPr>
          <w:lang w:val="mk-MK"/>
        </w:rPr>
        <w:t xml:space="preserve"> историска традиција за таква форма на партиципација. </w:t>
      </w:r>
      <w:r w:rsidR="000C2DB5">
        <w:rPr>
          <w:lang w:val="mk-MK"/>
        </w:rPr>
        <w:t>Обединетото Кралство</w:t>
      </w:r>
      <w:r w:rsidRPr="006C44AD">
        <w:rPr>
          <w:lang w:val="mk-MK"/>
        </w:rPr>
        <w:t>, следен</w:t>
      </w:r>
      <w:r w:rsidR="000C2DB5">
        <w:rPr>
          <w:lang w:val="mk-MK"/>
        </w:rPr>
        <w:t>о</w:t>
      </w:r>
      <w:r w:rsidRPr="006C44AD">
        <w:rPr>
          <w:lang w:val="mk-MK"/>
        </w:rPr>
        <w:t xml:space="preserve"> од Ирска и поголемиот дел на земјите со </w:t>
      </w:r>
      <w:r w:rsidR="000C2DB5">
        <w:rPr>
          <w:lang w:val="mk-MK"/>
        </w:rPr>
        <w:t>англосаксонски</w:t>
      </w:r>
      <w:r w:rsidRPr="006C44AD">
        <w:rPr>
          <w:lang w:val="mk-MK"/>
        </w:rPr>
        <w:t xml:space="preserve"> правни традиции, се противе</w:t>
      </w:r>
      <w:r w:rsidR="000C2DB5">
        <w:rPr>
          <w:lang w:val="mk-MK"/>
        </w:rPr>
        <w:t>л</w:t>
      </w:r>
      <w:r w:rsidRPr="006C44AD">
        <w:rPr>
          <w:lang w:val="mk-MK"/>
        </w:rPr>
        <w:t>е на законодавно пропишана застапеност на вработените во органите на управување. Меѓу другото, организации</w:t>
      </w:r>
      <w:r w:rsidR="000C2DB5">
        <w:rPr>
          <w:lang w:val="mk-MK"/>
        </w:rPr>
        <w:t>те на работодавачите</w:t>
      </w:r>
      <w:r w:rsidRPr="006C44AD">
        <w:rPr>
          <w:lang w:val="mk-MK"/>
        </w:rPr>
        <w:t xml:space="preserve"> тврде</w:t>
      </w:r>
      <w:r w:rsidR="006B6BCE">
        <w:rPr>
          <w:lang w:val="mk-MK"/>
        </w:rPr>
        <w:t>ле</w:t>
      </w:r>
      <w:r w:rsidRPr="006C44AD">
        <w:rPr>
          <w:lang w:val="mk-MK"/>
        </w:rPr>
        <w:t xml:space="preserve"> дека задолжителната ко-детерминација би ја намалила конкурентноста на европските компании и би ги одо</w:t>
      </w:r>
      <w:r w:rsidR="006B6BCE">
        <w:rPr>
          <w:lang w:val="mk-MK"/>
        </w:rPr>
        <w:t>л</w:t>
      </w:r>
      <w:r w:rsidRPr="006C44AD">
        <w:rPr>
          <w:lang w:val="mk-MK"/>
        </w:rPr>
        <w:t xml:space="preserve">жила деловните одлуки. </w:t>
      </w:r>
      <w:r w:rsidR="006B6BCE">
        <w:rPr>
          <w:lang w:val="mk-MK"/>
        </w:rPr>
        <w:t>Дополнително</w:t>
      </w:r>
      <w:r w:rsidRPr="006C44AD">
        <w:rPr>
          <w:lang w:val="mk-MK"/>
        </w:rPr>
        <w:t xml:space="preserve">, LSE Law School </w:t>
      </w:r>
      <w:r w:rsidR="00911C8C">
        <w:rPr>
          <w:lang w:val="mk-MK"/>
        </w:rPr>
        <w:t xml:space="preserve">во </w:t>
      </w:r>
      <w:r w:rsidRPr="006C44AD">
        <w:rPr>
          <w:lang w:val="mk-MK"/>
        </w:rPr>
        <w:t>2024</w:t>
      </w:r>
      <w:r w:rsidR="00911C8C">
        <w:rPr>
          <w:lang w:val="mk-MK"/>
        </w:rPr>
        <w:t xml:space="preserve"> година потенцираше</w:t>
      </w:r>
      <w:r w:rsidRPr="006C44AD">
        <w:rPr>
          <w:lang w:val="mk-MK"/>
        </w:rPr>
        <w:t xml:space="preserve"> дека неуспехот на Директивата не може да биде разбран без разгледување на општите економски услови на времето</w:t>
      </w:r>
      <w:r w:rsidR="00911C8C">
        <w:rPr>
          <w:lang w:val="mk-MK"/>
        </w:rPr>
        <w:t>, како</w:t>
      </w:r>
      <w:r w:rsidRPr="006C44AD">
        <w:rPr>
          <w:lang w:val="mk-MK"/>
        </w:rPr>
        <w:t xml:space="preserve"> стагфлацијата и деиндустријализацијата на 1970-тите и 1980-тите ги ослаб</w:t>
      </w:r>
      <w:r w:rsidR="00FF0098">
        <w:rPr>
          <w:lang w:val="mk-MK"/>
        </w:rPr>
        <w:t>иле</w:t>
      </w:r>
      <w:r w:rsidRPr="006C44AD">
        <w:rPr>
          <w:lang w:val="mk-MK"/>
        </w:rPr>
        <w:t xml:space="preserve"> позициите на трудот и ги засили</w:t>
      </w:r>
      <w:r w:rsidR="00FF0098">
        <w:rPr>
          <w:lang w:val="mk-MK"/>
        </w:rPr>
        <w:t>ле</w:t>
      </w:r>
      <w:r w:rsidRPr="006C44AD">
        <w:rPr>
          <w:lang w:val="mk-MK"/>
        </w:rPr>
        <w:t xml:space="preserve"> аргументите за дерегулација.</w:t>
      </w:r>
    </w:p>
    <w:p w14:paraId="6F90FE4B" w14:textId="2C128101" w:rsidR="008460D1" w:rsidRDefault="00483207" w:rsidP="00694CCB">
      <w:pPr>
        <w:pStyle w:val="BodyText"/>
        <w:spacing w:before="240"/>
        <w:ind w:firstLine="720"/>
        <w:jc w:val="both"/>
        <w:rPr>
          <w:lang w:val="mk-MK"/>
        </w:rPr>
      </w:pPr>
      <w:r w:rsidRPr="00483207">
        <w:rPr>
          <w:lang w:val="mk-MK"/>
        </w:rPr>
        <w:t>Неуспехот на Петтата директива е законодавна лузна со трајни последици</w:t>
      </w:r>
      <w:r>
        <w:rPr>
          <w:lang w:val="mk-MK"/>
        </w:rPr>
        <w:t xml:space="preserve"> и нејзиното ставање</w:t>
      </w:r>
      <w:r w:rsidRPr="00483207">
        <w:rPr>
          <w:lang w:val="mk-MK"/>
        </w:rPr>
        <w:t xml:space="preserve"> во категоријата „пропаднати директиви" </w:t>
      </w:r>
      <w:r w:rsidR="000523BE">
        <w:rPr>
          <w:lang w:val="mk-MK"/>
        </w:rPr>
        <w:t xml:space="preserve">доведе до заклучок кој е на сила и ден денес дека е </w:t>
      </w:r>
      <w:r w:rsidRPr="00483207">
        <w:rPr>
          <w:lang w:val="mk-MK"/>
        </w:rPr>
        <w:t>невозмож</w:t>
      </w:r>
      <w:r w:rsidR="000523BE">
        <w:rPr>
          <w:lang w:val="mk-MK"/>
        </w:rPr>
        <w:t>о</w:t>
      </w:r>
      <w:r w:rsidRPr="00483207">
        <w:rPr>
          <w:lang w:val="mk-MK"/>
        </w:rPr>
        <w:t xml:space="preserve"> да се постигне компромис во поглед на нивното усвојување, а поради огромните разлики во националните компаниски права</w:t>
      </w:r>
      <w:r w:rsidR="000523BE">
        <w:rPr>
          <w:lang w:val="mk-MK"/>
        </w:rPr>
        <w:t>.</w:t>
      </w:r>
      <w:r w:rsidRPr="00483207">
        <w:rPr>
          <w:lang w:val="mk-MK"/>
        </w:rPr>
        <w:t xml:space="preserve"> Во отсуство на директивата, учеството на вработените во управувањето со компанијата стана предмет на фрагментирано национално законодавство</w:t>
      </w:r>
      <w:r w:rsidR="00E53BB8">
        <w:rPr>
          <w:lang w:val="en-US"/>
        </w:rPr>
        <w:t>,</w:t>
      </w:r>
      <w:r w:rsidRPr="00483207">
        <w:rPr>
          <w:lang w:val="mk-MK"/>
        </w:rPr>
        <w:t xml:space="preserve"> длабоко различно </w:t>
      </w:r>
      <w:r w:rsidR="000B53CB">
        <w:rPr>
          <w:lang w:val="mk-MK"/>
        </w:rPr>
        <w:t>по</w:t>
      </w:r>
      <w:r w:rsidRPr="00483207">
        <w:rPr>
          <w:lang w:val="mk-MK"/>
        </w:rPr>
        <w:t>меѓу државите-членки, без наднационален стандард кој би гарантирал минимум права за вработените во крупните акционерски друштва низ ЕУ.</w:t>
      </w:r>
    </w:p>
    <w:p w14:paraId="5A9E3E98" w14:textId="7CE54785" w:rsidR="000B53CB" w:rsidRDefault="000B53CB" w:rsidP="00694CCB">
      <w:pPr>
        <w:pStyle w:val="BodyText"/>
        <w:spacing w:before="240"/>
        <w:ind w:firstLine="720"/>
        <w:jc w:val="both"/>
        <w:rPr>
          <w:lang w:val="mk-MK"/>
        </w:rPr>
      </w:pPr>
      <w:r w:rsidRPr="000B53CB">
        <w:rPr>
          <w:lang w:val="mk-MK"/>
        </w:rPr>
        <w:t>По трите децении законодавен застој, компромисот конечно беше постигнат со Уредбата за Европското трговско друштво</w:t>
      </w:r>
      <w:r w:rsidR="002D3A4A">
        <w:rPr>
          <w:lang w:val="en-US"/>
        </w:rPr>
        <w:t>,</w:t>
      </w:r>
      <w:r w:rsidRPr="000B53CB">
        <w:rPr>
          <w:lang w:val="mk-MK"/>
        </w:rPr>
        <w:t xml:space="preserve"> Societas Europaea (Регулатива 2157/2001/ЕЗ)</w:t>
      </w:r>
      <w:r w:rsidR="002D3A4A">
        <w:rPr>
          <w:lang w:val="en-US"/>
        </w:rPr>
        <w:t>,</w:t>
      </w:r>
      <w:r w:rsidRPr="000B53CB">
        <w:rPr>
          <w:lang w:val="mk-MK"/>
        </w:rPr>
        <w:t xml:space="preserve"> и придружната Директива 2001/86/ЕЗ за вклученост на вработените, усвоени во октомври 2001 и влезени во сила во 2004 година. Директивата 2001/86/ЕЗ го претставува првиот законодавен инструмент кој ги регулира правата на учество на работниците во одборите на компаниското ниво на </w:t>
      </w:r>
      <w:r w:rsidR="00A661D0">
        <w:rPr>
          <w:lang w:val="mk-MK"/>
        </w:rPr>
        <w:t>степен</w:t>
      </w:r>
      <w:r w:rsidRPr="000B53CB">
        <w:rPr>
          <w:lang w:val="mk-MK"/>
        </w:rPr>
        <w:t xml:space="preserve"> на ЕУ.</w:t>
      </w:r>
      <w:r w:rsidR="00A661D0">
        <w:rPr>
          <w:rStyle w:val="FootnoteReference"/>
          <w:lang w:val="mk-MK"/>
        </w:rPr>
        <w:footnoteReference w:id="879"/>
      </w:r>
      <w:r w:rsidRPr="000B53CB">
        <w:rPr>
          <w:lang w:val="mk-MK"/>
        </w:rPr>
        <w:t xml:space="preserve"> Клучниот механизам на Директивата е принципот „before-after"</w:t>
      </w:r>
      <w:r w:rsidR="00A661D0">
        <w:rPr>
          <w:lang w:val="mk-MK"/>
        </w:rPr>
        <w:t xml:space="preserve"> што значи дека</w:t>
      </w:r>
      <w:r w:rsidRPr="000B53CB">
        <w:rPr>
          <w:lang w:val="mk-MK"/>
        </w:rPr>
        <w:t xml:space="preserve"> кога еден SE се формира со трансформација или спојување на компании во кои постои ко-детерминација, тие права мора да бидат зачувани во новата структура</w:t>
      </w:r>
      <w:r w:rsidR="00A661D0">
        <w:rPr>
          <w:lang w:val="mk-MK"/>
        </w:rPr>
        <w:t>, односно</w:t>
      </w:r>
      <w:r w:rsidRPr="000B53CB">
        <w:rPr>
          <w:lang w:val="mk-MK"/>
        </w:rPr>
        <w:t xml:space="preserve"> тие не можат да бидат намалени. Специјалното преговарачко тело на вработените мора да биде формирано за да преговара за условите на учеството на вработените, и дури по завршувањето на тие преговори (или по истекот на договорениот рок) може SE да биде регистрирано.</w:t>
      </w:r>
    </w:p>
    <w:p w14:paraId="22AA3778" w14:textId="7EFED2FD" w:rsidR="00260779" w:rsidRDefault="00260779" w:rsidP="00694CCB">
      <w:pPr>
        <w:pStyle w:val="BodyText"/>
        <w:spacing w:before="240"/>
        <w:ind w:firstLine="720"/>
        <w:jc w:val="both"/>
        <w:rPr>
          <w:lang w:val="mk-MK"/>
        </w:rPr>
      </w:pPr>
      <w:r w:rsidRPr="00260779">
        <w:rPr>
          <w:lang w:val="mk-MK"/>
        </w:rPr>
        <w:t>Значењето на овој компромис</w:t>
      </w:r>
      <w:r>
        <w:rPr>
          <w:lang w:val="mk-MK"/>
        </w:rPr>
        <w:t xml:space="preserve"> од аспект на дисертацијата</w:t>
      </w:r>
      <w:r w:rsidRPr="00260779">
        <w:rPr>
          <w:lang w:val="mk-MK"/>
        </w:rPr>
        <w:t xml:space="preserve"> е двојно. Прво, тој ги признава постоечките системи на ко-детерминација и ги штити </w:t>
      </w:r>
      <w:r w:rsidR="006E7767">
        <w:rPr>
          <w:lang w:val="mk-MK"/>
        </w:rPr>
        <w:t>од</w:t>
      </w:r>
      <w:r w:rsidRPr="00260779">
        <w:rPr>
          <w:lang w:val="mk-MK"/>
        </w:rPr>
        <w:t xml:space="preserve"> заобиколување преку пренесување на седиштето или реструктуирање. Второ, тој воведува принцип на доброволност-во-рамки-на-задолжителност</w:t>
      </w:r>
      <w:r w:rsidR="00BA4F06">
        <w:rPr>
          <w:lang w:val="mk-MK"/>
        </w:rPr>
        <w:t>, односно</w:t>
      </w:r>
      <w:r w:rsidRPr="00260779">
        <w:rPr>
          <w:lang w:val="mk-MK"/>
        </w:rPr>
        <w:t xml:space="preserve"> преговорите се задолжителни, но резултатот е флексибилен. Истиот принцип беше потоа инкорпориран во Директивата 2005/56/ЕЗ за прекугранични спојувања</w:t>
      </w:r>
      <w:r w:rsidR="00BA4F06">
        <w:rPr>
          <w:lang w:val="mk-MK"/>
        </w:rPr>
        <w:t>, д</w:t>
      </w:r>
      <w:r w:rsidRPr="00260779">
        <w:rPr>
          <w:lang w:val="mk-MK"/>
        </w:rPr>
        <w:t>есетта директ</w:t>
      </w:r>
      <w:r w:rsidR="00BA4F06">
        <w:rPr>
          <w:lang w:val="mk-MK"/>
        </w:rPr>
        <w:t>ива,</w:t>
      </w:r>
      <w:r w:rsidRPr="00260779">
        <w:rPr>
          <w:lang w:val="mk-MK"/>
        </w:rPr>
        <w:t xml:space="preserve"> и во Директивата 2019/2121/ЕУ за прекугранични преобразби, спојувања и поделби</w:t>
      </w:r>
      <w:r w:rsidR="00583F36">
        <w:rPr>
          <w:lang w:val="mk-MK"/>
        </w:rPr>
        <w:t xml:space="preserve"> заедно</w:t>
      </w:r>
      <w:r w:rsidRPr="00260779">
        <w:rPr>
          <w:lang w:val="mk-MK"/>
        </w:rPr>
        <w:t xml:space="preserve"> со Директивата 2019/1023/ЕУ за реструктуирање и инсолвентност. Така, иако наднационалниот систем за задолжителна ко-детерминација никогаш не </w:t>
      </w:r>
      <w:r w:rsidR="00583F36">
        <w:rPr>
          <w:lang w:val="mk-MK"/>
        </w:rPr>
        <w:t>е</w:t>
      </w:r>
      <w:r w:rsidRPr="00260779">
        <w:rPr>
          <w:lang w:val="mk-MK"/>
        </w:rPr>
        <w:t xml:space="preserve"> воспоставен</w:t>
      </w:r>
      <w:r w:rsidR="00583F36">
        <w:rPr>
          <w:lang w:val="mk-MK"/>
        </w:rPr>
        <w:t xml:space="preserve"> на европско ниво</w:t>
      </w:r>
      <w:r w:rsidRPr="00260779">
        <w:rPr>
          <w:lang w:val="mk-MK"/>
        </w:rPr>
        <w:t xml:space="preserve">, принципот на зачувување на постоечки права на вработените стана </w:t>
      </w:r>
      <w:r w:rsidR="00583F36">
        <w:rPr>
          <w:lang w:val="mk-MK"/>
        </w:rPr>
        <w:t xml:space="preserve">некој вид на </w:t>
      </w:r>
      <w:r w:rsidR="00583F36">
        <w:rPr>
          <w:lang w:val="mk-MK"/>
        </w:rPr>
        <w:lastRenderedPageBreak/>
        <w:t>конституционален принцип</w:t>
      </w:r>
      <w:r w:rsidRPr="00260779">
        <w:rPr>
          <w:lang w:val="mk-MK"/>
        </w:rPr>
        <w:t xml:space="preserve"> на европското компаниско право.</w:t>
      </w:r>
    </w:p>
    <w:p w14:paraId="4654D0EE" w14:textId="260BBC13" w:rsidR="00ED6BB9" w:rsidRDefault="00ED6BB9" w:rsidP="00694CCB">
      <w:pPr>
        <w:pStyle w:val="BodyText"/>
        <w:spacing w:before="240"/>
        <w:ind w:firstLine="720"/>
        <w:jc w:val="both"/>
        <w:rPr>
          <w:lang w:val="mk-MK"/>
        </w:rPr>
      </w:pPr>
      <w:r w:rsidRPr="00ED6BB9">
        <w:rPr>
          <w:lang w:val="mk-MK"/>
        </w:rPr>
        <w:t>Десет</w:t>
      </w:r>
      <w:r w:rsidR="00425098">
        <w:rPr>
          <w:lang w:val="mk-MK"/>
        </w:rPr>
        <w:t>т</w:t>
      </w:r>
      <w:r w:rsidRPr="00ED6BB9">
        <w:rPr>
          <w:lang w:val="mk-MK"/>
        </w:rPr>
        <w:t>ата директива (2005/56/ЕЗ) за прекугранични спојувања на капитал</w:t>
      </w:r>
      <w:r w:rsidR="00146344">
        <w:rPr>
          <w:lang w:val="mk-MK"/>
        </w:rPr>
        <w:t>н</w:t>
      </w:r>
      <w:r w:rsidRPr="00ED6BB9">
        <w:rPr>
          <w:lang w:val="mk-MK"/>
        </w:rPr>
        <w:t>и трговски друштва е директно релевантна за акционерството на вработените. Кога компанија е предмет на прекуграничнo спојување, вработените-акционери се изложени на ризик и во поглед на нивниот работен статус и во поглед на нивните акционерски права. Коевски ги истакнува обврските за известување поврзани со прекугранично спојување</w:t>
      </w:r>
      <w:r w:rsidR="007740C9">
        <w:rPr>
          <w:lang w:val="mk-MK"/>
        </w:rPr>
        <w:t xml:space="preserve"> така што </w:t>
      </w:r>
      <w:r w:rsidRPr="00ED6BB9">
        <w:rPr>
          <w:lang w:val="mk-MK"/>
        </w:rPr>
        <w:t>органите на управување на сите друштва</w:t>
      </w:r>
      <w:r w:rsidR="007740C9">
        <w:rPr>
          <w:lang w:val="mk-MK"/>
        </w:rPr>
        <w:t xml:space="preserve"> што учествуваат</w:t>
      </w:r>
      <w:r w:rsidRPr="00ED6BB9">
        <w:rPr>
          <w:lang w:val="mk-MK"/>
        </w:rPr>
        <w:t xml:space="preserve"> се должни да подготват пишан извештај кој ги образложува причините</w:t>
      </w:r>
      <w:r w:rsidR="00424EC0">
        <w:rPr>
          <w:lang w:val="mk-MK"/>
        </w:rPr>
        <w:t xml:space="preserve"> и</w:t>
      </w:r>
      <w:r w:rsidRPr="00ED6BB9">
        <w:rPr>
          <w:lang w:val="mk-MK"/>
        </w:rPr>
        <w:t xml:space="preserve"> правните и деловните прашања, а вработените мора да имаат пристап до документацијата барем еден месец пред денот на одлучувањето.</w:t>
      </w:r>
      <w:r w:rsidR="00424EC0">
        <w:rPr>
          <w:rStyle w:val="FootnoteReference"/>
          <w:lang w:val="mk-MK"/>
        </w:rPr>
        <w:footnoteReference w:id="880"/>
      </w:r>
      <w:r w:rsidRPr="00ED6BB9">
        <w:rPr>
          <w:lang w:val="mk-MK"/>
        </w:rPr>
        <w:t xml:space="preserve"> Ова право на информираност е клучно за вработените-акционери, кои треба да донесат информирана одлука за тоа дали да ги задржат своите акции во реструктуираниот субјект.</w:t>
      </w:r>
    </w:p>
    <w:p w14:paraId="5C2F0AED" w14:textId="0AB239A3" w:rsidR="00425098" w:rsidRDefault="00425098" w:rsidP="00694CCB">
      <w:pPr>
        <w:pStyle w:val="BodyText"/>
        <w:spacing w:before="240"/>
        <w:ind w:firstLine="720"/>
        <w:jc w:val="both"/>
        <w:rPr>
          <w:lang w:val="mk-MK"/>
        </w:rPr>
      </w:pPr>
      <w:r w:rsidRPr="00425098">
        <w:rPr>
          <w:lang w:val="mk-MK"/>
        </w:rPr>
        <w:t>Директивата, исто така, предвидува право на вработените да побараат независна вредносна проценка на нивните акции ако не сакаат да примат удели или акции во новото друштво.</w:t>
      </w:r>
      <w:r w:rsidR="000113C2">
        <w:rPr>
          <w:rStyle w:val="FootnoteReference"/>
          <w:lang w:val="mk-MK"/>
        </w:rPr>
        <w:footnoteReference w:id="881"/>
      </w:r>
      <w:r w:rsidRPr="00425098">
        <w:rPr>
          <w:lang w:val="mk-MK"/>
        </w:rPr>
        <w:t xml:space="preserve"> Овој механизам на „appraisal remedy"</w:t>
      </w:r>
      <w:r w:rsidR="00135082">
        <w:rPr>
          <w:lang w:val="mk-MK"/>
        </w:rPr>
        <w:t>,</w:t>
      </w:r>
      <w:r w:rsidRPr="00425098">
        <w:rPr>
          <w:lang w:val="mk-MK"/>
        </w:rPr>
        <w:t xml:space="preserve"> кој произлегува директно од </w:t>
      </w:r>
      <w:r w:rsidR="00135082">
        <w:rPr>
          <w:lang w:val="mk-MK"/>
        </w:rPr>
        <w:t>т</w:t>
      </w:r>
      <w:r w:rsidRPr="00425098">
        <w:rPr>
          <w:lang w:val="mk-MK"/>
        </w:rPr>
        <w:t>ретата директива</w:t>
      </w:r>
      <w:r w:rsidR="00135082">
        <w:rPr>
          <w:lang w:val="mk-MK"/>
        </w:rPr>
        <w:t>,</w:t>
      </w:r>
      <w:r w:rsidRPr="00425098">
        <w:rPr>
          <w:lang w:val="mk-MK"/>
        </w:rPr>
        <w:t xml:space="preserve"> е значаен за вработените-акционери, бидејќи тие, за разлика од чисто финансиските акционери, честопати немаат практична можност лесно да ги продадат своите акции на пазар</w:t>
      </w:r>
      <w:r w:rsidR="00472A24">
        <w:rPr>
          <w:lang w:val="mk-MK"/>
        </w:rPr>
        <w:t xml:space="preserve">, </w:t>
      </w:r>
      <w:r w:rsidRPr="00425098">
        <w:rPr>
          <w:lang w:val="mk-MK"/>
        </w:rPr>
        <w:t>особено во акционерски друштва кои не котираат на берза. Правото на излез по фер пазарна вредност е затоа есенцијален елемент на правната заштита.</w:t>
      </w:r>
    </w:p>
    <w:p w14:paraId="0590ED2B" w14:textId="6C976F4B" w:rsidR="000113C2" w:rsidRDefault="000113C2" w:rsidP="00694CCB">
      <w:pPr>
        <w:pStyle w:val="BodyText"/>
        <w:spacing w:before="240"/>
        <w:ind w:firstLine="720"/>
        <w:jc w:val="both"/>
        <w:rPr>
          <w:lang w:val="mk-MK"/>
        </w:rPr>
      </w:pPr>
      <w:r w:rsidRPr="000113C2">
        <w:rPr>
          <w:lang w:val="mk-MK"/>
        </w:rPr>
        <w:t>Тринаесетта директива (2004/25/ЕЗ) за понуди за преземање ја регулира ситуацијата во која вработените-акционери се структурно различни од чисто финансиските акционери</w:t>
      </w:r>
      <w:r w:rsidR="00B42EE3">
        <w:rPr>
          <w:lang w:val="mk-MK"/>
        </w:rPr>
        <w:t xml:space="preserve"> затоа што </w:t>
      </w:r>
      <w:r w:rsidRPr="000113C2">
        <w:rPr>
          <w:lang w:val="mk-MK"/>
        </w:rPr>
        <w:t>тие едновремено се изложени и на работно-правните и на финансиските последици од промената на контролата. Коевски ги образложува обврските предвидени со македонскиот Закон за преземање на акционерски друштва (ЗПАД)</w:t>
      </w:r>
      <w:r w:rsidR="00191290">
        <w:rPr>
          <w:lang w:val="mk-MK"/>
        </w:rPr>
        <w:t>, кој предвидува дека</w:t>
      </w:r>
      <w:r w:rsidRPr="000113C2">
        <w:rPr>
          <w:lang w:val="mk-MK"/>
        </w:rPr>
        <w:t xml:space="preserve"> органот на управување на акционерското друштво врз кое се однесува понудата за откуп е должен да го објави своето образложено мислење за понудата,</w:t>
      </w:r>
      <w:r w:rsidR="0028644E">
        <w:rPr>
          <w:rStyle w:val="FootnoteReference"/>
          <w:lang w:val="mk-MK"/>
        </w:rPr>
        <w:footnoteReference w:id="882"/>
      </w:r>
      <w:r w:rsidRPr="000113C2">
        <w:rPr>
          <w:lang w:val="mk-MK"/>
        </w:rPr>
        <w:t xml:space="preserve"> со цел акционерите</w:t>
      </w:r>
      <w:r w:rsidR="009234E2">
        <w:rPr>
          <w:lang w:val="mk-MK"/>
        </w:rPr>
        <w:t>,</w:t>
      </w:r>
      <w:r w:rsidRPr="000113C2">
        <w:rPr>
          <w:lang w:val="mk-MK"/>
        </w:rPr>
        <w:t xml:space="preserve"> вклучувајќи ги и вработените-акционери</w:t>
      </w:r>
      <w:r w:rsidR="009234E2">
        <w:rPr>
          <w:lang w:val="mk-MK"/>
        </w:rPr>
        <w:t>,</w:t>
      </w:r>
      <w:r w:rsidRPr="000113C2">
        <w:rPr>
          <w:lang w:val="mk-MK"/>
        </w:rPr>
        <w:t xml:space="preserve"> да можат да донесат информирана одлука за прифаќање или одбивање на понудата.</w:t>
      </w:r>
      <w:r w:rsidR="009234E2">
        <w:rPr>
          <w:rStyle w:val="FootnoteReference"/>
          <w:lang w:val="mk-MK"/>
        </w:rPr>
        <w:footnoteReference w:id="883"/>
      </w:r>
    </w:p>
    <w:p w14:paraId="7DB7DE54" w14:textId="7B901CE2" w:rsidR="00472A24" w:rsidRDefault="00322964" w:rsidP="00694CCB">
      <w:pPr>
        <w:pStyle w:val="BodyText"/>
        <w:spacing w:before="240"/>
        <w:ind w:firstLine="720"/>
        <w:jc w:val="both"/>
        <w:rPr>
          <w:lang w:val="mk-MK"/>
        </w:rPr>
      </w:pPr>
      <w:r w:rsidRPr="00322964">
        <w:rPr>
          <w:lang w:val="mk-MK"/>
        </w:rPr>
        <w:t>Од посебна важност е одредбата според која лица кои при извршување на своите задачи имаат пристап до внатрешни информации се должни да го известат издавачот, Комисијата за хартии од вредност и берзата, ако дознаат дека правно или физичко лице купува или продава хартии од вредност врз основа на внатрешна информација. Оваа одредба е особено значајна за вработените кои поседуваат акции во сопствената компанија</w:t>
      </w:r>
      <w:r w:rsidR="00246C17">
        <w:rPr>
          <w:lang w:val="mk-MK"/>
        </w:rPr>
        <w:t xml:space="preserve"> затоа што</w:t>
      </w:r>
      <w:r w:rsidRPr="00322964">
        <w:rPr>
          <w:lang w:val="mk-MK"/>
        </w:rPr>
        <w:t xml:space="preserve"> нивното привилегирано информативно </w:t>
      </w:r>
      <w:r w:rsidR="00246C17">
        <w:rPr>
          <w:lang w:val="mk-MK"/>
        </w:rPr>
        <w:t>право,</w:t>
      </w:r>
      <w:r w:rsidRPr="00322964">
        <w:rPr>
          <w:lang w:val="mk-MK"/>
        </w:rPr>
        <w:t xml:space="preserve"> произлезено директно од нивниот работен ангажман</w:t>
      </w:r>
      <w:r w:rsidR="00246C17">
        <w:rPr>
          <w:lang w:val="mk-MK"/>
        </w:rPr>
        <w:t>,</w:t>
      </w:r>
      <w:r w:rsidRPr="00322964">
        <w:rPr>
          <w:lang w:val="mk-MK"/>
        </w:rPr>
        <w:t xml:space="preserve"> ги изложува на ризик од нарушување на режимот за забрана на тргување врз основа на инсајдерски информации (insider trading).</w:t>
      </w:r>
    </w:p>
    <w:p w14:paraId="4EE40AE3" w14:textId="351B68E1" w:rsidR="00BA4A64" w:rsidRPr="00DB33D8" w:rsidRDefault="00B515FF" w:rsidP="00D16CA4">
      <w:pPr>
        <w:pStyle w:val="BodyText"/>
        <w:spacing w:before="240" w:after="240"/>
        <w:ind w:firstLine="720"/>
        <w:jc w:val="both"/>
        <w:rPr>
          <w:lang w:val="mk-MK"/>
        </w:rPr>
      </w:pPr>
      <w:r>
        <w:rPr>
          <w:lang w:val="mk-MK"/>
        </w:rPr>
        <w:t xml:space="preserve">Заклучно, </w:t>
      </w:r>
      <w:r w:rsidR="00042FCC">
        <w:rPr>
          <w:lang w:val="mk-MK"/>
        </w:rPr>
        <w:t>с</w:t>
      </w:r>
      <w:r w:rsidRPr="00B515FF">
        <w:rPr>
          <w:lang w:val="mk-MK"/>
        </w:rPr>
        <w:t>татус-квото на корпоративното управување во Македонија открива длабока асиметрија</w:t>
      </w:r>
      <w:r w:rsidR="00042FCC">
        <w:rPr>
          <w:lang w:val="mk-MK"/>
        </w:rPr>
        <w:t xml:space="preserve"> што укажува на</w:t>
      </w:r>
      <w:r w:rsidRPr="00B515FF">
        <w:rPr>
          <w:lang w:val="mk-MK"/>
        </w:rPr>
        <w:t xml:space="preserve"> формална усогласеност со европските директиви и </w:t>
      </w:r>
      <w:r w:rsidRPr="00B515FF">
        <w:rPr>
          <w:lang w:val="mk-MK"/>
        </w:rPr>
        <w:lastRenderedPageBreak/>
        <w:t xml:space="preserve">принципи на нормативно рамниште, </w:t>
      </w:r>
      <w:r w:rsidR="00042FCC">
        <w:rPr>
          <w:lang w:val="mk-MK"/>
        </w:rPr>
        <w:t>додека</w:t>
      </w:r>
      <w:r w:rsidRPr="00B515FF">
        <w:rPr>
          <w:lang w:val="mk-MK"/>
        </w:rPr>
        <w:t xml:space="preserve"> нивната практична имплементација останува површна и инертна. Тектонските промени во европското компаниско право во изминатите дваесет години резултираа со механичка транспозиција на одредби</w:t>
      </w:r>
      <w:r w:rsidR="00D16CA4">
        <w:rPr>
          <w:lang w:val="mk-MK"/>
        </w:rPr>
        <w:t xml:space="preserve"> во Македонија</w:t>
      </w:r>
      <w:r w:rsidRPr="00B515FF">
        <w:rPr>
          <w:lang w:val="mk-MK"/>
        </w:rPr>
        <w:t>, без суштинска промена во корпоративната култура, деловните практики или менаџерското однесување. Оваа дихотомија помеѓу формалната усогласеност и практичната нефункционалност</w:t>
      </w:r>
      <w:r w:rsidR="00D16CA4">
        <w:rPr>
          <w:lang w:val="mk-MK"/>
        </w:rPr>
        <w:t>,</w:t>
      </w:r>
      <w:r w:rsidRPr="00B515FF">
        <w:rPr>
          <w:lang w:val="mk-MK"/>
        </w:rPr>
        <w:t xml:space="preserve"> помеѓу „законот на книга" и „законот во дејство"</w:t>
      </w:r>
      <w:r w:rsidR="00D16CA4">
        <w:rPr>
          <w:lang w:val="mk-MK"/>
        </w:rPr>
        <w:t>,</w:t>
      </w:r>
      <w:r w:rsidRPr="00B515FF">
        <w:rPr>
          <w:lang w:val="mk-MK"/>
        </w:rPr>
        <w:t xml:space="preserve"> го наметнува клучното истражувачко прашање кое следи</w:t>
      </w:r>
      <w:r w:rsidR="00D16CA4">
        <w:rPr>
          <w:lang w:val="mk-MK"/>
        </w:rPr>
        <w:t>, односно</w:t>
      </w:r>
      <w:r w:rsidRPr="00B515FF">
        <w:rPr>
          <w:lang w:val="mk-MK"/>
        </w:rPr>
        <w:t xml:space="preserve"> каде точно и зошто точно пропаѓа транспозицијата по патот од нормата до реалноста.</w:t>
      </w:r>
    </w:p>
    <w:p w14:paraId="1D827CEF" w14:textId="70DD9902" w:rsidR="00BA4A64" w:rsidRPr="001B24DD" w:rsidRDefault="00D16CA4" w:rsidP="00BA4A64">
      <w:pPr>
        <w:pStyle w:val="Heading1"/>
        <w:numPr>
          <w:ilvl w:val="0"/>
          <w:numId w:val="70"/>
        </w:numPr>
        <w:spacing w:after="240"/>
        <w:jc w:val="both"/>
      </w:pPr>
      <w:bookmarkStart w:id="122" w:name="_Toc230523975"/>
      <w:r>
        <w:rPr>
          <w:lang w:val="mk-MK"/>
        </w:rPr>
        <w:t>Празнините помеѓу нормите и реалноста</w:t>
      </w:r>
      <w:bookmarkEnd w:id="122"/>
    </w:p>
    <w:p w14:paraId="3F670D82" w14:textId="73DDFD2C" w:rsidR="00911C8C" w:rsidRDefault="002532F6" w:rsidP="002532F6">
      <w:pPr>
        <w:pStyle w:val="BodyText"/>
        <w:spacing w:before="240"/>
        <w:ind w:firstLine="720"/>
        <w:jc w:val="both"/>
        <w:rPr>
          <w:lang w:val="en-US"/>
        </w:rPr>
      </w:pPr>
      <w:r w:rsidRPr="002532F6">
        <w:rPr>
          <w:lang w:val="mk-MK"/>
        </w:rPr>
        <w:t>Иако законодавниот пат на ко-детерминацијата б</w:t>
      </w:r>
      <w:r>
        <w:rPr>
          <w:lang w:val="mk-MK"/>
        </w:rPr>
        <w:t>ил</w:t>
      </w:r>
      <w:r w:rsidRPr="002532F6">
        <w:rPr>
          <w:lang w:val="mk-MK"/>
        </w:rPr>
        <w:t xml:space="preserve"> блокиран, Европската унија разви</w:t>
      </w:r>
      <w:r>
        <w:rPr>
          <w:lang w:val="mk-MK"/>
        </w:rPr>
        <w:t>ла</w:t>
      </w:r>
      <w:r w:rsidRPr="002532F6">
        <w:rPr>
          <w:lang w:val="mk-MK"/>
        </w:rPr>
        <w:t xml:space="preserve"> паралелен приод кон учеството на вработените преку поттикнување на финансиската партиципација (Employee Financial Participation / EFP). Историски гледано, овој процес б</w:t>
      </w:r>
      <w:r w:rsidR="00791030">
        <w:rPr>
          <w:lang w:val="mk-MK"/>
        </w:rPr>
        <w:t>ил</w:t>
      </w:r>
      <w:r w:rsidRPr="002532F6">
        <w:rPr>
          <w:lang w:val="mk-MK"/>
        </w:rPr>
        <w:t xml:space="preserve"> иницитиран со публикацијата на Првиот PEPPER Извештај во 1991 година,</w:t>
      </w:r>
      <w:r w:rsidR="00791030">
        <w:rPr>
          <w:rStyle w:val="FootnoteReference"/>
          <w:lang w:val="mk-MK"/>
        </w:rPr>
        <w:footnoteReference w:id="884"/>
      </w:r>
      <w:r w:rsidRPr="002532F6">
        <w:rPr>
          <w:lang w:val="mk-MK"/>
        </w:rPr>
        <w:t xml:space="preserve"> финансиран од страна на Европската комисија и изработен со поддршка на Европскиот универзитетски институт. Извештајот воведе типологија на шеми за финансиска партиципација и ја разгледа состојбата во дванаесетте тогашни земји-членки.</w:t>
      </w:r>
      <w:r>
        <w:rPr>
          <w:lang w:val="mk-MK"/>
        </w:rPr>
        <w:t xml:space="preserve"> </w:t>
      </w:r>
    </w:p>
    <w:p w14:paraId="155EE235" w14:textId="5B392636" w:rsidR="00C55409" w:rsidRDefault="006F24A2" w:rsidP="002532F6">
      <w:pPr>
        <w:pStyle w:val="BodyText"/>
        <w:spacing w:before="240"/>
        <w:ind w:firstLine="720"/>
        <w:jc w:val="both"/>
        <w:rPr>
          <w:lang w:val="mk-MK"/>
        </w:rPr>
      </w:pPr>
      <w:r w:rsidRPr="006F24A2">
        <w:rPr>
          <w:lang w:val="mk-MK"/>
        </w:rPr>
        <w:t xml:space="preserve">Следниот значаен чекор </w:t>
      </w:r>
      <w:r>
        <w:rPr>
          <w:lang w:val="mk-MK"/>
        </w:rPr>
        <w:t>е</w:t>
      </w:r>
      <w:r w:rsidRPr="006F24A2">
        <w:rPr>
          <w:lang w:val="mk-MK"/>
        </w:rPr>
        <w:t xml:space="preserve"> усвојувањето на Препораката на Советот 92/443/ЕЗ од 27 јули 1992 година за поттикнување на учеството на вработените во добивката и деловните резултати на компаниите, вклучувајќи ги и акциите (equity). Со оваа Препорака, Советот за прв пат официјално ги признал придобивките од финансиската партиципација на вработените и ги поканил земјите-членки да преземат соодветни мерки за нејзина промоција. Во 2002 година, Комисијата усвои</w:t>
      </w:r>
      <w:r w:rsidR="0089249B">
        <w:rPr>
          <w:lang w:val="mk-MK"/>
        </w:rPr>
        <w:t>ла</w:t>
      </w:r>
      <w:r w:rsidRPr="006F24A2">
        <w:rPr>
          <w:lang w:val="mk-MK"/>
        </w:rPr>
        <w:t xml:space="preserve"> Комуникација (COM(2002) 364) за промоција на финансиската партиципација на вработените, со која </w:t>
      </w:r>
      <w:r w:rsidR="0089249B">
        <w:rPr>
          <w:lang w:val="mk-MK"/>
        </w:rPr>
        <w:t>е</w:t>
      </w:r>
      <w:r w:rsidRPr="006F24A2">
        <w:rPr>
          <w:lang w:val="mk-MK"/>
        </w:rPr>
        <w:t xml:space="preserve"> формирана работна група на независни експерти за анализа на законодавните пречки за транснационалното ширење на шемите за финансиска партиципација.</w:t>
      </w:r>
      <w:r w:rsidR="00557F0C">
        <w:rPr>
          <w:rStyle w:val="FootnoteReference"/>
          <w:lang w:val="mk-MK"/>
        </w:rPr>
        <w:footnoteReference w:id="885"/>
      </w:r>
    </w:p>
    <w:p w14:paraId="71B7D5E9" w14:textId="0D6EFC15" w:rsidR="009B35D4" w:rsidRDefault="009B35D4" w:rsidP="002532F6">
      <w:pPr>
        <w:pStyle w:val="BodyText"/>
        <w:spacing w:before="240"/>
        <w:ind w:firstLine="720"/>
        <w:jc w:val="both"/>
        <w:rPr>
          <w:lang w:val="mk-MK"/>
        </w:rPr>
      </w:pPr>
      <w:r w:rsidRPr="009B35D4">
        <w:rPr>
          <w:lang w:val="mk-MK"/>
        </w:rPr>
        <w:t xml:space="preserve">PEPPER IV Извештајот ги прошири претходните истражувања и кон новите земји-членки и </w:t>
      </w:r>
      <w:r w:rsidR="00843DAF">
        <w:rPr>
          <w:lang w:val="mk-MK"/>
        </w:rPr>
        <w:t>земјите-</w:t>
      </w:r>
      <w:r w:rsidRPr="009B35D4">
        <w:rPr>
          <w:lang w:val="mk-MK"/>
        </w:rPr>
        <w:t xml:space="preserve">кандидати </w:t>
      </w:r>
      <w:r w:rsidR="00843DAF">
        <w:rPr>
          <w:lang w:val="mk-MK"/>
        </w:rPr>
        <w:t>за влез во</w:t>
      </w:r>
      <w:r w:rsidRPr="009B35D4">
        <w:rPr>
          <w:lang w:val="mk-MK"/>
        </w:rPr>
        <w:t xml:space="preserve"> ЕУ. Неговите наоди покажаа значителен пораст на финансиската партиципација во ЕУ во периодот</w:t>
      </w:r>
      <w:r w:rsidR="00843DAF">
        <w:rPr>
          <w:lang w:val="mk-MK"/>
        </w:rPr>
        <w:t xml:space="preserve"> од</w:t>
      </w:r>
      <w:r w:rsidRPr="009B35D4">
        <w:rPr>
          <w:lang w:val="mk-MK"/>
        </w:rPr>
        <w:t xml:space="preserve"> 1999</w:t>
      </w:r>
      <w:r w:rsidR="00843DAF">
        <w:rPr>
          <w:lang w:val="mk-MK"/>
        </w:rPr>
        <w:t xml:space="preserve"> до </w:t>
      </w:r>
      <w:r w:rsidRPr="009B35D4">
        <w:rPr>
          <w:lang w:val="mk-MK"/>
        </w:rPr>
        <w:t>2005 година</w:t>
      </w:r>
      <w:r w:rsidR="003A2D1B">
        <w:rPr>
          <w:lang w:val="mk-MK"/>
        </w:rPr>
        <w:t>. Се покажало дека</w:t>
      </w:r>
      <w:r w:rsidRPr="009B35D4">
        <w:rPr>
          <w:lang w:val="mk-MK"/>
        </w:rPr>
        <w:t xml:space="preserve"> уделот на компании кои нудат шеми за акционерство на вработените достигна</w:t>
      </w:r>
      <w:r w:rsidR="003A2D1B">
        <w:rPr>
          <w:lang w:val="mk-MK"/>
        </w:rPr>
        <w:t>л</w:t>
      </w:r>
      <w:r w:rsidRPr="009B35D4">
        <w:rPr>
          <w:lang w:val="mk-MK"/>
        </w:rPr>
        <w:t xml:space="preserve"> 18%, додека шемите за поделба на добивка порасна</w:t>
      </w:r>
      <w:r w:rsidR="003A2D1B">
        <w:rPr>
          <w:lang w:val="mk-MK"/>
        </w:rPr>
        <w:t>ле</w:t>
      </w:r>
      <w:r w:rsidRPr="009B35D4">
        <w:rPr>
          <w:lang w:val="mk-MK"/>
        </w:rPr>
        <w:t xml:space="preserve"> на 35%.</w:t>
      </w:r>
      <w:r w:rsidR="003A2D1B">
        <w:rPr>
          <w:rStyle w:val="FootnoteReference"/>
          <w:lang w:val="mk-MK"/>
        </w:rPr>
        <w:footnoteReference w:id="886"/>
      </w:r>
      <w:r w:rsidRPr="009B35D4">
        <w:rPr>
          <w:lang w:val="mk-MK"/>
        </w:rPr>
        <w:t xml:space="preserve"> Сепак, извештаите доследно покаж</w:t>
      </w:r>
      <w:r w:rsidR="00261D30">
        <w:rPr>
          <w:lang w:val="mk-MK"/>
        </w:rPr>
        <w:t>але</w:t>
      </w:r>
      <w:r w:rsidRPr="009B35D4">
        <w:rPr>
          <w:lang w:val="mk-MK"/>
        </w:rPr>
        <w:t xml:space="preserve"> географска нерамномерност</w:t>
      </w:r>
      <w:r w:rsidR="00261D30">
        <w:rPr>
          <w:lang w:val="mk-MK"/>
        </w:rPr>
        <w:t xml:space="preserve"> што посочила дека</w:t>
      </w:r>
      <w:r w:rsidRPr="009B35D4">
        <w:rPr>
          <w:lang w:val="mk-MK"/>
        </w:rPr>
        <w:t xml:space="preserve"> Франција, Велика Британија, Холандија и нордиските земји б</w:t>
      </w:r>
      <w:r w:rsidR="00261D30">
        <w:rPr>
          <w:lang w:val="mk-MK"/>
        </w:rPr>
        <w:t>иле</w:t>
      </w:r>
      <w:r w:rsidRPr="009B35D4">
        <w:rPr>
          <w:lang w:val="mk-MK"/>
        </w:rPr>
        <w:t xml:space="preserve"> значително понапред, додека голем дел од Централна и Источна Европа, вклучувајќи ги и земјите-кандидати, значително заостанува</w:t>
      </w:r>
      <w:r w:rsidR="00F2514E">
        <w:rPr>
          <w:lang w:val="mk-MK"/>
        </w:rPr>
        <w:t>ле</w:t>
      </w:r>
      <w:r w:rsidRPr="009B35D4">
        <w:rPr>
          <w:lang w:val="mk-MK"/>
        </w:rPr>
        <w:t>.</w:t>
      </w:r>
      <w:r w:rsidR="00356DD7">
        <w:rPr>
          <w:rStyle w:val="FootnoteReference"/>
          <w:lang w:val="mk-MK"/>
        </w:rPr>
        <w:footnoteReference w:id="887"/>
      </w:r>
    </w:p>
    <w:p w14:paraId="295E4EE6" w14:textId="305D52CE" w:rsidR="00F2514E" w:rsidRDefault="00F2514E" w:rsidP="002532F6">
      <w:pPr>
        <w:pStyle w:val="BodyText"/>
        <w:spacing w:before="240"/>
        <w:ind w:firstLine="720"/>
        <w:jc w:val="both"/>
        <w:rPr>
          <w:lang w:val="en-US"/>
        </w:rPr>
      </w:pPr>
      <w:r w:rsidRPr="00F2514E">
        <w:rPr>
          <w:lang w:val="mk-MK"/>
        </w:rPr>
        <w:t>Достапните податоци од 2018 година укажуваат на приближно 10 милиони акционери-вработени во Европа и рекордни приближно 400 милијарди евра активи во сопственост на вработени.</w:t>
      </w:r>
      <w:r w:rsidR="003360A0">
        <w:rPr>
          <w:rStyle w:val="FootnoteReference"/>
          <w:lang w:val="mk-MK"/>
        </w:rPr>
        <w:footnoteReference w:id="888"/>
      </w:r>
      <w:r w:rsidRPr="00F2514E">
        <w:rPr>
          <w:lang w:val="mk-MK"/>
        </w:rPr>
        <w:t xml:space="preserve"> И покрај овие достигнувања, 68% од компаниите во ЕУ сè уште не нудат никаква форма на шема за финансиска партиципација,</w:t>
      </w:r>
      <w:r w:rsidR="003360A0">
        <w:rPr>
          <w:rStyle w:val="FootnoteReference"/>
          <w:lang w:val="mk-MK"/>
        </w:rPr>
        <w:footnoteReference w:id="889"/>
      </w:r>
      <w:r w:rsidRPr="00F2514E">
        <w:rPr>
          <w:lang w:val="mk-MK"/>
        </w:rPr>
        <w:t xml:space="preserve"> а PEPPER V </w:t>
      </w:r>
      <w:r w:rsidRPr="00F2514E">
        <w:rPr>
          <w:lang w:val="mk-MK"/>
        </w:rPr>
        <w:lastRenderedPageBreak/>
        <w:t>Извештајот укажува дека, во услови на концентрација на капитал и капитален доход на врвот на дистрибуцијата, позитивните дистрибутивни ефекти на финансиската партиципација се делумно неутрализирани.</w:t>
      </w:r>
      <w:r w:rsidR="00AA4915">
        <w:rPr>
          <w:rStyle w:val="FootnoteReference"/>
          <w:lang w:val="mk-MK"/>
        </w:rPr>
        <w:footnoteReference w:id="890"/>
      </w:r>
      <w:r w:rsidR="00AA4915">
        <w:rPr>
          <w:lang w:val="en-US"/>
        </w:rPr>
        <w:t xml:space="preserve"> </w:t>
      </w:r>
    </w:p>
    <w:p w14:paraId="4787CE1F" w14:textId="7EAA560E" w:rsidR="00AE5C25" w:rsidRDefault="00642570" w:rsidP="002532F6">
      <w:pPr>
        <w:pStyle w:val="BodyText"/>
        <w:spacing w:before="240"/>
        <w:ind w:firstLine="720"/>
        <w:jc w:val="both"/>
        <w:rPr>
          <w:lang w:val="mk-MK"/>
        </w:rPr>
      </w:pPr>
      <w:r>
        <w:rPr>
          <w:lang w:val="mk-MK"/>
        </w:rPr>
        <w:t xml:space="preserve">Денес, </w:t>
      </w:r>
      <w:r w:rsidR="00E85A21" w:rsidRPr="00E85A21">
        <w:rPr>
          <w:lang w:val="mk-MK"/>
        </w:rPr>
        <w:t>Европскиот Парламент и Комисијата признаваат неколку основни модели на финансиска партиципација</w:t>
      </w:r>
      <w:r>
        <w:rPr>
          <w:lang w:val="mk-MK"/>
        </w:rPr>
        <w:t>.</w:t>
      </w:r>
      <w:r>
        <w:rPr>
          <w:rStyle w:val="FootnoteReference"/>
          <w:lang w:val="mk-MK"/>
        </w:rPr>
        <w:footnoteReference w:id="891"/>
      </w:r>
      <w:r w:rsidR="00E85A21" w:rsidRPr="00E85A21">
        <w:rPr>
          <w:lang w:val="mk-MK"/>
        </w:rPr>
        <w:t xml:space="preserve"> Прво, поделба на добивка (profit sharing) во готовинска</w:t>
      </w:r>
      <w:r w:rsidR="0049001C">
        <w:rPr>
          <w:lang w:val="mk-MK"/>
        </w:rPr>
        <w:t xml:space="preserve">, </w:t>
      </w:r>
      <w:r w:rsidR="00E85A21" w:rsidRPr="00E85A21">
        <w:rPr>
          <w:lang w:val="mk-MK"/>
        </w:rPr>
        <w:t>одложена или во форма на акции. Второ, индивидуалното акционерство на вработените (employee shares, stock options)</w:t>
      </w:r>
      <w:r w:rsidR="0049001C">
        <w:rPr>
          <w:lang w:val="mk-MK"/>
        </w:rPr>
        <w:t xml:space="preserve"> како</w:t>
      </w:r>
      <w:r w:rsidR="00E85A21" w:rsidRPr="00E85A21">
        <w:rPr>
          <w:lang w:val="mk-MK"/>
        </w:rPr>
        <w:t xml:space="preserve"> директно стекнување акции или права за нивно стекнување под поволни услови. Трето, колективните шеми за акционерство на вработените (ESOP — Employee Stock Ownership Plan)</w:t>
      </w:r>
      <w:r w:rsidR="0049001C">
        <w:rPr>
          <w:lang w:val="mk-MK"/>
        </w:rPr>
        <w:t>,</w:t>
      </w:r>
      <w:r w:rsidR="00E85A21" w:rsidRPr="00E85A21">
        <w:rPr>
          <w:lang w:val="mk-MK"/>
        </w:rPr>
        <w:t xml:space="preserve"> во кои акциите се стекнуваат преку посредно правно лице (траст или кооператива) во корист на вработените, честопати финансирано преку кредит кој подоцна се отплатува од добивката на компанијата.</w:t>
      </w:r>
    </w:p>
    <w:p w14:paraId="23FD7C31" w14:textId="0C432DF3" w:rsidR="008B6495" w:rsidRDefault="008B6495" w:rsidP="002532F6">
      <w:pPr>
        <w:pStyle w:val="BodyText"/>
        <w:spacing w:before="240"/>
        <w:ind w:firstLine="720"/>
        <w:jc w:val="both"/>
        <w:rPr>
          <w:lang w:val="mk-MK"/>
        </w:rPr>
      </w:pPr>
      <w:r w:rsidRPr="008B6495">
        <w:rPr>
          <w:lang w:val="mk-MK"/>
        </w:rPr>
        <w:t>Американскиот ESOP модел, кој брои приближно 10.000 ESOP компании во САД со 14 милиони сопственици-вработени и вкупна актива над 1.300 милијарди долари,</w:t>
      </w:r>
      <w:r w:rsidR="00E33124">
        <w:rPr>
          <w:rStyle w:val="FootnoteReference"/>
          <w:lang w:val="mk-MK"/>
        </w:rPr>
        <w:footnoteReference w:id="892"/>
      </w:r>
      <w:r w:rsidRPr="008B6495">
        <w:rPr>
          <w:lang w:val="mk-MK"/>
        </w:rPr>
        <w:t xml:space="preserve"> е значително поекспанзивен отколку европскиот еквивалент, кој брои само околу 300 мнозински сопственички компании на вработени. Оваа диспропорција во голема мера може да се припише на значителните даночни поттикнувачи во САД</w:t>
      </w:r>
      <w:r w:rsidR="00C73CA0">
        <w:rPr>
          <w:lang w:val="mk-MK"/>
        </w:rPr>
        <w:t>,</w:t>
      </w:r>
      <w:r w:rsidRPr="008B6495">
        <w:rPr>
          <w:lang w:val="mk-MK"/>
        </w:rPr>
        <w:t xml:space="preserve"> кои немаат соодветен европски пандан на ниво на ЕУ. Токму поради тоа, PEPPER V Извештајот препорачува воспоставување на „заеднички европски ESOP режим" кој би ги хармонизирал правната рамка и фискалните поттикнувачи низ целата Унија.</w:t>
      </w:r>
    </w:p>
    <w:p w14:paraId="7D58E191" w14:textId="0E39CFD9" w:rsidR="007C6F5C" w:rsidRDefault="007C6F5C" w:rsidP="002532F6">
      <w:pPr>
        <w:pStyle w:val="BodyText"/>
        <w:spacing w:before="240"/>
        <w:ind w:firstLine="720"/>
        <w:jc w:val="both"/>
        <w:rPr>
          <w:lang w:val="mk-MK"/>
        </w:rPr>
      </w:pPr>
      <w:r>
        <w:rPr>
          <w:lang w:val="mk-MK"/>
        </w:rPr>
        <w:t>Од друга страна, м</w:t>
      </w:r>
      <w:r w:rsidRPr="007C6F5C">
        <w:rPr>
          <w:lang w:val="mk-MK"/>
        </w:rPr>
        <w:t>еѓународните стандарди за транспарентност и обелоденување</w:t>
      </w:r>
      <w:r w:rsidR="00C86886">
        <w:rPr>
          <w:lang w:val="mk-MK"/>
        </w:rPr>
        <w:t>,</w:t>
      </w:r>
      <w:r w:rsidRPr="007C6F5C">
        <w:rPr>
          <w:lang w:val="mk-MK"/>
        </w:rPr>
        <w:t xml:space="preserve"> особено Принципите за корпоративно управување на</w:t>
      </w:r>
      <w:r w:rsidR="00C86886">
        <w:rPr>
          <w:lang w:val="mk-MK"/>
        </w:rPr>
        <w:t xml:space="preserve"> ОЕЦД,</w:t>
      </w:r>
      <w:r w:rsidRPr="007C6F5C">
        <w:rPr>
          <w:lang w:val="mk-MK"/>
        </w:rPr>
        <w:t xml:space="preserve"> ја поставуваат информацијата за вработените во самото јадро на корпоративното изве</w:t>
      </w:r>
      <w:r w:rsidR="004F29BC">
        <w:rPr>
          <w:lang w:val="mk-MK"/>
        </w:rPr>
        <w:t>с</w:t>
      </w:r>
      <w:r w:rsidRPr="007C6F5C">
        <w:rPr>
          <w:lang w:val="mk-MK"/>
        </w:rPr>
        <w:t xml:space="preserve">тување. </w:t>
      </w:r>
      <w:r w:rsidR="00A670E5">
        <w:rPr>
          <w:lang w:val="mk-MK"/>
        </w:rPr>
        <w:t>Петтиот дел на</w:t>
      </w:r>
      <w:r w:rsidRPr="007C6F5C">
        <w:rPr>
          <w:lang w:val="mk-MK"/>
        </w:rPr>
        <w:t xml:space="preserve"> Принципите изречно бара обелоденување на „материјалните информации" поврзани со компанијата, вклучувајќи ги и „прашањата поврзани со вработените и останатите засегнати групи". Оваа одредба го позиционира работниот статус и политиките за наградување на вработените</w:t>
      </w:r>
      <w:r w:rsidR="00D900A4">
        <w:rPr>
          <w:lang w:val="mk-MK"/>
        </w:rPr>
        <w:t>,</w:t>
      </w:r>
      <w:r w:rsidRPr="007C6F5C">
        <w:rPr>
          <w:lang w:val="mk-MK"/>
        </w:rPr>
        <w:t xml:space="preserve"> вклучувајќи ги и шемите за акционерство</w:t>
      </w:r>
      <w:r w:rsidR="00D900A4">
        <w:rPr>
          <w:lang w:val="mk-MK"/>
        </w:rPr>
        <w:t>,</w:t>
      </w:r>
      <w:r w:rsidRPr="007C6F5C">
        <w:rPr>
          <w:lang w:val="mk-MK"/>
        </w:rPr>
        <w:t xml:space="preserve"> во опфатот на задолжителното обелоденување.</w:t>
      </w:r>
    </w:p>
    <w:p w14:paraId="7B5A23E0" w14:textId="48982E0B" w:rsidR="00D900A4" w:rsidRDefault="00D900A4" w:rsidP="002532F6">
      <w:pPr>
        <w:pStyle w:val="BodyText"/>
        <w:spacing w:before="240"/>
        <w:ind w:firstLine="720"/>
        <w:jc w:val="both"/>
        <w:rPr>
          <w:lang w:val="mk-MK"/>
        </w:rPr>
      </w:pPr>
      <w:r w:rsidRPr="00D900A4">
        <w:rPr>
          <w:lang w:val="mk-MK"/>
        </w:rPr>
        <w:t>Особено значајн</w:t>
      </w:r>
      <w:r>
        <w:rPr>
          <w:lang w:val="mk-MK"/>
        </w:rPr>
        <w:t>о</w:t>
      </w:r>
      <w:r w:rsidRPr="00D900A4">
        <w:rPr>
          <w:lang w:val="mk-MK"/>
        </w:rPr>
        <w:t xml:space="preserve"> е барањето за транспарентност во врска со </w:t>
      </w:r>
      <w:r w:rsidR="00497A93">
        <w:rPr>
          <w:lang w:val="mk-MK"/>
        </w:rPr>
        <w:t>„</w:t>
      </w:r>
      <w:r w:rsidRPr="00D900A4">
        <w:rPr>
          <w:lang w:val="mk-MK"/>
        </w:rPr>
        <w:t>политиката на наградување на членовите на одборот на директори, вклучувајќи ги нивните квалификации</w:t>
      </w:r>
      <w:r w:rsidR="00497A93">
        <w:rPr>
          <w:lang w:val="mk-MK"/>
        </w:rPr>
        <w:t>“</w:t>
      </w:r>
      <w:r w:rsidRPr="00D900A4">
        <w:rPr>
          <w:lang w:val="mk-MK"/>
        </w:rPr>
        <w:t>.</w:t>
      </w:r>
      <w:r w:rsidR="000C254C">
        <w:rPr>
          <w:rStyle w:val="FootnoteReference"/>
          <w:lang w:val="mk-MK"/>
        </w:rPr>
        <w:footnoteReference w:id="893"/>
      </w:r>
      <w:r w:rsidRPr="00D900A4">
        <w:rPr>
          <w:lang w:val="mk-MK"/>
        </w:rPr>
        <w:t xml:space="preserve"> Иако Принципите формално </w:t>
      </w:r>
      <w:r w:rsidR="00065B08">
        <w:rPr>
          <w:lang w:val="mk-MK"/>
        </w:rPr>
        <w:t>го</w:t>
      </w:r>
      <w:r w:rsidRPr="00D900A4">
        <w:rPr>
          <w:lang w:val="mk-MK"/>
        </w:rPr>
        <w:t xml:space="preserve"> насочуваат ова барање кон директорите, принципот на транспарентно наградување е поширок</w:t>
      </w:r>
      <w:r w:rsidR="00497A93">
        <w:rPr>
          <w:lang w:val="mk-MK"/>
        </w:rPr>
        <w:t xml:space="preserve"> затоа што</w:t>
      </w:r>
      <w:r w:rsidRPr="00D900A4">
        <w:rPr>
          <w:lang w:val="mk-MK"/>
        </w:rPr>
        <w:t xml:space="preserve"> кога раководни лица и клучни вработени добиваат акции, опции </w:t>
      </w:r>
      <w:r w:rsidR="00A16EBB">
        <w:rPr>
          <w:lang w:val="mk-MK"/>
        </w:rPr>
        <w:t>з</w:t>
      </w:r>
      <w:r w:rsidRPr="00D900A4">
        <w:rPr>
          <w:lang w:val="mk-MK"/>
        </w:rPr>
        <w:t>а акции или сложени инструменти за учество во капиталот, тоа наградување мора да биде транспарентно обелоденето. Без транспарентен систем на известување, акционерите</w:t>
      </w:r>
      <w:r w:rsidR="00622B31">
        <w:rPr>
          <w:lang w:val="mk-MK"/>
        </w:rPr>
        <w:t>,</w:t>
      </w:r>
      <w:r w:rsidRPr="00D900A4">
        <w:rPr>
          <w:lang w:val="mk-MK"/>
        </w:rPr>
        <w:t xml:space="preserve"> вклучувајќи ги и другите вработени-акционери</w:t>
      </w:r>
      <w:r w:rsidR="002A69B6">
        <w:rPr>
          <w:lang w:val="mk-MK"/>
        </w:rPr>
        <w:t>,</w:t>
      </w:r>
      <w:r w:rsidRPr="00D900A4">
        <w:rPr>
          <w:lang w:val="mk-MK"/>
        </w:rPr>
        <w:t xml:space="preserve"> не се во можност да ја оценат распределбата на капиталот создаден со нивниот труд</w:t>
      </w:r>
      <w:r w:rsidR="002A69B6">
        <w:rPr>
          <w:lang w:val="mk-MK"/>
        </w:rPr>
        <w:t xml:space="preserve"> и </w:t>
      </w:r>
      <w:r w:rsidR="00FF1AB6">
        <w:rPr>
          <w:lang w:val="mk-MK"/>
        </w:rPr>
        <w:t>се доведува во прашање системот на фер поделба</w:t>
      </w:r>
      <w:r w:rsidRPr="00D900A4">
        <w:rPr>
          <w:lang w:val="mk-MK"/>
        </w:rPr>
        <w:t>.</w:t>
      </w:r>
    </w:p>
    <w:p w14:paraId="3F4D607A" w14:textId="0312AFE3" w:rsidR="00FF1AB6" w:rsidRDefault="00FF1AB6" w:rsidP="002532F6">
      <w:pPr>
        <w:pStyle w:val="BodyText"/>
        <w:spacing w:before="240"/>
        <w:ind w:firstLine="720"/>
        <w:jc w:val="both"/>
        <w:rPr>
          <w:lang w:val="mk-MK"/>
        </w:rPr>
      </w:pPr>
      <w:r w:rsidRPr="00FF1AB6">
        <w:rPr>
          <w:lang w:val="mk-MK"/>
        </w:rPr>
        <w:t>Коевски ја образложува оваа рамка во контекстот на македонскиот Закон за трговски друштва</w:t>
      </w:r>
      <w:r w:rsidR="00936E1D">
        <w:rPr>
          <w:lang w:val="mk-MK"/>
        </w:rPr>
        <w:t xml:space="preserve"> наведувајќи дека</w:t>
      </w:r>
      <w:r w:rsidRPr="00FF1AB6">
        <w:rPr>
          <w:lang w:val="mk-MK"/>
        </w:rPr>
        <w:t xml:space="preserve"> годишниот извештај за работа на друштвото мора да ги содржи примањата на секој извршен член на одборот на директори и на членовите на </w:t>
      </w:r>
      <w:r w:rsidRPr="00FF1AB6">
        <w:rPr>
          <w:lang w:val="mk-MK"/>
        </w:rPr>
        <w:lastRenderedPageBreak/>
        <w:t>управниот одбор според член 384, став (7) од ЗТД.</w:t>
      </w:r>
      <w:r w:rsidR="000E006B">
        <w:rPr>
          <w:rStyle w:val="FootnoteReference"/>
          <w:lang w:val="mk-MK"/>
        </w:rPr>
        <w:footnoteReference w:id="894"/>
      </w:r>
      <w:r w:rsidRPr="00FF1AB6">
        <w:rPr>
          <w:lang w:val="mk-MK"/>
        </w:rPr>
        <w:t xml:space="preserve"> Оваа законска обврска ги покрива и акционерските наградувања бидејќи акциите и инструментите поврзани со акции кои им се доделуваат на извршните членови се составен дел на вкупниот надоместок кој мора да биде обелоденет.</w:t>
      </w:r>
    </w:p>
    <w:p w14:paraId="36E907BE" w14:textId="13511921" w:rsidR="00DE1854" w:rsidRDefault="00DE1854" w:rsidP="002532F6">
      <w:pPr>
        <w:pStyle w:val="BodyText"/>
        <w:spacing w:before="240"/>
        <w:ind w:firstLine="720"/>
        <w:jc w:val="both"/>
        <w:rPr>
          <w:lang w:val="mk-MK"/>
        </w:rPr>
      </w:pPr>
      <w:r w:rsidRPr="00DE1854">
        <w:rPr>
          <w:lang w:val="mk-MK"/>
        </w:rPr>
        <w:t xml:space="preserve">Обврските за известување предвидени со ЗТД се </w:t>
      </w:r>
      <w:r w:rsidR="00BC159D">
        <w:rPr>
          <w:lang w:val="mk-MK"/>
        </w:rPr>
        <w:t xml:space="preserve">директно </w:t>
      </w:r>
      <w:r w:rsidRPr="00DE1854">
        <w:rPr>
          <w:lang w:val="mk-MK"/>
        </w:rPr>
        <w:t xml:space="preserve">применливи на вработените кои поседуваат акции </w:t>
      </w:r>
      <w:r w:rsidR="00670FC5">
        <w:rPr>
          <w:lang w:val="mk-MK"/>
        </w:rPr>
        <w:t>кај</w:t>
      </w:r>
      <w:r w:rsidRPr="00DE1854">
        <w:rPr>
          <w:lang w:val="mk-MK"/>
        </w:rPr>
        <w:t xml:space="preserve"> своите работодавачи. Секој акционер има право, на собранието на акционерското друштво, да бара известување за состојбата на друштвото и за неговите односи со другите друштва, ако известувањето е поврзано со точките на дневниот ред.</w:t>
      </w:r>
      <w:r w:rsidR="00BA5B7F">
        <w:rPr>
          <w:rStyle w:val="FootnoteReference"/>
          <w:lang w:val="mk-MK"/>
        </w:rPr>
        <w:footnoteReference w:id="895"/>
      </w:r>
      <w:r w:rsidRPr="00DE1854">
        <w:rPr>
          <w:lang w:val="mk-MK"/>
        </w:rPr>
        <w:t xml:space="preserve"> Акционерот на кој му е ускратено известувањето може да бара заштита на своето право на известување од судот, во рок од 15 дена од одржувањето на собранието. За вработениот-акционер, ова право е особено</w:t>
      </w:r>
      <w:r w:rsidR="00BA5B7F">
        <w:rPr>
          <w:lang w:val="mk-MK"/>
        </w:rPr>
        <w:t xml:space="preserve"> значајно затоа што </w:t>
      </w:r>
      <w:r w:rsidRPr="00DE1854">
        <w:rPr>
          <w:lang w:val="mk-MK"/>
        </w:rPr>
        <w:t xml:space="preserve">со учеството во годишното собрание, тој може да постави прашања и да бара одговори за прашања кои директно ги засегаат неговите </w:t>
      </w:r>
      <w:r w:rsidR="00A02CE2">
        <w:rPr>
          <w:lang w:val="mk-MK"/>
        </w:rPr>
        <w:t>интереси и од аспект на</w:t>
      </w:r>
      <w:r w:rsidRPr="00DE1854">
        <w:rPr>
          <w:lang w:val="mk-MK"/>
        </w:rPr>
        <w:t xml:space="preserve"> работн</w:t>
      </w:r>
      <w:r w:rsidR="00A02CE2">
        <w:rPr>
          <w:lang w:val="mk-MK"/>
        </w:rPr>
        <w:t>ичкиот и од аспект</w:t>
      </w:r>
      <w:r w:rsidRPr="00DE1854">
        <w:rPr>
          <w:lang w:val="mk-MK"/>
        </w:rPr>
        <w:t xml:space="preserve"> </w:t>
      </w:r>
      <w:r w:rsidR="00A02CE2">
        <w:rPr>
          <w:lang w:val="mk-MK"/>
        </w:rPr>
        <w:t xml:space="preserve">на </w:t>
      </w:r>
      <w:r w:rsidRPr="00DE1854">
        <w:rPr>
          <w:lang w:val="mk-MK"/>
        </w:rPr>
        <w:t>акционерскиот</w:t>
      </w:r>
      <w:r w:rsidR="00A02CE2">
        <w:rPr>
          <w:lang w:val="mk-MK"/>
        </w:rPr>
        <w:t xml:space="preserve"> статус</w:t>
      </w:r>
      <w:r w:rsidRPr="00DE1854">
        <w:rPr>
          <w:lang w:val="mk-MK"/>
        </w:rPr>
        <w:t>.</w:t>
      </w:r>
    </w:p>
    <w:p w14:paraId="7B69577E" w14:textId="40C96951" w:rsidR="00A02CE2" w:rsidRDefault="00DE5D75" w:rsidP="002532F6">
      <w:pPr>
        <w:pStyle w:val="BodyText"/>
        <w:spacing w:before="240"/>
        <w:ind w:firstLine="720"/>
        <w:jc w:val="both"/>
        <w:rPr>
          <w:lang w:val="mk-MK"/>
        </w:rPr>
      </w:pPr>
      <w:r w:rsidRPr="00DE5D75">
        <w:t>Важна е и одредбата дека секој акционер може да пристапи до усвоените финансиски извештаи и годишниот извештај за работа на друштвото.</w:t>
      </w:r>
      <w:r w:rsidR="001A5C1E">
        <w:rPr>
          <w:rStyle w:val="FootnoteReference"/>
        </w:rPr>
        <w:footnoteReference w:id="896"/>
      </w:r>
      <w:r w:rsidRPr="00DE5D75">
        <w:t xml:space="preserve"> Овој пристап до информации претставува нормативна основа за остварувањето на правото на информирана акционерска одлука</w:t>
      </w:r>
      <w:r w:rsidR="00BE37AE">
        <w:rPr>
          <w:lang w:val="mk-MK"/>
        </w:rPr>
        <w:t>,</w:t>
      </w:r>
      <w:r w:rsidRPr="00DE5D75">
        <w:t xml:space="preserve"> принцип кој во контекстот на Директивата за права на акционерите добива посебно значење.</w:t>
      </w:r>
      <w:r w:rsidR="001643E3">
        <w:rPr>
          <w:rStyle w:val="FootnoteReference"/>
        </w:rPr>
        <w:footnoteReference w:id="897"/>
      </w:r>
    </w:p>
    <w:p w14:paraId="6691E46D" w14:textId="36A3D923" w:rsidR="00E518CB" w:rsidRDefault="00E518CB" w:rsidP="002532F6">
      <w:pPr>
        <w:pStyle w:val="BodyText"/>
        <w:spacing w:before="240"/>
        <w:ind w:firstLine="720"/>
        <w:jc w:val="both"/>
        <w:rPr>
          <w:lang w:val="mk-MK"/>
        </w:rPr>
      </w:pPr>
      <w:r w:rsidRPr="00E518CB">
        <w:rPr>
          <w:lang w:val="mk-MK"/>
        </w:rPr>
        <w:t xml:space="preserve">По скандалите во корпоративниот сектор на почетокот на 21 век и резултирачката ерозија на довербата кај малите инвеститори за вложување во акции, Директивата 2007/36/ЕЗ за вршење на одредени права на акционери во котирани компании </w:t>
      </w:r>
      <w:r w:rsidR="009315AD">
        <w:rPr>
          <w:lang w:val="mk-MK"/>
        </w:rPr>
        <w:t>е</w:t>
      </w:r>
      <w:r w:rsidRPr="00E518CB">
        <w:rPr>
          <w:lang w:val="mk-MK"/>
        </w:rPr>
        <w:t xml:space="preserve"> усвоена со цел да се </w:t>
      </w:r>
      <w:r w:rsidR="00F91CF8">
        <w:rPr>
          <w:lang w:val="mk-MK"/>
        </w:rPr>
        <w:t>„</w:t>
      </w:r>
      <w:r w:rsidRPr="00E518CB">
        <w:rPr>
          <w:lang w:val="mk-MK"/>
        </w:rPr>
        <w:t>врати довербата во акционерството и да се поттикне развојот на акционерската демократија</w:t>
      </w:r>
      <w:r w:rsidR="00E63CFD">
        <w:rPr>
          <w:lang w:val="mk-MK"/>
        </w:rPr>
        <w:t>“</w:t>
      </w:r>
      <w:r w:rsidRPr="00E518CB">
        <w:rPr>
          <w:lang w:val="mk-MK"/>
        </w:rPr>
        <w:t>.</w:t>
      </w:r>
      <w:r w:rsidR="00E63CFD">
        <w:rPr>
          <w:rStyle w:val="FootnoteReference"/>
          <w:lang w:val="mk-MK"/>
        </w:rPr>
        <w:footnoteReference w:id="898"/>
      </w:r>
      <w:r w:rsidRPr="00E518CB">
        <w:rPr>
          <w:lang w:val="mk-MK"/>
        </w:rPr>
        <w:t xml:space="preserve"> Нејзините одредби за електронско учество на акционерите во собранијата, за гласање преку полномошник, за правото на поставување прашања и за пристап до информации се непосредно релевантни за вработените-акционери, кои по правило поседуваат помали акционерски пакети и имаат помали ресурси за остварување на своите права отколку институционалните инвеститори.</w:t>
      </w:r>
    </w:p>
    <w:p w14:paraId="63F43FB5" w14:textId="0D0FC94A" w:rsidR="00CD3B9B" w:rsidRDefault="00CD3B9B" w:rsidP="002532F6">
      <w:pPr>
        <w:pStyle w:val="BodyText"/>
        <w:spacing w:before="240"/>
        <w:ind w:firstLine="720"/>
        <w:jc w:val="both"/>
        <w:rPr>
          <w:lang w:val="mk-MK"/>
        </w:rPr>
      </w:pPr>
      <w:r w:rsidRPr="00CD3B9B">
        <w:rPr>
          <w:lang w:val="mk-MK"/>
        </w:rPr>
        <w:t xml:space="preserve">Коевски детално ги анализира одредбите на Директивата имплементирани во македонскиот ЗТД со измените и дополнувањата од март 2010 година, особено членовите 387, 388-а, 388-б, 391-а, 391-б, 392-б и 392-в, кои се однесуваат на котираните акционерски друштва и друштвата со посебни обврски за известување. За вработениот-акционер во котирана компанија, овие одредби значат право на електронско учество на собранијата без физичко присуство; право на поставување прашања пред и за време на собранието; право на прием на одговори на поставените прашања </w:t>
      </w:r>
      <w:r w:rsidR="003E4287">
        <w:rPr>
          <w:lang w:val="mk-MK"/>
        </w:rPr>
        <w:t>јавно</w:t>
      </w:r>
      <w:r w:rsidRPr="00CD3B9B">
        <w:rPr>
          <w:lang w:val="mk-MK"/>
        </w:rPr>
        <w:t>, на интернет страницата на друштвото; и право на гласање преку полномошник преку електронски средства. Во практична смисла, овие одредби ги отстрануваат бариерите кои на вработениот-акционер традиционално му беа пречка за ефективно учество во корпоративното одлучување.</w:t>
      </w:r>
    </w:p>
    <w:p w14:paraId="4B3F6E83" w14:textId="6CE33624" w:rsidR="00103C3E" w:rsidRDefault="00103C3E" w:rsidP="002532F6">
      <w:pPr>
        <w:pStyle w:val="BodyText"/>
        <w:spacing w:before="240"/>
        <w:ind w:firstLine="720"/>
        <w:jc w:val="both"/>
        <w:rPr>
          <w:lang w:val="mk-MK"/>
        </w:rPr>
      </w:pPr>
      <w:r w:rsidRPr="00103C3E">
        <w:rPr>
          <w:lang w:val="mk-MK"/>
        </w:rPr>
        <w:lastRenderedPageBreak/>
        <w:t xml:space="preserve">Вработените кои стекнуваат акции </w:t>
      </w:r>
      <w:r w:rsidR="000C3F5E">
        <w:rPr>
          <w:lang w:val="mk-MK"/>
        </w:rPr>
        <w:t>кај</w:t>
      </w:r>
      <w:r w:rsidRPr="00103C3E">
        <w:rPr>
          <w:lang w:val="mk-MK"/>
        </w:rPr>
        <w:t xml:space="preserve"> своите работодавачи</w:t>
      </w:r>
      <w:r w:rsidR="000C3F5E">
        <w:rPr>
          <w:lang w:val="mk-MK"/>
        </w:rPr>
        <w:t xml:space="preserve"> кои се </w:t>
      </w:r>
      <w:r w:rsidRPr="00103C3E">
        <w:rPr>
          <w:lang w:val="mk-MK"/>
        </w:rPr>
        <w:t xml:space="preserve">котирани </w:t>
      </w:r>
      <w:r w:rsidR="000C3F5E">
        <w:rPr>
          <w:lang w:val="mk-MK"/>
        </w:rPr>
        <w:t>друштва</w:t>
      </w:r>
      <w:r w:rsidRPr="00103C3E">
        <w:rPr>
          <w:lang w:val="mk-MK"/>
        </w:rPr>
        <w:t xml:space="preserve"> стануваат обврзани на посебен режим на транспарентност предвиден со Законот за хартии од вредност. Секое физичко или правно лице кое ќе стекне директно или индиректно повеќе од 5% од кој било род на хартии од вредност издадени од акционерско друштво со посебни обврски за известување е должно да достави „првичен извештај за сопственост</w:t>
      </w:r>
      <w:r w:rsidR="00D323FA">
        <w:rPr>
          <w:lang w:val="mk-MK"/>
        </w:rPr>
        <w:t>“</w:t>
      </w:r>
      <w:r w:rsidRPr="00103C3E">
        <w:rPr>
          <w:lang w:val="mk-MK"/>
        </w:rPr>
        <w:t xml:space="preserve"> до Комисијата за хартии од вредност и до самото акционерско друштво во рок од пет работни дена (член 166 од ЗХВ).</w:t>
      </w:r>
      <w:r w:rsidR="00D323FA">
        <w:rPr>
          <w:rStyle w:val="FootnoteReference"/>
          <w:lang w:val="mk-MK"/>
        </w:rPr>
        <w:footnoteReference w:id="899"/>
      </w:r>
      <w:r w:rsidRPr="00103C3E">
        <w:rPr>
          <w:lang w:val="mk-MK"/>
        </w:rPr>
        <w:t xml:space="preserve"> Со секоја наредна промена во поседуваниот пакет, акционерот е должен да достави „извештај за промена на сопственост</w:t>
      </w:r>
      <w:r w:rsidR="00865A93">
        <w:rPr>
          <w:lang w:val="mk-MK"/>
        </w:rPr>
        <w:t>“</w:t>
      </w:r>
      <w:r w:rsidRPr="00103C3E">
        <w:rPr>
          <w:lang w:val="mk-MK"/>
        </w:rPr>
        <w:t xml:space="preserve"> во исти рокови.</w:t>
      </w:r>
      <w:r w:rsidR="00865A93">
        <w:rPr>
          <w:rStyle w:val="FootnoteReference"/>
          <w:lang w:val="mk-MK"/>
        </w:rPr>
        <w:footnoteReference w:id="900"/>
      </w:r>
    </w:p>
    <w:p w14:paraId="0E602242" w14:textId="3FE3D79C" w:rsidR="002935EA" w:rsidRDefault="00AF3C2B" w:rsidP="002532F6">
      <w:pPr>
        <w:pStyle w:val="BodyText"/>
        <w:spacing w:before="240"/>
        <w:ind w:firstLine="720"/>
        <w:jc w:val="both"/>
        <w:rPr>
          <w:lang w:val="en-US"/>
        </w:rPr>
      </w:pPr>
      <w:r w:rsidRPr="00AF3C2B">
        <w:rPr>
          <w:lang w:val="mk-MK"/>
        </w:rPr>
        <w:t xml:space="preserve">Оваа обврска, ако </w:t>
      </w:r>
      <w:r>
        <w:rPr>
          <w:lang w:val="mk-MK"/>
        </w:rPr>
        <w:t xml:space="preserve">се </w:t>
      </w:r>
      <w:r w:rsidRPr="00AF3C2B">
        <w:rPr>
          <w:lang w:val="mk-MK"/>
        </w:rPr>
        <w:t>примен</w:t>
      </w:r>
      <w:r>
        <w:rPr>
          <w:lang w:val="mk-MK"/>
        </w:rPr>
        <w:t>ува</w:t>
      </w:r>
      <w:r w:rsidRPr="00AF3C2B">
        <w:rPr>
          <w:lang w:val="mk-MK"/>
        </w:rPr>
        <w:t xml:space="preserve"> стриктно, може да создаде дополнителна административна </w:t>
      </w:r>
      <w:r>
        <w:rPr>
          <w:lang w:val="mk-MK"/>
        </w:rPr>
        <w:t>пречка</w:t>
      </w:r>
      <w:r w:rsidRPr="00AF3C2B">
        <w:rPr>
          <w:lang w:val="mk-MK"/>
        </w:rPr>
        <w:t xml:space="preserve"> за вработените кои учествуваат во шеми за акционерство. Ако шемата е структурирана така што вработените стекнуваат акции колективно преку посредно правно лице</w:t>
      </w:r>
      <w:r w:rsidR="00786FD0">
        <w:rPr>
          <w:lang w:val="mk-MK"/>
        </w:rPr>
        <w:t xml:space="preserve">, како </w:t>
      </w:r>
      <w:r w:rsidRPr="00AF3C2B">
        <w:rPr>
          <w:lang w:val="mk-MK"/>
        </w:rPr>
        <w:t>кооператива или траст, прагот од 5% може лесно да биде достигнат, со</w:t>
      </w:r>
      <w:r w:rsidR="00786FD0">
        <w:rPr>
          <w:lang w:val="mk-MK"/>
        </w:rPr>
        <w:t xml:space="preserve"> директно</w:t>
      </w:r>
      <w:r w:rsidRPr="00AF3C2B">
        <w:rPr>
          <w:lang w:val="mk-MK"/>
        </w:rPr>
        <w:t xml:space="preserve"> активирање на обврските за известување. Ова законодавно прашање е идентификувано и во европскиот контекст</w:t>
      </w:r>
      <w:r w:rsidR="00786FD0">
        <w:rPr>
          <w:lang w:val="mk-MK"/>
        </w:rPr>
        <w:t>,</w:t>
      </w:r>
      <w:r w:rsidRPr="00AF3C2B">
        <w:rPr>
          <w:lang w:val="mk-MK"/>
        </w:rPr>
        <w:t xml:space="preserve"> PEPPER V Извештајот изр</w:t>
      </w:r>
      <w:r w:rsidR="00CE4B5C">
        <w:rPr>
          <w:lang w:val="mk-MK"/>
        </w:rPr>
        <w:t>и</w:t>
      </w:r>
      <w:r w:rsidRPr="00AF3C2B">
        <w:rPr>
          <w:lang w:val="mk-MK"/>
        </w:rPr>
        <w:t>чно ги препознава регулаторните пречки за транснационалните шеми за акционерство, меѓу кои и асиметриите во прагот на известување.</w:t>
      </w:r>
      <w:r w:rsidR="00786FD0">
        <w:rPr>
          <w:rStyle w:val="FootnoteReference"/>
          <w:lang w:val="mk-MK"/>
        </w:rPr>
        <w:footnoteReference w:id="901"/>
      </w:r>
    </w:p>
    <w:p w14:paraId="51B84A3E" w14:textId="2E4E523B" w:rsidR="004D1ADA" w:rsidRDefault="00067AEE" w:rsidP="002532F6">
      <w:pPr>
        <w:pStyle w:val="BodyText"/>
        <w:spacing w:before="240"/>
        <w:ind w:firstLine="720"/>
        <w:jc w:val="both"/>
        <w:rPr>
          <w:lang w:val="mk-MK"/>
        </w:rPr>
      </w:pPr>
      <w:r w:rsidRPr="00067AEE">
        <w:rPr>
          <w:lang w:val="mk-MK"/>
        </w:rPr>
        <w:t>Законот за хартии од вредност го ограничува тргувањето врз основа на инсајдерски информации</w:t>
      </w:r>
      <w:r w:rsidR="00C64DF1">
        <w:rPr>
          <w:lang w:val="mk-MK"/>
        </w:rPr>
        <w:t xml:space="preserve"> со тоа што</w:t>
      </w:r>
      <w:r w:rsidRPr="00067AEE">
        <w:rPr>
          <w:lang w:val="mk-MK"/>
        </w:rPr>
        <w:t xml:space="preserve"> лица со пристап до внатрешни информации (вработени со таков пристап) се должни да го известат издавачот, КХВ и берзата ако дознаат дека некое лице тргува врз основа на внатрешна информација (член 174 од ЗХВ).</w:t>
      </w:r>
      <w:r w:rsidR="00C64DF1">
        <w:rPr>
          <w:rStyle w:val="FootnoteReference"/>
          <w:lang w:val="mk-MK"/>
        </w:rPr>
        <w:footnoteReference w:id="902"/>
      </w:r>
      <w:r w:rsidRPr="00067AEE">
        <w:rPr>
          <w:lang w:val="mk-MK"/>
        </w:rPr>
        <w:t xml:space="preserve"> Оваа одредба ги поставува вработените-акционери во исклучително деликатна позиција</w:t>
      </w:r>
      <w:r w:rsidR="00C64DF1">
        <w:rPr>
          <w:lang w:val="mk-MK"/>
        </w:rPr>
        <w:t>.</w:t>
      </w:r>
    </w:p>
    <w:p w14:paraId="3136003B" w14:textId="2A5495DF" w:rsidR="00FB24B3" w:rsidRDefault="00FB24B3" w:rsidP="002532F6">
      <w:pPr>
        <w:pStyle w:val="BodyText"/>
        <w:spacing w:before="240"/>
        <w:ind w:firstLine="720"/>
        <w:jc w:val="both"/>
        <w:rPr>
          <w:lang w:val="mk-MK"/>
        </w:rPr>
      </w:pPr>
      <w:r w:rsidRPr="00FB24B3">
        <w:rPr>
          <w:lang w:val="mk-MK"/>
        </w:rPr>
        <w:t>Работникот кој е акционер во сопствената компанија ужива привилегиран пристап до информации за нејзиното работење</w:t>
      </w:r>
      <w:r>
        <w:rPr>
          <w:lang w:val="mk-MK"/>
        </w:rPr>
        <w:t>,</w:t>
      </w:r>
      <w:r w:rsidRPr="00FB24B3">
        <w:rPr>
          <w:lang w:val="mk-MK"/>
        </w:rPr>
        <w:t xml:space="preserve"> пристап кој е вграден во природата на неговите работни задачи и не претставува нужно незаконска активност. Меѓутоа, ако тој го користи тој пристап за да ги утврди оптималните моменти за купување или продажба на акции во сопствената компанија, тој влегува во сивата зона на инсајдерско тргување. Слично ограничување е предвидено со обврската за чување на деловна тајна</w:t>
      </w:r>
      <w:r>
        <w:rPr>
          <w:lang w:val="mk-MK"/>
        </w:rPr>
        <w:t>,</w:t>
      </w:r>
      <w:r w:rsidR="001A54FC">
        <w:rPr>
          <w:rStyle w:val="FootnoteReference"/>
          <w:lang w:val="mk-MK"/>
        </w:rPr>
        <w:footnoteReference w:id="903"/>
      </w:r>
      <w:r w:rsidRPr="00FB24B3">
        <w:rPr>
          <w:lang w:val="mk-MK"/>
        </w:rPr>
        <w:t xml:space="preserve"> и со кривичноправната забрана за злоупотреба на деловна тајна.</w:t>
      </w:r>
      <w:r>
        <w:rPr>
          <w:rStyle w:val="FootnoteReference"/>
          <w:lang w:val="mk-MK"/>
        </w:rPr>
        <w:footnoteReference w:id="904"/>
      </w:r>
      <w:r w:rsidRPr="00FB24B3">
        <w:rPr>
          <w:lang w:val="mk-MK"/>
        </w:rPr>
        <w:t xml:space="preserve"> </w:t>
      </w:r>
      <w:r w:rsidR="000F6938">
        <w:rPr>
          <w:lang w:val="mk-MK"/>
        </w:rPr>
        <w:t>Затоа, п</w:t>
      </w:r>
      <w:r w:rsidRPr="00FB24B3">
        <w:rPr>
          <w:lang w:val="mk-MK"/>
        </w:rPr>
        <w:t>равниот дизајн на шемата за акционерство на вработените мора исклучително внимателно да ги адресира овие ризици</w:t>
      </w:r>
      <w:r w:rsidR="00726E96">
        <w:rPr>
          <w:lang w:val="mk-MK"/>
        </w:rPr>
        <w:t>,</w:t>
      </w:r>
      <w:r w:rsidRPr="00FB24B3">
        <w:rPr>
          <w:lang w:val="mk-MK"/>
        </w:rPr>
        <w:t xml:space="preserve"> на пример, преку механизми на „периоди на заклучување" (lock-up periods) и „дозволени прозорци за тргување" (trading windows) кои го ограничуваат правото за тргување на вработениот-акционер во сензитивни периоди.</w:t>
      </w:r>
    </w:p>
    <w:p w14:paraId="3DCBF4F6" w14:textId="77777777" w:rsidR="002D20A0" w:rsidRDefault="00277EA0" w:rsidP="002532F6">
      <w:pPr>
        <w:pStyle w:val="BodyText"/>
        <w:spacing w:before="240"/>
        <w:ind w:firstLine="720"/>
        <w:jc w:val="both"/>
        <w:rPr>
          <w:lang w:val="mk-MK"/>
        </w:rPr>
      </w:pPr>
      <w:r>
        <w:rPr>
          <w:lang w:val="mk-MK"/>
        </w:rPr>
        <w:t>Заклучно, изложената а</w:t>
      </w:r>
      <w:r w:rsidRPr="00277EA0">
        <w:rPr>
          <w:lang w:val="mk-MK"/>
        </w:rPr>
        <w:t>нализа на нормативната рамка нуди кохерентна и детално разработена слика на она што правниот систем го предвидува</w:t>
      </w:r>
      <w:r>
        <w:rPr>
          <w:lang w:val="mk-MK"/>
        </w:rPr>
        <w:t>,</w:t>
      </w:r>
      <w:r w:rsidRPr="00277EA0">
        <w:rPr>
          <w:lang w:val="mk-MK"/>
        </w:rPr>
        <w:t xml:space="preserve"> но токму во таа кохерентност се крие нејзината најголема ирелевантност за македонскиот контекст. Имено, се чини дека македонската законодавна и реформска агенда го прескокнува она </w:t>
      </w:r>
      <w:r w:rsidRPr="00277EA0">
        <w:rPr>
          <w:lang w:val="mk-MK"/>
        </w:rPr>
        <w:lastRenderedPageBreak/>
        <w:t>што во секоја градација на корпоративната демократија претставува нужна претпоставка: фундаменталните прв и втор чекор</w:t>
      </w:r>
      <w:r w:rsidR="002D20A0">
        <w:rPr>
          <w:lang w:val="mk-MK"/>
        </w:rPr>
        <w:t>. Конкретно,</w:t>
      </w:r>
      <w:r w:rsidRPr="00277EA0">
        <w:rPr>
          <w:lang w:val="mk-MK"/>
        </w:rPr>
        <w:t xml:space="preserve"> учеството на вработените во органите на управување и акционерството на вработените остануваат практично непостоечки. Документираните примери во јавниот простор се сведуваат на два изолирани случаи од 2022 година</w:t>
      </w:r>
      <w:r w:rsidR="002D20A0">
        <w:rPr>
          <w:lang w:val="mk-MK"/>
        </w:rPr>
        <w:t>,</w:t>
      </w:r>
      <w:r w:rsidRPr="00277EA0">
        <w:rPr>
          <w:lang w:val="mk-MK"/>
        </w:rPr>
        <w:t xml:space="preserve"> еден пример на претставување на вработените во во текстилна фабрика и еден пример на доделени акции на вработени во компанија од Виница</w:t>
      </w:r>
      <w:r w:rsidR="002D20A0">
        <w:rPr>
          <w:lang w:val="mk-MK"/>
        </w:rPr>
        <w:t>,</w:t>
      </w:r>
      <w:r w:rsidRPr="00277EA0">
        <w:rPr>
          <w:lang w:val="mk-MK"/>
        </w:rPr>
        <w:t xml:space="preserve"> случувања кои наместо да сигнализираат систематска промена, само ја нагласуваат исклучителноста на нивното постоење. </w:t>
      </w:r>
    </w:p>
    <w:p w14:paraId="1FB4F0AB" w14:textId="664489E1" w:rsidR="00CD48AB" w:rsidRPr="00DB33D8" w:rsidRDefault="00277EA0" w:rsidP="003F79AB">
      <w:pPr>
        <w:pStyle w:val="BodyText"/>
        <w:spacing w:before="240" w:after="240"/>
        <w:ind w:firstLine="720"/>
        <w:jc w:val="both"/>
        <w:rPr>
          <w:lang w:val="mk-MK"/>
        </w:rPr>
      </w:pPr>
      <w:r w:rsidRPr="00277EA0">
        <w:rPr>
          <w:lang w:val="mk-MK"/>
        </w:rPr>
        <w:t>Во отсуство на кој било поширок образец на учество на вработените во управните структури, и при речиси целосно отсуство на вработени-акционери, расправата за понапредните механизми</w:t>
      </w:r>
      <w:r w:rsidR="00734712">
        <w:rPr>
          <w:lang w:val="mk-MK"/>
        </w:rPr>
        <w:t>,</w:t>
      </w:r>
      <w:r w:rsidRPr="00277EA0">
        <w:rPr>
          <w:lang w:val="mk-MK"/>
        </w:rPr>
        <w:t xml:space="preserve"> транспарентност во наградувањето, обврски за известување на вработените-акционери, управување со инсајдерски информации или прекугранична портабилност на шемите за финансиска партиципација</w:t>
      </w:r>
      <w:r w:rsidR="00734712">
        <w:rPr>
          <w:lang w:val="mk-MK"/>
        </w:rPr>
        <w:t>,</w:t>
      </w:r>
      <w:r w:rsidRPr="00277EA0">
        <w:rPr>
          <w:lang w:val="mk-MK"/>
        </w:rPr>
        <w:t xml:space="preserve"> нужно останува апстрактна. Не може да се мери ефикасноста на петтиот чекор кога првиот и вториот сè уште не се направени. Оттука, иако во понатамошните фази на имплементација постојат реални пречки и структурни проблеми кои заслужуваат посебна анализа, приоритетното прашање за Македонија останува фундаментално</w:t>
      </w:r>
      <w:r w:rsidR="00594C68">
        <w:rPr>
          <w:lang w:val="mk-MK"/>
        </w:rPr>
        <w:t>, односно</w:t>
      </w:r>
      <w:r w:rsidRPr="00277EA0">
        <w:rPr>
          <w:lang w:val="mk-MK"/>
        </w:rPr>
        <w:t xml:space="preserve"> пред секоја дискусија за усовршување на постоечкиот режим, неопходно е прво да се создадат условите за негово воопшто постоење</w:t>
      </w:r>
      <w:r w:rsidR="00594C68">
        <w:rPr>
          <w:lang w:val="mk-MK"/>
        </w:rPr>
        <w:t>. Тоа може да се направи само</w:t>
      </w:r>
      <w:r w:rsidRPr="00277EA0">
        <w:rPr>
          <w:lang w:val="mk-MK"/>
        </w:rPr>
        <w:t xml:space="preserve"> преку активна политика за поттикнување на учеството на вработените во органите на управување и преку воспоставување на правно, институционално и даночно опкружување кое акционерството на вработените ќе го направи не само дозволено, туку и практично остварливо и широко достапно.</w:t>
      </w:r>
    </w:p>
    <w:p w14:paraId="7B818970" w14:textId="08BF34BF" w:rsidR="00CD48AB" w:rsidRPr="001B24DD" w:rsidRDefault="000070EB" w:rsidP="00CD48AB">
      <w:pPr>
        <w:pStyle w:val="Heading1"/>
        <w:numPr>
          <w:ilvl w:val="0"/>
          <w:numId w:val="70"/>
        </w:numPr>
        <w:spacing w:after="240"/>
        <w:jc w:val="both"/>
      </w:pPr>
      <w:bookmarkStart w:id="123" w:name="_Toc230523976"/>
      <w:r w:rsidRPr="000070EB">
        <w:rPr>
          <w:lang w:val="mk-MK"/>
        </w:rPr>
        <w:t xml:space="preserve">Предуслови за функционален </w:t>
      </w:r>
      <w:r>
        <w:rPr>
          <w:lang w:val="mk-MK"/>
        </w:rPr>
        <w:t>систем</w:t>
      </w:r>
      <w:r w:rsidRPr="000070EB">
        <w:rPr>
          <w:lang w:val="mk-MK"/>
        </w:rPr>
        <w:t>: чекор еден и два пред сè</w:t>
      </w:r>
      <w:bookmarkEnd w:id="123"/>
    </w:p>
    <w:p w14:paraId="7DF82008" w14:textId="77777777" w:rsidR="00FD7C87" w:rsidRDefault="00123020" w:rsidP="00123020">
      <w:pPr>
        <w:pStyle w:val="BodyText"/>
        <w:spacing w:before="240"/>
        <w:ind w:firstLine="720"/>
        <w:jc w:val="both"/>
        <w:rPr>
          <w:lang w:val="mk-MK"/>
        </w:rPr>
      </w:pPr>
      <w:r w:rsidRPr="00123020">
        <w:rPr>
          <w:lang w:val="mk-MK"/>
        </w:rPr>
        <w:t>Втората директива за основна главнина на акционерските друштва исторски ја забранувала финансиската помош</w:t>
      </w:r>
      <w:r w:rsidR="00673CFD">
        <w:rPr>
          <w:lang w:val="en-US"/>
        </w:rPr>
        <w:t>,</w:t>
      </w:r>
      <w:r w:rsidRPr="00123020">
        <w:rPr>
          <w:lang w:val="mk-MK"/>
        </w:rPr>
        <w:t xml:space="preserve"> ситуацијата во која компанијата дава заем, обезбедување или друга финансиска помош со цел трето лице да стекне нејзини акции.</w:t>
      </w:r>
      <w:r w:rsidR="00673CFD">
        <w:rPr>
          <w:rStyle w:val="FootnoteReference"/>
          <w:lang w:val="mk-MK"/>
        </w:rPr>
        <w:footnoteReference w:id="905"/>
      </w:r>
      <w:r w:rsidRPr="00123020">
        <w:rPr>
          <w:lang w:val="mk-MK"/>
        </w:rPr>
        <w:t xml:space="preserve"> Оваа забрана има</w:t>
      </w:r>
      <w:r w:rsidR="009122AD">
        <w:rPr>
          <w:lang w:val="mk-MK"/>
        </w:rPr>
        <w:t>ла</w:t>
      </w:r>
      <w:r w:rsidRPr="00123020">
        <w:rPr>
          <w:lang w:val="mk-MK"/>
        </w:rPr>
        <w:t xml:space="preserve"> директно негативно влијание врз ESOP шемите, бидејќи многу колективни шеми за акционерство на вработените во своето финансирање се засноваат токму на кредит кој компанијата го „поддржува" на еден или друг начин.</w:t>
      </w:r>
    </w:p>
    <w:p w14:paraId="356F2407" w14:textId="77777777" w:rsidR="00E328AB" w:rsidRDefault="00C65F23" w:rsidP="00123020">
      <w:pPr>
        <w:pStyle w:val="BodyText"/>
        <w:spacing w:before="240"/>
        <w:ind w:firstLine="720"/>
        <w:jc w:val="both"/>
        <w:rPr>
          <w:lang w:val="mk-MK"/>
        </w:rPr>
      </w:pPr>
      <w:r w:rsidRPr="00C65F23">
        <w:rPr>
          <w:lang w:val="mk-MK"/>
        </w:rPr>
        <w:t xml:space="preserve">Со измените на Втората директива во 2006 година, </w:t>
      </w:r>
      <w:r w:rsidR="007F5BC5">
        <w:rPr>
          <w:lang w:val="mk-MK"/>
        </w:rPr>
        <w:t>можат да</w:t>
      </w:r>
      <w:r w:rsidRPr="00C65F23">
        <w:rPr>
          <w:lang w:val="mk-MK"/>
        </w:rPr>
        <w:t xml:space="preserve"> </w:t>
      </w:r>
      <w:r w:rsidR="007F5BC5">
        <w:rPr>
          <w:lang w:val="mk-MK"/>
        </w:rPr>
        <w:t>се</w:t>
      </w:r>
      <w:r w:rsidRPr="00C65F23">
        <w:rPr>
          <w:lang w:val="mk-MK"/>
        </w:rPr>
        <w:t xml:space="preserve"> идентификува</w:t>
      </w:r>
      <w:r w:rsidR="007F5BC5">
        <w:rPr>
          <w:lang w:val="mk-MK"/>
        </w:rPr>
        <w:t>ат</w:t>
      </w:r>
      <w:r w:rsidRPr="00C65F23">
        <w:rPr>
          <w:lang w:val="mk-MK"/>
        </w:rPr>
        <w:t xml:space="preserve"> три клучни области на либерализација</w:t>
      </w:r>
      <w:r w:rsidR="00E328AB">
        <w:rPr>
          <w:lang w:val="mk-MK"/>
        </w:rPr>
        <w:t>,</w:t>
      </w:r>
      <w:r w:rsidRPr="00C65F23">
        <w:rPr>
          <w:lang w:val="mk-MK"/>
        </w:rPr>
        <w:t xml:space="preserve"> вредносната проценка на непаричните влогови, откупот на сопствени акции и финансиската помош за стекнување акции дадена од страна на издавачот. Во поглед на финансиската помош, измените воведоа т.н. „whitewash" постапка</w:t>
      </w:r>
      <w:r w:rsidR="00E328AB">
        <w:rPr>
          <w:lang w:val="mk-MK"/>
        </w:rPr>
        <w:t xml:space="preserve"> каде</w:t>
      </w:r>
      <w:r w:rsidRPr="00C65F23">
        <w:rPr>
          <w:lang w:val="mk-MK"/>
        </w:rPr>
        <w:t xml:space="preserve"> одборот на директори може да дозволи финансиска помош под строги услови</w:t>
      </w:r>
      <w:r w:rsidR="00E328AB">
        <w:rPr>
          <w:lang w:val="mk-MK"/>
        </w:rPr>
        <w:t>, како</w:t>
      </w:r>
      <w:r w:rsidRPr="00C65F23">
        <w:rPr>
          <w:lang w:val="mk-MK"/>
        </w:rPr>
        <w:t xml:space="preserve"> одобрување со квалификувано мнозинство, потврда за солвентност</w:t>
      </w:r>
      <w:r w:rsidR="00E328AB">
        <w:rPr>
          <w:lang w:val="mk-MK"/>
        </w:rPr>
        <w:t xml:space="preserve"> и</w:t>
      </w:r>
      <w:r w:rsidRPr="00C65F23">
        <w:rPr>
          <w:lang w:val="mk-MK"/>
        </w:rPr>
        <w:t xml:space="preserve"> обелоденување на сите материјални аспекти на трансакцијата пред акционерите. Оваа либерализација е директно значајна за правниот дизајн на ESOP шемите во европски услови, иако</w:t>
      </w:r>
      <w:r w:rsidR="00E328AB">
        <w:rPr>
          <w:lang w:val="mk-MK"/>
        </w:rPr>
        <w:t xml:space="preserve"> е</w:t>
      </w:r>
      <w:r w:rsidRPr="00C65F23">
        <w:rPr>
          <w:lang w:val="mk-MK"/>
        </w:rPr>
        <w:t xml:space="preserve"> важно </w:t>
      </w:r>
      <w:r w:rsidR="00E328AB">
        <w:rPr>
          <w:lang w:val="mk-MK"/>
        </w:rPr>
        <w:t>да</w:t>
      </w:r>
      <w:r w:rsidRPr="00C65F23">
        <w:rPr>
          <w:lang w:val="mk-MK"/>
        </w:rPr>
        <w:t xml:space="preserve"> се нагласи </w:t>
      </w:r>
      <w:r w:rsidR="00E328AB">
        <w:rPr>
          <w:lang w:val="mk-MK"/>
        </w:rPr>
        <w:t>дека</w:t>
      </w:r>
      <w:r w:rsidRPr="00C65F23">
        <w:rPr>
          <w:lang w:val="mk-MK"/>
        </w:rPr>
        <w:t xml:space="preserve"> ЗТД на Република Македонија не ги инкорпорира сите елементи на оваа либерализација</w:t>
      </w:r>
      <w:r w:rsidR="00E328AB">
        <w:rPr>
          <w:lang w:val="mk-MK"/>
        </w:rPr>
        <w:t>.</w:t>
      </w:r>
    </w:p>
    <w:p w14:paraId="2C51883B" w14:textId="76AA6A2E" w:rsidR="00BA4A64" w:rsidRDefault="006021D7" w:rsidP="00123020">
      <w:pPr>
        <w:pStyle w:val="BodyText"/>
        <w:spacing w:before="240"/>
        <w:ind w:firstLine="720"/>
        <w:jc w:val="both"/>
        <w:rPr>
          <w:lang w:val="mk-MK"/>
        </w:rPr>
      </w:pPr>
      <w:r w:rsidRPr="006021D7">
        <w:rPr>
          <w:lang w:val="mk-MK"/>
        </w:rPr>
        <w:t xml:space="preserve">Откупот на сопствени акции (treasury shares / own shares) е уште еден капитален механизам директно поврзан со шемите за акционерство на вработените. Компаниите честопати ги откупуваат сопствените акции на пазарот со цел подоцна да ги пренесат на </w:t>
      </w:r>
      <w:r w:rsidRPr="006021D7">
        <w:rPr>
          <w:lang w:val="mk-MK"/>
        </w:rPr>
        <w:lastRenderedPageBreak/>
        <w:t>вработените во рамки на одобрени шеми за акционерство</w:t>
      </w:r>
      <w:r w:rsidR="00C867D0">
        <w:rPr>
          <w:lang w:val="en-US"/>
        </w:rPr>
        <w:t>,</w:t>
      </w:r>
      <w:r w:rsidRPr="006021D7">
        <w:rPr>
          <w:lang w:val="mk-MK"/>
        </w:rPr>
        <w:t xml:space="preserve"> наместо да емитираат нови акции, со што би се избегло разводнување на постоечката сопственичка структура. Коевски ги образложува обврските за известување поврзани со оваа практика</w:t>
      </w:r>
      <w:r w:rsidR="004A691D">
        <w:rPr>
          <w:lang w:val="en-US"/>
        </w:rPr>
        <w:t xml:space="preserve"> </w:t>
      </w:r>
      <w:r w:rsidR="004A691D">
        <w:rPr>
          <w:lang w:val="mk-MK"/>
        </w:rPr>
        <w:t>на начин што</w:t>
      </w:r>
      <w:r w:rsidRPr="006021D7">
        <w:rPr>
          <w:lang w:val="mk-MK"/>
        </w:rPr>
        <w:t xml:space="preserve"> во годишниот извештај за работа задолжително се наведуваат причините поради кои во текот на годината е извршено стекнување сопствени акции,</w:t>
      </w:r>
      <w:r w:rsidR="004A691D">
        <w:rPr>
          <w:rStyle w:val="FootnoteReference"/>
          <w:lang w:val="mk-MK"/>
        </w:rPr>
        <w:footnoteReference w:id="906"/>
      </w:r>
      <w:r w:rsidRPr="006021D7">
        <w:rPr>
          <w:lang w:val="mk-MK"/>
        </w:rPr>
        <w:t xml:space="preserve"> а известувањето за откупот на акциите со право на откуп се објавува во „Службен весник на Република Македонија".</w:t>
      </w:r>
      <w:r w:rsidR="00495743">
        <w:rPr>
          <w:rStyle w:val="FootnoteReference"/>
          <w:lang w:val="mk-MK"/>
        </w:rPr>
        <w:footnoteReference w:id="907"/>
      </w:r>
      <w:r w:rsidR="00B867BE">
        <w:rPr>
          <w:lang w:val="en-US"/>
        </w:rPr>
        <w:t xml:space="preserve"> </w:t>
      </w:r>
    </w:p>
    <w:p w14:paraId="7473F1A8" w14:textId="0009099D" w:rsidR="0018687D" w:rsidRDefault="00BD5909" w:rsidP="00123020">
      <w:pPr>
        <w:pStyle w:val="BodyText"/>
        <w:spacing w:before="240"/>
        <w:ind w:firstLine="720"/>
        <w:jc w:val="both"/>
        <w:rPr>
          <w:lang w:val="mk-MK"/>
        </w:rPr>
      </w:pPr>
      <w:r w:rsidRPr="00BD5909">
        <w:rPr>
          <w:lang w:val="mk-MK"/>
        </w:rPr>
        <w:t>Ваквите обврски за транспарентност во поглед на промените во сопственичката структура имаат директна примена врз корпоративните практики за управување со акционерство на вработените. Секое реструктуирање на сопственичката структура поврзано со шемата за вработените</w:t>
      </w:r>
      <w:r>
        <w:rPr>
          <w:lang w:val="mk-MK"/>
        </w:rPr>
        <w:t>,</w:t>
      </w:r>
      <w:r w:rsidRPr="00BD5909">
        <w:rPr>
          <w:lang w:val="mk-MK"/>
        </w:rPr>
        <w:t xml:space="preserve"> вклучувајќи го и откупот на акции за нивно понатамошно доделување</w:t>
      </w:r>
      <w:r w:rsidR="00D46EDC">
        <w:rPr>
          <w:lang w:val="mk-MK"/>
        </w:rPr>
        <w:t>,</w:t>
      </w:r>
      <w:r w:rsidRPr="00BD5909">
        <w:rPr>
          <w:lang w:val="mk-MK"/>
        </w:rPr>
        <w:t xml:space="preserve"> мора да биде документирано, известено и одобрено согласно законските процедури.</w:t>
      </w:r>
    </w:p>
    <w:p w14:paraId="41F8D262" w14:textId="3A6EB9E9" w:rsidR="00D46EDC" w:rsidRDefault="00D46EDC" w:rsidP="00123020">
      <w:pPr>
        <w:pStyle w:val="BodyText"/>
        <w:spacing w:before="240"/>
        <w:ind w:firstLine="720"/>
        <w:jc w:val="both"/>
        <w:rPr>
          <w:lang w:val="mk-MK"/>
        </w:rPr>
      </w:pPr>
      <w:r>
        <w:rPr>
          <w:lang w:val="mk-MK"/>
        </w:rPr>
        <w:t>Оттука, а</w:t>
      </w:r>
      <w:r w:rsidRPr="00D46EDC">
        <w:rPr>
          <w:lang w:val="mk-MK"/>
        </w:rPr>
        <w:t>нализата на правната рамка покажува дека режимот за акционерство на вработените во Македонија</w:t>
      </w:r>
      <w:r w:rsidR="00DC06E6">
        <w:rPr>
          <w:lang w:val="mk-MK"/>
        </w:rPr>
        <w:t xml:space="preserve">, </w:t>
      </w:r>
      <w:r w:rsidRPr="00D46EDC">
        <w:rPr>
          <w:lang w:val="mk-MK"/>
        </w:rPr>
        <w:t>а</w:t>
      </w:r>
      <w:r w:rsidR="00DC06E6">
        <w:rPr>
          <w:lang w:val="mk-MK"/>
        </w:rPr>
        <w:t xml:space="preserve"> и</w:t>
      </w:r>
      <w:r w:rsidRPr="00D46EDC">
        <w:rPr>
          <w:lang w:val="mk-MK"/>
        </w:rPr>
        <w:t xml:space="preserve"> </w:t>
      </w:r>
      <w:r w:rsidR="00DC06E6">
        <w:rPr>
          <w:lang w:val="mk-MK"/>
        </w:rPr>
        <w:t>по</w:t>
      </w:r>
      <w:r w:rsidRPr="00D46EDC">
        <w:rPr>
          <w:lang w:val="mk-MK"/>
        </w:rPr>
        <w:t>широко во ЕУ</w:t>
      </w:r>
      <w:r w:rsidR="00DC06E6">
        <w:rPr>
          <w:lang w:val="mk-MK"/>
        </w:rPr>
        <w:t>,</w:t>
      </w:r>
      <w:r w:rsidRPr="00D46EDC">
        <w:rPr>
          <w:lang w:val="mk-MK"/>
        </w:rPr>
        <w:t xml:space="preserve"> не е унифицирана правна целина, туку конгломерат составен од корпоративн</w:t>
      </w:r>
      <w:r w:rsidR="00BF406E">
        <w:rPr>
          <w:lang w:val="mk-MK"/>
        </w:rPr>
        <w:t>и правила,</w:t>
      </w:r>
      <w:r w:rsidRPr="00D46EDC">
        <w:rPr>
          <w:lang w:val="mk-MK"/>
        </w:rPr>
        <w:t xml:space="preserve"> </w:t>
      </w:r>
      <w:r w:rsidR="00BF406E">
        <w:rPr>
          <w:lang w:val="mk-MK"/>
        </w:rPr>
        <w:t xml:space="preserve">регулации за </w:t>
      </w:r>
      <w:r w:rsidRPr="00D46EDC">
        <w:rPr>
          <w:lang w:val="mk-MK"/>
        </w:rPr>
        <w:t>хартии</w:t>
      </w:r>
      <w:r w:rsidR="00BF406E">
        <w:rPr>
          <w:lang w:val="mk-MK"/>
        </w:rPr>
        <w:t xml:space="preserve"> </w:t>
      </w:r>
      <w:r w:rsidRPr="00D46EDC">
        <w:rPr>
          <w:lang w:val="mk-MK"/>
        </w:rPr>
        <w:t>од</w:t>
      </w:r>
      <w:r w:rsidR="00BF406E">
        <w:rPr>
          <w:lang w:val="mk-MK"/>
        </w:rPr>
        <w:t xml:space="preserve"> </w:t>
      </w:r>
      <w:r w:rsidRPr="00D46EDC">
        <w:rPr>
          <w:lang w:val="mk-MK"/>
        </w:rPr>
        <w:t>вредност</w:t>
      </w:r>
      <w:r w:rsidR="00BF406E">
        <w:rPr>
          <w:lang w:val="mk-MK"/>
        </w:rPr>
        <w:t xml:space="preserve"> </w:t>
      </w:r>
      <w:r w:rsidRPr="00D46EDC">
        <w:rPr>
          <w:lang w:val="mk-MK"/>
        </w:rPr>
        <w:t xml:space="preserve">правни, </w:t>
      </w:r>
      <w:r w:rsidR="00BF406E">
        <w:rPr>
          <w:lang w:val="mk-MK"/>
        </w:rPr>
        <w:t>трудови</w:t>
      </w:r>
      <w:r w:rsidRPr="00D46EDC">
        <w:rPr>
          <w:lang w:val="mk-MK"/>
        </w:rPr>
        <w:t xml:space="preserve"> и даночни правила, кои биле разработени за различни цели и не секогаш </w:t>
      </w:r>
      <w:r w:rsidR="00BF406E">
        <w:rPr>
          <w:lang w:val="mk-MK"/>
        </w:rPr>
        <w:t>се целосно ис</w:t>
      </w:r>
      <w:r w:rsidRPr="00D46EDC">
        <w:rPr>
          <w:lang w:val="mk-MK"/>
        </w:rPr>
        <w:t>координиран</w:t>
      </w:r>
      <w:r w:rsidR="00BF406E">
        <w:rPr>
          <w:lang w:val="mk-MK"/>
        </w:rPr>
        <w:t>и</w:t>
      </w:r>
      <w:r w:rsidRPr="00D46EDC">
        <w:rPr>
          <w:lang w:val="mk-MK"/>
        </w:rPr>
        <w:t>. Коевски самиот нотира „голема правна недоследност</w:t>
      </w:r>
      <w:r w:rsidR="00C31AA8">
        <w:rPr>
          <w:lang w:val="mk-MK"/>
        </w:rPr>
        <w:t>“</w:t>
      </w:r>
      <w:r w:rsidRPr="00D46EDC">
        <w:rPr>
          <w:lang w:val="mk-MK"/>
        </w:rPr>
        <w:t xml:space="preserve"> во врска со двојното регулирање на акционерските друштва со посебни обврски за известување</w:t>
      </w:r>
      <w:r w:rsidR="00C31AA8">
        <w:rPr>
          <w:lang w:val="mk-MK"/>
        </w:rPr>
        <w:t>,</w:t>
      </w:r>
      <w:r w:rsidRPr="00D46EDC">
        <w:rPr>
          <w:lang w:val="mk-MK"/>
        </w:rPr>
        <w:t xml:space="preserve"> тие изво</w:t>
      </w:r>
      <w:r w:rsidR="00C31AA8">
        <w:rPr>
          <w:lang w:val="mk-MK"/>
        </w:rPr>
        <w:t>р</w:t>
      </w:r>
      <w:r w:rsidRPr="00D46EDC">
        <w:rPr>
          <w:lang w:val="mk-MK"/>
        </w:rPr>
        <w:t>но се уредени со ЗХВ, но свикувањето и одржувањето на собранието е уредено со ЗТД,</w:t>
      </w:r>
      <w:r w:rsidR="00C31AA8">
        <w:rPr>
          <w:lang w:val="mk-MK"/>
        </w:rPr>
        <w:t xml:space="preserve"> со што</w:t>
      </w:r>
      <w:r w:rsidRPr="00D46EDC">
        <w:rPr>
          <w:lang w:val="mk-MK"/>
        </w:rPr>
        <w:t xml:space="preserve"> се создава конфузија. Оваа структурна фрагментираност е симптоматична за пошироката нормативна реалност</w:t>
      </w:r>
      <w:r w:rsidR="00C31AA8">
        <w:rPr>
          <w:lang w:val="mk-MK"/>
        </w:rPr>
        <w:t xml:space="preserve"> затоа што</w:t>
      </w:r>
      <w:r w:rsidRPr="00D46EDC">
        <w:rPr>
          <w:lang w:val="mk-MK"/>
        </w:rPr>
        <w:t xml:space="preserve"> правата и обврските на вработените-акционери се ра</w:t>
      </w:r>
      <w:r w:rsidR="00C31AA8">
        <w:rPr>
          <w:lang w:val="mk-MK"/>
        </w:rPr>
        <w:t>спрскани</w:t>
      </w:r>
      <w:r w:rsidRPr="00D46EDC">
        <w:rPr>
          <w:lang w:val="mk-MK"/>
        </w:rPr>
        <w:t xml:space="preserve"> низ повеќе закони без </w:t>
      </w:r>
      <w:r w:rsidR="00C31AA8">
        <w:rPr>
          <w:lang w:val="mk-MK"/>
        </w:rPr>
        <w:t>унифицирана</w:t>
      </w:r>
      <w:r w:rsidRPr="00D46EDC">
        <w:rPr>
          <w:lang w:val="mk-MK"/>
        </w:rPr>
        <w:t xml:space="preserve"> логика или кохерентен приод.</w:t>
      </w:r>
    </w:p>
    <w:p w14:paraId="5570E6D3" w14:textId="53A4AB40" w:rsidR="00C12354" w:rsidRDefault="00C12354" w:rsidP="00123020">
      <w:pPr>
        <w:pStyle w:val="BodyText"/>
        <w:spacing w:before="240"/>
        <w:ind w:firstLine="720"/>
        <w:jc w:val="both"/>
        <w:rPr>
          <w:lang w:val="mk-MK"/>
        </w:rPr>
      </w:pPr>
      <w:r w:rsidRPr="00C12354">
        <w:rPr>
          <w:lang w:val="mk-MK"/>
        </w:rPr>
        <w:t xml:space="preserve">На ниво на ЕУ, оваа фрагментираност е призната и во PEPPER V Извештајот, кој забележува дека </w:t>
      </w:r>
      <w:r w:rsidR="00975F6B">
        <w:rPr>
          <w:lang w:val="mk-MK"/>
        </w:rPr>
        <w:t>„</w:t>
      </w:r>
      <w:r w:rsidRPr="00C12354">
        <w:rPr>
          <w:lang w:val="mk-MK"/>
        </w:rPr>
        <w:t>основните механизми на компаниското право, корпоративното управување, фискалните и другите поттикнувачи се во голема мера идентични за финансиската партиципација и на вработените и на потрошувачите</w:t>
      </w:r>
      <w:r w:rsidR="00626995">
        <w:rPr>
          <w:lang w:val="mk-MK"/>
        </w:rPr>
        <w:t>“</w:t>
      </w:r>
      <w:r w:rsidRPr="00C12354">
        <w:rPr>
          <w:lang w:val="mk-MK"/>
        </w:rPr>
        <w:t>, но нивното регулаторно третирање останува сегментирано и нехармонизирано.</w:t>
      </w:r>
      <w:r>
        <w:rPr>
          <w:rStyle w:val="FootnoteReference"/>
          <w:lang w:val="mk-MK"/>
        </w:rPr>
        <w:footnoteReference w:id="908"/>
      </w:r>
      <w:r w:rsidR="00853850">
        <w:rPr>
          <w:lang w:val="en-US"/>
        </w:rPr>
        <w:t xml:space="preserve"> </w:t>
      </w:r>
      <w:r w:rsidR="00853850">
        <w:rPr>
          <w:lang w:val="mk-MK"/>
        </w:rPr>
        <w:t>Ова го</w:t>
      </w:r>
      <w:r w:rsidR="00853850" w:rsidRPr="00853850">
        <w:rPr>
          <w:lang w:val="mk-MK"/>
        </w:rPr>
        <w:t xml:space="preserve"> поставува прашањето дали инсистирањето на обелоденување и транспарентност може да нè доведе до состојба во која не може</w:t>
      </w:r>
      <w:r w:rsidR="00626995">
        <w:rPr>
          <w:lang w:val="mk-MK"/>
        </w:rPr>
        <w:t>ме</w:t>
      </w:r>
      <w:r w:rsidR="00853850" w:rsidRPr="00853850">
        <w:rPr>
          <w:lang w:val="mk-MK"/>
        </w:rPr>
        <w:t xml:space="preserve"> да ги видиме стеблата o</w:t>
      </w:r>
      <w:r w:rsidR="00626995">
        <w:rPr>
          <w:lang w:val="mk-MK"/>
        </w:rPr>
        <w:t>д</w:t>
      </w:r>
      <w:r w:rsidR="00853850" w:rsidRPr="00853850">
        <w:rPr>
          <w:lang w:val="mk-MK"/>
        </w:rPr>
        <w:t xml:space="preserve"> многуте лисја и дали треба да се поработи на разграничување на она што се ценовно вредни инсајдерски информации, </w:t>
      </w:r>
      <w:r w:rsidR="00884542">
        <w:rPr>
          <w:lang w:val="mk-MK"/>
        </w:rPr>
        <w:t>наместо</w:t>
      </w:r>
      <w:r w:rsidR="00853850" w:rsidRPr="00853850">
        <w:rPr>
          <w:lang w:val="mk-MK"/>
        </w:rPr>
        <w:t xml:space="preserve"> на инсистирање на екстензивна транспарентност и обелоденување. Во контекстот на акционерството на вработените, оваа тензија е особено остра</w:t>
      </w:r>
      <w:r w:rsidR="00884542">
        <w:rPr>
          <w:lang w:val="mk-MK"/>
        </w:rPr>
        <w:t xml:space="preserve"> затоа што</w:t>
      </w:r>
      <w:r w:rsidR="00853850" w:rsidRPr="00853850">
        <w:rPr>
          <w:lang w:val="mk-MK"/>
        </w:rPr>
        <w:t xml:space="preserve"> за да може вработениот-акционер да ги остварува своите права на информиран принципал, тој мора да има пристап до значителен обем на корпоративни информации</w:t>
      </w:r>
      <w:r w:rsidR="00884542">
        <w:rPr>
          <w:lang w:val="mk-MK"/>
        </w:rPr>
        <w:t>,</w:t>
      </w:r>
      <w:r w:rsidR="00853850" w:rsidRPr="00853850">
        <w:rPr>
          <w:lang w:val="mk-MK"/>
        </w:rPr>
        <w:t xml:space="preserve"> но токму тој пристап го изложува на ризик од нарушување на режимот за инсајдерско тргување.</w:t>
      </w:r>
    </w:p>
    <w:p w14:paraId="1D35951F" w14:textId="7D77EDB0" w:rsidR="00884542" w:rsidRDefault="0083756C" w:rsidP="00123020">
      <w:pPr>
        <w:pStyle w:val="BodyText"/>
        <w:spacing w:before="240"/>
        <w:ind w:firstLine="720"/>
        <w:jc w:val="both"/>
        <w:rPr>
          <w:lang w:val="mk-MK"/>
        </w:rPr>
      </w:pPr>
      <w:r w:rsidRPr="0083756C">
        <w:rPr>
          <w:lang w:val="mk-MK"/>
        </w:rPr>
        <w:t xml:space="preserve">EcoDa конференцијата за деловна етика </w:t>
      </w:r>
      <w:r>
        <w:rPr>
          <w:lang w:val="mk-MK"/>
        </w:rPr>
        <w:t xml:space="preserve">во </w:t>
      </w:r>
      <w:r w:rsidRPr="0083756C">
        <w:rPr>
          <w:lang w:val="mk-MK"/>
        </w:rPr>
        <w:t>Брисел</w:t>
      </w:r>
      <w:r>
        <w:rPr>
          <w:lang w:val="mk-MK"/>
        </w:rPr>
        <w:t xml:space="preserve"> во</w:t>
      </w:r>
      <w:r w:rsidRPr="0083756C">
        <w:rPr>
          <w:lang w:val="mk-MK"/>
        </w:rPr>
        <w:t xml:space="preserve"> 2006</w:t>
      </w:r>
      <w:r>
        <w:rPr>
          <w:lang w:val="mk-MK"/>
        </w:rPr>
        <w:t xml:space="preserve"> година</w:t>
      </w:r>
      <w:r w:rsidRPr="0083756C">
        <w:rPr>
          <w:lang w:val="mk-MK"/>
        </w:rPr>
        <w:t xml:space="preserve"> ја изрази позицијата на директорите дека она што му треба на одборот не е транспарентност како лажна вредност, туку одговорност врз база на пружање корисни информации. Во превод за проблематиката на акционерството на вработените</w:t>
      </w:r>
      <w:r w:rsidR="00B83FF9">
        <w:rPr>
          <w:lang w:val="mk-MK"/>
        </w:rPr>
        <w:t xml:space="preserve"> ова значи дека е</w:t>
      </w:r>
      <w:r w:rsidRPr="0083756C">
        <w:rPr>
          <w:lang w:val="mk-MK"/>
        </w:rPr>
        <w:t xml:space="preserve"> потребен не максимален обем на обелоденување, туку калибрирано, функционално обелоденување </w:t>
      </w:r>
      <w:r w:rsidRPr="0083756C">
        <w:rPr>
          <w:lang w:val="mk-MK"/>
        </w:rPr>
        <w:lastRenderedPageBreak/>
        <w:t>кое им ги дава на вработените-акционери информациите нужни за остварувањето на нивните права, без создавање систематски ризик од инсајдерско тргување.</w:t>
      </w:r>
    </w:p>
    <w:p w14:paraId="2E18EA8D" w14:textId="2519C9C0" w:rsidR="00B83FF9" w:rsidRDefault="00AA7B42" w:rsidP="00123020">
      <w:pPr>
        <w:pStyle w:val="BodyText"/>
        <w:spacing w:before="240"/>
        <w:ind w:firstLine="720"/>
        <w:jc w:val="both"/>
        <w:rPr>
          <w:lang w:val="mk-MK"/>
        </w:rPr>
      </w:pPr>
      <w:r w:rsidRPr="00AA7B42">
        <w:rPr>
          <w:lang w:val="mk-MK"/>
        </w:rPr>
        <w:t>PEPPER V Извештајот ја издигнува расправата на ниво на политичка економија</w:t>
      </w:r>
      <w:r w:rsidR="00430268">
        <w:rPr>
          <w:lang w:val="mk-MK"/>
        </w:rPr>
        <w:t>, односно наведува дека</w:t>
      </w:r>
      <w:r w:rsidRPr="00AA7B42">
        <w:rPr>
          <w:lang w:val="mk-MK"/>
        </w:rPr>
        <w:t xml:space="preserve"> во услови на автоматизација и замена на работната рака со технологија, „решение за дилемата на машините кои ги заменуваат луѓето и ја намалуваат побарувачката на труд би можело да биде стекнувањето на значителен дел во (со)сопственоста на роботите кои се натпреваруваат со нив на пазарот на труд, обезбедувајќи им втор извор на приход независен од нивниот труд</w:t>
      </w:r>
      <w:r w:rsidR="00430268">
        <w:rPr>
          <w:lang w:val="mk-MK"/>
        </w:rPr>
        <w:t>“</w:t>
      </w:r>
      <w:r w:rsidRPr="00AA7B42">
        <w:rPr>
          <w:lang w:val="mk-MK"/>
        </w:rPr>
        <w:t>.</w:t>
      </w:r>
      <w:r w:rsidR="00430268">
        <w:rPr>
          <w:rStyle w:val="FootnoteReference"/>
          <w:lang w:val="mk-MK"/>
        </w:rPr>
        <w:footnoteReference w:id="909"/>
      </w:r>
      <w:r w:rsidRPr="00AA7B42">
        <w:rPr>
          <w:lang w:val="mk-MK"/>
        </w:rPr>
        <w:t xml:space="preserve"> Оваа аргументација</w:t>
      </w:r>
      <w:r w:rsidR="000C132C">
        <w:rPr>
          <w:lang w:val="mk-MK"/>
        </w:rPr>
        <w:t>, чии</w:t>
      </w:r>
      <w:r w:rsidRPr="00AA7B42">
        <w:rPr>
          <w:lang w:val="mk-MK"/>
        </w:rPr>
        <w:t xml:space="preserve"> корени во европскиот контекст се наоѓаат кај поддршката на Европската комисија за сопственоста на вработените, изразена во Комуникацијата „Transition Pathway for Proximity and Social Economy</w:t>
      </w:r>
      <w:r w:rsidR="00325C15">
        <w:rPr>
          <w:lang w:val="mk-MK"/>
        </w:rPr>
        <w:t xml:space="preserve">“ од </w:t>
      </w:r>
      <w:r w:rsidRPr="00AA7B42">
        <w:rPr>
          <w:lang w:val="mk-MK"/>
        </w:rPr>
        <w:t>202</w:t>
      </w:r>
      <w:r w:rsidR="00325C15">
        <w:rPr>
          <w:lang w:val="mk-MK"/>
        </w:rPr>
        <w:t>2 година,</w:t>
      </w:r>
      <w:r w:rsidRPr="00AA7B42">
        <w:rPr>
          <w:lang w:val="mk-MK"/>
        </w:rPr>
        <w:t xml:space="preserve"> укажува дека акционерството на вработените не е само инструмент за корективна распределба на добивката, туку и структурен одговор на фундаменталната промена на природата на трудот во дигиталната економија.</w:t>
      </w:r>
    </w:p>
    <w:p w14:paraId="44C5B177" w14:textId="26A00BDF" w:rsidR="00325C15" w:rsidRDefault="00C9792F" w:rsidP="00123020">
      <w:pPr>
        <w:pStyle w:val="BodyText"/>
        <w:spacing w:before="240"/>
        <w:ind w:firstLine="720"/>
        <w:jc w:val="both"/>
        <w:rPr>
          <w:lang w:val="mk-MK"/>
        </w:rPr>
      </w:pPr>
      <w:r w:rsidRPr="00C9792F">
        <w:rPr>
          <w:lang w:val="mk-MK"/>
        </w:rPr>
        <w:t>Во таков контекст, правниот режим за акционерство на вработените добива дополнително политичко-економско значење</w:t>
      </w:r>
      <w:r>
        <w:rPr>
          <w:lang w:val="mk-MK"/>
        </w:rPr>
        <w:t xml:space="preserve"> затоа што</w:t>
      </w:r>
      <w:r w:rsidRPr="00C9792F">
        <w:rPr>
          <w:lang w:val="mk-MK"/>
        </w:rPr>
        <w:t xml:space="preserve"> тој е нормативна рамка за управување со транзицијата кон поинклузивен економски модел, во кој вработените ги споделуваат и ризиците и придобивките од технолошкиот напредок. Ова е проширување на традиционалниот аргумент за акционерство на вработените</w:t>
      </w:r>
      <w:r w:rsidR="009A6926">
        <w:rPr>
          <w:lang w:val="mk-MK"/>
        </w:rPr>
        <w:t>,</w:t>
      </w:r>
      <w:r w:rsidRPr="00C9792F">
        <w:rPr>
          <w:lang w:val="mk-MK"/>
        </w:rPr>
        <w:t xml:space="preserve"> надвор од рамката на агентска теорија и корпоративно управување, и во поширокото поле на социјална кохезија, економска демократија и одржливост.</w:t>
      </w:r>
      <w:r w:rsidR="003E7918">
        <w:rPr>
          <w:lang w:val="mk-MK"/>
        </w:rPr>
        <w:t xml:space="preserve"> Ова</w:t>
      </w:r>
      <w:r w:rsidR="003E7918" w:rsidRPr="003E7918">
        <w:rPr>
          <w:lang w:val="mk-MK"/>
        </w:rPr>
        <w:t xml:space="preserve"> покажува дека правниот режим за учество на вработените и акционерство на вработените е многуслоен конструкт, кој нема единствен законодавен извор, туку мора да биде активно конструиран преку интеграција на неколку нормативни рамки</w:t>
      </w:r>
      <w:r w:rsidR="003E7918">
        <w:rPr>
          <w:lang w:val="mk-MK"/>
        </w:rPr>
        <w:t>.</w:t>
      </w:r>
    </w:p>
    <w:p w14:paraId="04DF8D4B" w14:textId="0952CF05" w:rsidR="003E7918" w:rsidRDefault="008C76DE" w:rsidP="00123020">
      <w:pPr>
        <w:pStyle w:val="BodyText"/>
        <w:spacing w:before="240"/>
        <w:ind w:firstLine="720"/>
        <w:jc w:val="both"/>
        <w:rPr>
          <w:lang w:val="mk-MK"/>
        </w:rPr>
      </w:pPr>
      <w:r w:rsidRPr="008C76DE">
        <w:rPr>
          <w:lang w:val="mk-MK"/>
        </w:rPr>
        <w:t>Неуспехот на Петтата директива за ко-детерминација е темелен факт на европското компаниско право со ко</w:t>
      </w:r>
      <w:r w:rsidR="0080751D">
        <w:rPr>
          <w:lang w:val="mk-MK"/>
        </w:rPr>
        <w:t>е</w:t>
      </w:r>
      <w:r w:rsidRPr="008C76DE">
        <w:rPr>
          <w:lang w:val="mk-MK"/>
        </w:rPr>
        <w:t xml:space="preserve"> и понатаму мора да се пресметуваат сите академски и практични зафати во оваа материја. Поради отсуството на задолжителна хармонизирана ко-детерминација, акционерството на вработените се разви</w:t>
      </w:r>
      <w:r w:rsidR="00460247">
        <w:rPr>
          <w:lang w:val="mk-MK"/>
        </w:rPr>
        <w:t>,</w:t>
      </w:r>
      <w:r w:rsidRPr="008C76DE">
        <w:rPr>
          <w:lang w:val="mk-MK"/>
        </w:rPr>
        <w:t xml:space="preserve"> особено во </w:t>
      </w:r>
      <w:r w:rsidR="00460247">
        <w:rPr>
          <w:lang w:val="mk-MK"/>
        </w:rPr>
        <w:t>втората и третата</w:t>
      </w:r>
      <w:r w:rsidRPr="008C76DE">
        <w:rPr>
          <w:lang w:val="mk-MK"/>
        </w:rPr>
        <w:t xml:space="preserve"> деценија на 21 век</w:t>
      </w:r>
      <w:r w:rsidR="00460247">
        <w:rPr>
          <w:lang w:val="mk-MK"/>
        </w:rPr>
        <w:t>,</w:t>
      </w:r>
      <w:r w:rsidRPr="008C76DE">
        <w:rPr>
          <w:lang w:val="mk-MK"/>
        </w:rPr>
        <w:t xml:space="preserve"> во главна алтернатива</w:t>
      </w:r>
      <w:r w:rsidR="00460247">
        <w:rPr>
          <w:lang w:val="mk-MK"/>
        </w:rPr>
        <w:t>, односно прв</w:t>
      </w:r>
      <w:r w:rsidRPr="008C76DE">
        <w:rPr>
          <w:lang w:val="mk-MK"/>
        </w:rPr>
        <w:t xml:space="preserve"> пазарно-базиран механизам преку кој вработените добиваат формален правен статус на акционери, со сите права и заштити кои тој статус ги носи, без потреба за законодавни мандати за претставување на ниво на одборот. Сепак, тоа не е совршена замена</w:t>
      </w:r>
      <w:r w:rsidR="00515B22">
        <w:rPr>
          <w:lang w:val="mk-MK"/>
        </w:rPr>
        <w:t xml:space="preserve"> затоа што</w:t>
      </w:r>
      <w:r w:rsidRPr="008C76DE">
        <w:rPr>
          <w:lang w:val="mk-MK"/>
        </w:rPr>
        <w:t xml:space="preserve"> акционерскиот статус не обезбедува иста мерка на влијание врз деловните одлуки, особено во компании со концентрирана сопственичка структура.</w:t>
      </w:r>
    </w:p>
    <w:p w14:paraId="51691980" w14:textId="582B3A56" w:rsidR="00515B22" w:rsidRDefault="005249FE" w:rsidP="00123020">
      <w:pPr>
        <w:pStyle w:val="BodyText"/>
        <w:spacing w:before="240"/>
        <w:ind w:firstLine="720"/>
        <w:jc w:val="both"/>
        <w:rPr>
          <w:lang w:val="mk-MK"/>
        </w:rPr>
      </w:pPr>
      <w:r w:rsidRPr="005249FE">
        <w:rPr>
          <w:lang w:val="mk-MK"/>
        </w:rPr>
        <w:t xml:space="preserve">Македонскиот правен систем, анализиран </w:t>
      </w:r>
      <w:r w:rsidR="00BB75A3">
        <w:rPr>
          <w:lang w:val="mk-MK"/>
        </w:rPr>
        <w:t>низ призмата на наведената литература</w:t>
      </w:r>
      <w:r w:rsidR="002623FB">
        <w:rPr>
          <w:lang w:val="mk-MK"/>
        </w:rPr>
        <w:t>,</w:t>
      </w:r>
      <w:r w:rsidR="00BB75A3">
        <w:rPr>
          <w:lang w:val="mk-MK"/>
        </w:rPr>
        <w:t xml:space="preserve"> </w:t>
      </w:r>
      <w:r w:rsidRPr="005249FE">
        <w:rPr>
          <w:lang w:val="mk-MK"/>
        </w:rPr>
        <w:t>нуди солидна формална основа за имплементација на шеми за акционерство на вработените</w:t>
      </w:r>
      <w:r w:rsidR="0000567A">
        <w:rPr>
          <w:lang w:val="mk-MK"/>
        </w:rPr>
        <w:t>.</w:t>
      </w:r>
      <w:r w:rsidRPr="005249FE">
        <w:rPr>
          <w:lang w:val="mk-MK"/>
        </w:rPr>
        <w:t xml:space="preserve"> </w:t>
      </w:r>
      <w:r w:rsidR="0000567A">
        <w:rPr>
          <w:lang w:val="mk-MK"/>
        </w:rPr>
        <w:t>П</w:t>
      </w:r>
      <w:r w:rsidRPr="005249FE">
        <w:rPr>
          <w:lang w:val="mk-MK"/>
        </w:rPr>
        <w:t xml:space="preserve">остои разработена рамка </w:t>
      </w:r>
      <w:r w:rsidR="007013E1">
        <w:rPr>
          <w:lang w:val="mk-MK"/>
        </w:rPr>
        <w:t>н</w:t>
      </w:r>
      <w:r w:rsidRPr="005249FE">
        <w:rPr>
          <w:lang w:val="mk-MK"/>
        </w:rPr>
        <w:t xml:space="preserve">а обврски за известување и транспарентност, признати права на акционерите на информирање и судска заштита, и имплементирани европски директиви за права на акционерите. Меѓутоа, значителни </w:t>
      </w:r>
      <w:r w:rsidR="001C00DE">
        <w:rPr>
          <w:lang w:val="mk-MK"/>
        </w:rPr>
        <w:t>празнини</w:t>
      </w:r>
      <w:r w:rsidRPr="005249FE">
        <w:rPr>
          <w:lang w:val="mk-MK"/>
        </w:rPr>
        <w:t xml:space="preserve"> сè уште постоја</w:t>
      </w:r>
      <w:r w:rsidR="001C00DE">
        <w:rPr>
          <w:lang w:val="mk-MK"/>
        </w:rPr>
        <w:t>т и нема</w:t>
      </w:r>
      <w:r w:rsidRPr="005249FE">
        <w:rPr>
          <w:lang w:val="mk-MK"/>
        </w:rPr>
        <w:t xml:space="preserve"> специфична легислатива за ESOP-структури, даночните поттикнувачи за акционерство на вработените не се на ниво на западноевропските стандарди, а регулаторната фрагментација помеѓу ЗТД и ЗХВ создава практична правна несигурност.</w:t>
      </w:r>
    </w:p>
    <w:p w14:paraId="650DCD26" w14:textId="51CFCA6F" w:rsidR="009C35C0" w:rsidRDefault="009C35C0" w:rsidP="0041388B">
      <w:pPr>
        <w:pStyle w:val="BodyText"/>
        <w:spacing w:before="240"/>
        <w:ind w:firstLine="720"/>
        <w:jc w:val="both"/>
        <w:rPr>
          <w:lang w:val="mk-MK"/>
        </w:rPr>
      </w:pPr>
      <w:r w:rsidRPr="009C35C0">
        <w:rPr>
          <w:lang w:val="mk-MK"/>
        </w:rPr>
        <w:lastRenderedPageBreak/>
        <w:t>Идниот развој на правниот режим за акционерство на вработените во Македонија мора да оди во неколку насоки: хармонизација со европската рамка за финансиска партиципација на вработените</w:t>
      </w:r>
      <w:r w:rsidR="00F60944">
        <w:rPr>
          <w:lang w:val="mk-MK"/>
        </w:rPr>
        <w:t>,</w:t>
      </w:r>
      <w:r w:rsidR="00F60944">
        <w:rPr>
          <w:rStyle w:val="FootnoteReference"/>
          <w:lang w:val="mk-MK"/>
        </w:rPr>
        <w:footnoteReference w:id="910"/>
      </w:r>
      <w:r w:rsidRPr="009C35C0">
        <w:rPr>
          <w:lang w:val="mk-MK"/>
        </w:rPr>
        <w:t xml:space="preserve"> воспоставување на специјализирано законодавство или подзаконска регулатива за шемите за акционерство на вработените</w:t>
      </w:r>
      <w:r w:rsidR="00F60944">
        <w:rPr>
          <w:lang w:val="mk-MK"/>
        </w:rPr>
        <w:t>,</w:t>
      </w:r>
      <w:r w:rsidRPr="009C35C0">
        <w:rPr>
          <w:lang w:val="mk-MK"/>
        </w:rPr>
        <w:t xml:space="preserve"> разработка на сигурни правни механизми за управување со конфликтот помеѓу акционерскиот статус и режимот за инсајдерски информации и обезбедување на даночни поттикнувачи кои ќе ја направат финансиската партиципација на вработените практично достапна, а не само правно дозволена.</w:t>
      </w:r>
    </w:p>
    <w:p w14:paraId="28E76AC4" w14:textId="10582DAC" w:rsidR="0041388B" w:rsidRDefault="008B4D55" w:rsidP="0041388B">
      <w:pPr>
        <w:pStyle w:val="BodyText"/>
        <w:spacing w:before="240"/>
        <w:ind w:firstLine="720"/>
        <w:jc w:val="both"/>
        <w:rPr>
          <w:lang w:val="mk-MK"/>
        </w:rPr>
      </w:pPr>
      <w:r>
        <w:rPr>
          <w:lang w:val="mk-MK"/>
        </w:rPr>
        <w:t>Сепак, п</w:t>
      </w:r>
      <w:r w:rsidR="0041388B" w:rsidRPr="0041388B">
        <w:rPr>
          <w:lang w:val="mk-MK"/>
        </w:rPr>
        <w:t>ред да може македонскиот правен и институционален систем да ги адресира напредните механизми на корпоративна демократија</w:t>
      </w:r>
      <w:r>
        <w:rPr>
          <w:lang w:val="mk-MK"/>
        </w:rPr>
        <w:t>, како</w:t>
      </w:r>
      <w:r w:rsidR="0041388B" w:rsidRPr="0041388B">
        <w:rPr>
          <w:lang w:val="mk-MK"/>
        </w:rPr>
        <w:t xml:space="preserve"> транспарентност во наградувањето, прекугранична портабилност на шемите за финансиска партиципација, или усогласеност со режимот за инсајдерски информации</w:t>
      </w:r>
      <w:r w:rsidR="002D1263">
        <w:rPr>
          <w:lang w:val="mk-MK"/>
        </w:rPr>
        <w:t>,</w:t>
      </w:r>
      <w:r w:rsidR="0041388B" w:rsidRPr="0041388B">
        <w:rPr>
          <w:lang w:val="mk-MK"/>
        </w:rPr>
        <w:t xml:space="preserve"> неопходно е прво да бидат исполнети двата фундаментални предуслова врз кои целата оваа надградба логично и функционално почива.</w:t>
      </w:r>
    </w:p>
    <w:p w14:paraId="650B4185" w14:textId="79D7D6DE" w:rsidR="002D1263" w:rsidRDefault="002D1263" w:rsidP="0041388B">
      <w:pPr>
        <w:pStyle w:val="BodyText"/>
        <w:spacing w:before="240"/>
        <w:ind w:firstLine="720"/>
        <w:jc w:val="both"/>
        <w:rPr>
          <w:lang w:val="mk-MK"/>
        </w:rPr>
      </w:pPr>
      <w:r w:rsidRPr="002D1263">
        <w:rPr>
          <w:lang w:val="mk-MK"/>
        </w:rPr>
        <w:t>Прв предуслов</w:t>
      </w:r>
      <w:r w:rsidR="004A0F54">
        <w:rPr>
          <w:lang w:val="mk-MK"/>
        </w:rPr>
        <w:t xml:space="preserve"> е</w:t>
      </w:r>
      <w:r w:rsidRPr="002D1263">
        <w:rPr>
          <w:lang w:val="mk-MK"/>
        </w:rPr>
        <w:t xml:space="preserve"> институционализација на учеството на вработените во органите на управување. Македонија сè уште нема систематски, законодавно загарантиран механизам за претставување на вработените во надзорните или управните одбори на акционерските друштва. Постоечкото нормативно молчење во оваа материја е структурна пречка за секој понатамошен развој на корпоративната демократија. Без гарантирано место за гласот на вработените во процесот на стратешко одлучување, учеството останува акт на добра волја на менаџментот, а не загарантирано право. Првиот чекор затоа мора да биде донесување на специфична законска рамка</w:t>
      </w:r>
      <w:r w:rsidR="004329E6">
        <w:rPr>
          <w:lang w:val="mk-MK"/>
        </w:rPr>
        <w:t>,</w:t>
      </w:r>
      <w:r w:rsidRPr="002D1263">
        <w:rPr>
          <w:lang w:val="mk-MK"/>
        </w:rPr>
        <w:t xml:space="preserve"> или</w:t>
      </w:r>
      <w:r w:rsidR="004329E6">
        <w:rPr>
          <w:lang w:val="mk-MK"/>
        </w:rPr>
        <w:t xml:space="preserve"> повторна</w:t>
      </w:r>
      <w:r w:rsidRPr="002D1263">
        <w:rPr>
          <w:lang w:val="mk-MK"/>
        </w:rPr>
        <w:t xml:space="preserve"> измена на </w:t>
      </w:r>
      <w:r w:rsidR="004329E6">
        <w:rPr>
          <w:lang w:val="mk-MK"/>
        </w:rPr>
        <w:t>предлог-законот за трговски друштва,</w:t>
      </w:r>
      <w:r w:rsidRPr="002D1263">
        <w:rPr>
          <w:lang w:val="mk-MK"/>
        </w:rPr>
        <w:t xml:space="preserve"> која ќе предвиди минимален стандард за застапеност на вработените во органите на управување на </w:t>
      </w:r>
      <w:r w:rsidR="00654A93">
        <w:rPr>
          <w:lang w:val="mk-MK"/>
        </w:rPr>
        <w:t>друштва</w:t>
      </w:r>
      <w:r w:rsidRPr="002D1263">
        <w:rPr>
          <w:lang w:val="mk-MK"/>
        </w:rPr>
        <w:t xml:space="preserve"> над определен праг на вработени, инспирирана од компромисниот модел на Директивата 2001/86/ЕЗ за Societas Europaea и искуствата на германскиот систем на Mitbestimmung, приспособени на македонскиот корпоративен контекст.</w:t>
      </w:r>
    </w:p>
    <w:p w14:paraId="5DCCBD95" w14:textId="6F938E28" w:rsidR="002D1263" w:rsidRDefault="00654A93" w:rsidP="0041388B">
      <w:pPr>
        <w:pStyle w:val="BodyText"/>
        <w:spacing w:before="240"/>
        <w:ind w:firstLine="720"/>
        <w:jc w:val="both"/>
        <w:rPr>
          <w:lang w:val="mk-MK"/>
        </w:rPr>
      </w:pPr>
      <w:r>
        <w:rPr>
          <w:lang w:val="mk-MK"/>
        </w:rPr>
        <w:t>В</w:t>
      </w:r>
      <w:r w:rsidR="002D1263" w:rsidRPr="002D1263">
        <w:rPr>
          <w:lang w:val="mk-MK"/>
        </w:rPr>
        <w:t>тор предуслов</w:t>
      </w:r>
      <w:r>
        <w:rPr>
          <w:lang w:val="mk-MK"/>
        </w:rPr>
        <w:t xml:space="preserve"> е</w:t>
      </w:r>
      <w:r w:rsidR="002D1263" w:rsidRPr="002D1263">
        <w:rPr>
          <w:lang w:val="mk-MK"/>
        </w:rPr>
        <w:t xml:space="preserve"> создавање на правно, даночно и институционално опкружување за акционерство на вработените. Двата изолирани примери документирани во 2022 година покажуваат дека потенцијалот постои, но дека негова реализација во отсуство на системска поддршка останува исклучок, а не правило. Функционален режим на акционерство на вработените бара неколку конкретни интервенции</w:t>
      </w:r>
      <w:r w:rsidR="003C7944">
        <w:rPr>
          <w:lang w:val="mk-MK"/>
        </w:rPr>
        <w:t>. П</w:t>
      </w:r>
      <w:r w:rsidR="002D1263" w:rsidRPr="002D1263">
        <w:rPr>
          <w:lang w:val="mk-MK"/>
        </w:rPr>
        <w:t>рво, специјализирана законска рамка за шеми за акционерство на вработените која јасно ги дефинира дозволените структури, правата и обврските на сите учесници</w:t>
      </w:r>
      <w:r w:rsidR="001727F4">
        <w:rPr>
          <w:lang w:val="mk-MK"/>
        </w:rPr>
        <w:t>. В</w:t>
      </w:r>
      <w:r w:rsidR="002D1263" w:rsidRPr="002D1263">
        <w:rPr>
          <w:lang w:val="mk-MK"/>
        </w:rPr>
        <w:t>торо, даночни поттикнувачи кои финансиската партиципација ја прават економски рационална</w:t>
      </w:r>
      <w:r w:rsidR="008F309E">
        <w:rPr>
          <w:lang w:val="mk-MK"/>
        </w:rPr>
        <w:t>,</w:t>
      </w:r>
      <w:r w:rsidR="002D1263" w:rsidRPr="002D1263">
        <w:rPr>
          <w:lang w:val="mk-MK"/>
        </w:rPr>
        <w:t xml:space="preserve"> не само за</w:t>
      </w:r>
      <w:r w:rsidR="008F309E">
        <w:rPr>
          <w:lang w:val="mk-MK"/>
        </w:rPr>
        <w:t xml:space="preserve"> друштвата</w:t>
      </w:r>
      <w:r w:rsidR="002D1263" w:rsidRPr="002D1263">
        <w:rPr>
          <w:lang w:val="mk-MK"/>
        </w:rPr>
        <w:t>, туку и за самите вработени</w:t>
      </w:r>
      <w:r w:rsidR="008F309E">
        <w:rPr>
          <w:lang w:val="mk-MK"/>
        </w:rPr>
        <w:t>.</w:t>
      </w:r>
      <w:r w:rsidR="002D1263" w:rsidRPr="002D1263">
        <w:rPr>
          <w:lang w:val="mk-MK"/>
        </w:rPr>
        <w:t xml:space="preserve"> </w:t>
      </w:r>
      <w:r w:rsidR="008F309E">
        <w:rPr>
          <w:lang w:val="mk-MK"/>
        </w:rPr>
        <w:t>Т</w:t>
      </w:r>
      <w:r w:rsidR="002D1263" w:rsidRPr="002D1263">
        <w:rPr>
          <w:lang w:val="mk-MK"/>
        </w:rPr>
        <w:t>рето, едукација и институционална поддршка, бидејќи, како што укажуваат PEPPER извештаите, непознавањето на шемите за акционерство е едно од клучните пречки за нивното ширење, особено кај малите и средни претпријатија.</w:t>
      </w:r>
      <w:r w:rsidR="008F309E">
        <w:rPr>
          <w:rStyle w:val="FootnoteReference"/>
          <w:lang w:val="mk-MK"/>
        </w:rPr>
        <w:footnoteReference w:id="911"/>
      </w:r>
    </w:p>
    <w:p w14:paraId="30DDAA4C" w14:textId="642E60D5" w:rsidR="002D1263" w:rsidRPr="00DB33D8" w:rsidRDefault="00BB2651" w:rsidP="007F1530">
      <w:pPr>
        <w:pStyle w:val="BodyText"/>
        <w:spacing w:before="240" w:after="240"/>
        <w:ind w:firstLine="720"/>
        <w:jc w:val="both"/>
        <w:rPr>
          <w:lang w:val="mk-MK"/>
        </w:rPr>
      </w:pPr>
      <w:r w:rsidRPr="00BB2651">
        <w:rPr>
          <w:lang w:val="mk-MK"/>
        </w:rPr>
        <w:t>Само по исполнувањето на овие два темелни предуслова, расправата за понапредните механизми на корпоративно управување поврзани со учеството на вработените добива практична содржина и мерлива референтна точка. Македонија располага со нормативна рамка која формално ги дозволува овие чекори</w:t>
      </w:r>
      <w:r w:rsidR="00F60DD7">
        <w:rPr>
          <w:lang w:val="mk-MK"/>
        </w:rPr>
        <w:t>,</w:t>
      </w:r>
      <w:r w:rsidR="00177095">
        <w:rPr>
          <w:lang w:val="mk-MK"/>
        </w:rPr>
        <w:t xml:space="preserve"> но</w:t>
      </w:r>
      <w:r w:rsidRPr="00BB2651">
        <w:rPr>
          <w:lang w:val="mk-MK"/>
        </w:rPr>
        <w:t xml:space="preserve"> </w:t>
      </w:r>
      <w:r w:rsidRPr="00BB2651">
        <w:rPr>
          <w:lang w:val="mk-MK"/>
        </w:rPr>
        <w:lastRenderedPageBreak/>
        <w:t>нормативната дозволеност без активна политичка и институционална волја за нејзина операционализација останува само латентна можност. Приоритетот на иднината не е усовршување на она што веќе постои на хартија, туку изградба на она што сè уште не постои во стварноста.</w:t>
      </w:r>
    </w:p>
    <w:p w14:paraId="5D8428FC" w14:textId="5C6570C7" w:rsidR="009C35C0" w:rsidRPr="001B24DD" w:rsidRDefault="00185661" w:rsidP="009C35C0">
      <w:pPr>
        <w:pStyle w:val="Heading1"/>
        <w:numPr>
          <w:ilvl w:val="0"/>
          <w:numId w:val="70"/>
        </w:numPr>
        <w:spacing w:after="240"/>
        <w:jc w:val="both"/>
      </w:pPr>
      <w:bookmarkStart w:id="124" w:name="_Toc230523977"/>
      <w:r>
        <w:rPr>
          <w:lang w:val="mk-MK"/>
        </w:rPr>
        <w:t>Глобалните с</w:t>
      </w:r>
      <w:r w:rsidR="009C35C0">
        <w:rPr>
          <w:lang w:val="mk-MK"/>
        </w:rPr>
        <w:t>овремени трендови</w:t>
      </w:r>
      <w:r>
        <w:rPr>
          <w:lang w:val="mk-MK"/>
        </w:rPr>
        <w:t xml:space="preserve"> и вештачката интелигенција</w:t>
      </w:r>
      <w:bookmarkEnd w:id="124"/>
    </w:p>
    <w:p w14:paraId="31B4181D" w14:textId="466CFC00" w:rsidR="009C35C0" w:rsidRDefault="008236E8" w:rsidP="008236E8">
      <w:pPr>
        <w:pStyle w:val="BodyText"/>
        <w:spacing w:before="240"/>
        <w:ind w:firstLine="720"/>
        <w:jc w:val="both"/>
        <w:rPr>
          <w:lang w:val="mk-MK"/>
        </w:rPr>
      </w:pPr>
      <w:r>
        <w:rPr>
          <w:lang w:val="mk-MK"/>
        </w:rPr>
        <w:t>Како што видовме во компаративниот дел, в</w:t>
      </w:r>
      <w:r w:rsidRPr="008236E8">
        <w:rPr>
          <w:lang w:val="mk-MK"/>
        </w:rPr>
        <w:t>о</w:t>
      </w:r>
      <w:r>
        <w:rPr>
          <w:lang w:val="mk-MK"/>
        </w:rPr>
        <w:t xml:space="preserve"> земјите од</w:t>
      </w:r>
      <w:r w:rsidRPr="008236E8">
        <w:rPr>
          <w:lang w:val="mk-MK"/>
        </w:rPr>
        <w:t xml:space="preserve"> Југоисточна Европа, дистанцата помеѓу правото и моќта не е теоретска. Уставите ветуваат една реалност, неформалните мрежи испорачуваат друга, а во корпоративното управување, законските норми ја артикулираат власта додека одлуките тивко им се измолкнуваат на структурите создадени да ја ограничат.</w:t>
      </w:r>
      <w:r>
        <w:rPr>
          <w:rStyle w:val="FootnoteReference"/>
          <w:lang w:val="mk-MK"/>
        </w:rPr>
        <w:footnoteReference w:id="912"/>
      </w:r>
      <w:r w:rsidRPr="008236E8">
        <w:rPr>
          <w:lang w:val="mk-MK"/>
        </w:rPr>
        <w:t xml:space="preserve"> Оваа историска чувствителност кон јазот помеѓу правото на хартија и моќта во практика нуди корисна перспектива од која може да се набљудува трансформацијата што денес се одвива далеку надвор од регионот.</w:t>
      </w:r>
      <w:r w:rsidR="00F76298">
        <w:rPr>
          <w:rStyle w:val="FootnoteReference"/>
          <w:lang w:val="mk-MK"/>
        </w:rPr>
        <w:footnoteReference w:id="913"/>
      </w:r>
      <w:r w:rsidRPr="008236E8">
        <w:rPr>
          <w:lang w:val="mk-MK"/>
        </w:rPr>
        <w:t xml:space="preserve"> Низ глобалните пазари, корпоративното управување минува низ промена не помалку значајна од самото појавување на современата корпорација. Тоа е тивкото, но постојано издигнување на алгоритмите, вештачката интелигенција и автоматизираните системи од технички инструменти во актери на управување.</w:t>
      </w:r>
      <w:r w:rsidR="00F76298">
        <w:rPr>
          <w:rStyle w:val="FootnoteReference"/>
          <w:lang w:val="mk-MK"/>
        </w:rPr>
        <w:footnoteReference w:id="914"/>
      </w:r>
    </w:p>
    <w:p w14:paraId="72923D8C" w14:textId="6101132B" w:rsidR="000D24AF" w:rsidRDefault="000D24AF" w:rsidP="008236E8">
      <w:pPr>
        <w:pStyle w:val="BodyText"/>
        <w:spacing w:before="240"/>
        <w:ind w:firstLine="720"/>
        <w:jc w:val="both"/>
        <w:rPr>
          <w:lang w:val="mk-MK"/>
        </w:rPr>
      </w:pPr>
      <w:r w:rsidRPr="000D24AF">
        <w:rPr>
          <w:lang w:val="mk-MK"/>
        </w:rPr>
        <w:t>Во корпоративното право, актер на управување е секој субјект што влијае врз донесувањето одлуки во друштвото, создава правно или економски значајни последици и на кој се потпираат оние што формално располагаат со власт, како што се директорите, извршните раководители и акционерите.</w:t>
      </w:r>
      <w:r w:rsidR="003E13D3">
        <w:rPr>
          <w:rStyle w:val="FootnoteReference"/>
          <w:lang w:val="mk-MK"/>
        </w:rPr>
        <w:footnoteReference w:id="915"/>
      </w:r>
      <w:r w:rsidRPr="000D24AF">
        <w:rPr>
          <w:lang w:val="mk-MK"/>
        </w:rPr>
        <w:t xml:space="preserve"> Традиционално, овие актери се човечки и правно препознатливи, вклучувајќи ги одборите на директори, </w:t>
      </w:r>
      <w:r w:rsidR="00D478EF">
        <w:rPr>
          <w:lang w:val="mk-MK"/>
        </w:rPr>
        <w:t>вишиот</w:t>
      </w:r>
      <w:r w:rsidRPr="000D24AF">
        <w:rPr>
          <w:lang w:val="mk-MK"/>
        </w:rPr>
        <w:t xml:space="preserve"> менаџмент, акционерите кои ги остваруваат своите гласачки права, како и помошните тела како комитети, ревизори и советници. Наспроти тоа, техничкиот инструмент е само алатка што му помага на човечкото расудување без да ја обликува логиката на самата одлука, како калкулатори, табеларни пресметки, сметководствен софтвер или презентациски алатки, каде што човечкиот носител на одлуката ја задржува целосната одговорност за вреднување на информациите и изборот на исходот.</w:t>
      </w:r>
      <w:r w:rsidR="003F4287">
        <w:rPr>
          <w:rStyle w:val="FootnoteReference"/>
          <w:lang w:val="mk-MK"/>
        </w:rPr>
        <w:footnoteReference w:id="916"/>
      </w:r>
    </w:p>
    <w:p w14:paraId="14137626" w14:textId="1FCDA348" w:rsidR="00CD48AB" w:rsidRDefault="00C668CB" w:rsidP="00DF3CB1">
      <w:pPr>
        <w:pStyle w:val="BodyText"/>
        <w:spacing w:before="240"/>
        <w:ind w:firstLine="720"/>
        <w:jc w:val="both"/>
        <w:rPr>
          <w:lang w:val="mk-MK"/>
        </w:rPr>
      </w:pPr>
      <w:r w:rsidRPr="00C668CB">
        <w:rPr>
          <w:lang w:val="mk-MK"/>
        </w:rPr>
        <w:t>Алгоритмите, вештачката интелигенција и автоматизираните системи отстапуваат од овој модел. Алгоритамот претставува збир на однапред програмирани инструкции што определуваат како одлуките се донесуваат чекор по чекор, со што расудувањето фактички се вградува во кодот, додека вештачката интелигенција ги заменува експлицитните правила со одлучување засновано врз препознавање обрасци добиени од големи бази на податоци, создавајќи резултати што дури ни нивните создавачи не можат целосно да ги објаснат. Автоматизираните системи одат чекор понатаму, постапувајќи без човечка интервенција во реално време штом однапред определените услови се исполнети, на пример преку блокирање трансакции, извршување паметни договори или давање акционерски гласови.</w:t>
      </w:r>
      <w:r w:rsidR="00011CB2">
        <w:rPr>
          <w:rStyle w:val="FootnoteReference"/>
          <w:lang w:val="mk-MK"/>
        </w:rPr>
        <w:footnoteReference w:id="917"/>
      </w:r>
    </w:p>
    <w:p w14:paraId="5A65AA37" w14:textId="6E404A08" w:rsidR="00DF3CB1" w:rsidRDefault="000123B4" w:rsidP="00DF3CB1">
      <w:pPr>
        <w:pStyle w:val="BodyText"/>
        <w:spacing w:before="240"/>
        <w:ind w:firstLine="720"/>
        <w:jc w:val="both"/>
        <w:rPr>
          <w:lang w:val="en-US"/>
        </w:rPr>
      </w:pPr>
      <w:r w:rsidRPr="000123B4">
        <w:rPr>
          <w:lang w:val="mk-MK"/>
        </w:rPr>
        <w:t xml:space="preserve">Овие системи престануваат да бидат обични алатки и стануваат актери на управување кога човечките носители на одлуки се потчинуваат на нивните резултати, </w:t>
      </w:r>
      <w:r w:rsidRPr="000123B4">
        <w:rPr>
          <w:lang w:val="mk-MK"/>
        </w:rPr>
        <w:lastRenderedPageBreak/>
        <w:t>кога системите определуваат кои опции се видливи или прифатливи, кога нивните излези непосредно создаваат корпоративни последици и кога нивното расудување не може суштински да се оспори или реконструира.</w:t>
      </w:r>
      <w:r w:rsidR="004E739C">
        <w:rPr>
          <w:rStyle w:val="FootnoteReference"/>
          <w:lang w:val="mk-MK"/>
        </w:rPr>
        <w:footnoteReference w:id="918"/>
      </w:r>
      <w:r w:rsidRPr="000123B4">
        <w:rPr>
          <w:lang w:val="mk-MK"/>
        </w:rPr>
        <w:t xml:space="preserve"> Во такви случаи, иако одлуките формално им се припишуваат на човечки актери, суштинската проценка ја врши кодот, со што се нарушуваат темелните претпоставки на корпоративното право во однос на одговорноста, оправданоста и отчетноста.</w:t>
      </w:r>
    </w:p>
    <w:p w14:paraId="350EE569" w14:textId="40AC7BCE" w:rsidR="004E739C" w:rsidRDefault="004E739C" w:rsidP="00DF3CB1">
      <w:pPr>
        <w:pStyle w:val="BodyText"/>
        <w:spacing w:before="240"/>
        <w:ind w:firstLine="720"/>
        <w:jc w:val="both"/>
        <w:rPr>
          <w:lang w:val="mk-MK"/>
        </w:rPr>
      </w:pPr>
      <w:r w:rsidRPr="004E739C">
        <w:rPr>
          <w:lang w:val="mk-MK"/>
        </w:rPr>
        <w:t>Одборите и понатаму заседаваат, записници и понатаму се водат, а фидуцијарните должности остануваат кодифицирани со познат правен јазик. Сепак, сè поголем дел од корпоративните одлуки, од процен</w:t>
      </w:r>
      <w:r w:rsidR="00E7163C">
        <w:rPr>
          <w:lang w:val="mk-MK"/>
        </w:rPr>
        <w:t>к</w:t>
      </w:r>
      <w:r w:rsidRPr="004E739C">
        <w:rPr>
          <w:lang w:val="mk-MK"/>
        </w:rPr>
        <w:t>а на ризик и следење на усогласеност, до препораки за акционерско гласање и распределба на капитал, се обликувани, филтрирани или фактички определени од алгоритамски системи.</w:t>
      </w:r>
      <w:r w:rsidR="007F6A7B">
        <w:rPr>
          <w:rStyle w:val="FootnoteReference"/>
          <w:lang w:val="mk-MK"/>
        </w:rPr>
        <w:footnoteReference w:id="919"/>
      </w:r>
      <w:r w:rsidRPr="004E739C">
        <w:rPr>
          <w:lang w:val="mk-MK"/>
        </w:rPr>
        <w:t xml:space="preserve"> Овие системи одамна ја надминуваат улогата на обични асистенти и сè повеќе го структурираат човечкото расудување. Со тоа, тие ја преобликуваат архитектурата на корпоративната власт на начини што корпоративното право сè уште </w:t>
      </w:r>
      <w:r w:rsidR="007F6A7B">
        <w:rPr>
          <w:lang w:val="mk-MK"/>
        </w:rPr>
        <w:t>ги нема</w:t>
      </w:r>
      <w:r w:rsidRPr="004E739C">
        <w:rPr>
          <w:lang w:val="mk-MK"/>
        </w:rPr>
        <w:t xml:space="preserve"> целосно обработено.</w:t>
      </w:r>
    </w:p>
    <w:p w14:paraId="4363A18C" w14:textId="77777777" w:rsidR="00EA21D1" w:rsidRDefault="004F624F" w:rsidP="00DF3CB1">
      <w:pPr>
        <w:pStyle w:val="BodyText"/>
        <w:spacing w:before="240"/>
        <w:ind w:firstLine="720"/>
        <w:jc w:val="both"/>
        <w:rPr>
          <w:lang w:val="mk-MK"/>
        </w:rPr>
      </w:pPr>
      <w:r w:rsidRPr="004F624F">
        <w:rPr>
          <w:lang w:val="mk-MK"/>
        </w:rPr>
        <w:t>Овој развој често се претставува како приказна за ефикасност. Алгоритмите ветуваат брзина, конзистентност и способност за обработка на огромни количества податоци надвор од границите на човечките когнитивни капацитети. Управувачите со средства се потпираат на интегрирани платформи како Aladdin на BlackRock за насочување на инвестициските одлуки поврзани со трилиони долари средства.</w:t>
      </w:r>
      <w:r w:rsidR="00777CC9">
        <w:rPr>
          <w:rStyle w:val="FootnoteReference"/>
          <w:lang w:val="mk-MK"/>
        </w:rPr>
        <w:footnoteReference w:id="920"/>
      </w:r>
      <w:r w:rsidRPr="004F624F">
        <w:rPr>
          <w:lang w:val="mk-MK"/>
        </w:rPr>
        <w:t xml:space="preserve"> Големите управувачи со средства користат интегрирани инвестициски платформи што ги обединуваат анализата на ризик, конструирањето портфолија и оперативните работни текови во единствена дигитална средина. </w:t>
      </w:r>
    </w:p>
    <w:p w14:paraId="5AB6A7F7" w14:textId="66D157F3" w:rsidR="007F6A7B" w:rsidRDefault="004F624F" w:rsidP="00DF3CB1">
      <w:pPr>
        <w:pStyle w:val="BodyText"/>
        <w:spacing w:before="240"/>
        <w:ind w:firstLine="720"/>
        <w:jc w:val="both"/>
        <w:rPr>
          <w:lang w:val="mk-MK"/>
        </w:rPr>
      </w:pPr>
      <w:r w:rsidRPr="004F624F">
        <w:rPr>
          <w:lang w:val="mk-MK"/>
        </w:rPr>
        <w:t>Платформата Aladdin на BlackRock е еден од најшироко користените системи од овој вид бидејќи обработува огромни количини финансиски податоци, го поддржува донесувањето одлуки</w:t>
      </w:r>
      <w:r w:rsidR="00E11FF0">
        <w:rPr>
          <w:lang w:val="mk-MK"/>
        </w:rPr>
        <w:t xml:space="preserve"> од различни портфо</w:t>
      </w:r>
      <w:r w:rsidR="00F136AB">
        <w:rPr>
          <w:lang w:val="mk-MK"/>
        </w:rPr>
        <w:t>лија</w:t>
      </w:r>
      <w:r w:rsidRPr="004F624F">
        <w:rPr>
          <w:lang w:val="mk-MK"/>
        </w:rPr>
        <w:t xml:space="preserve"> и обезбедува алатки за ризик и усогласеност за инвестициски професионалци низ целиот свет. </w:t>
      </w:r>
      <w:r w:rsidR="00F136AB">
        <w:rPr>
          <w:lang w:val="mk-MK"/>
        </w:rPr>
        <w:t>Само в</w:t>
      </w:r>
      <w:r w:rsidRPr="004F624F">
        <w:rPr>
          <w:lang w:val="mk-MK"/>
        </w:rPr>
        <w:t xml:space="preserve">о 2026 година Aladdin управува или поддржува инвестициски одлуки за повеќе од 21 трилион долари средства, што ја прави </w:t>
      </w:r>
      <w:r w:rsidR="00F136AB">
        <w:rPr>
          <w:lang w:val="mk-MK"/>
        </w:rPr>
        <w:t xml:space="preserve">алатката </w:t>
      </w:r>
      <w:r w:rsidRPr="004F624F">
        <w:rPr>
          <w:lang w:val="mk-MK"/>
        </w:rPr>
        <w:t>централна за начинот на кој многу големи управувачи со средства го оценуваат ризикот, распределуваат капитал и реагираат на пазарните услови. Оваа интеграција значи дека алгоритамските резултати од ваквите платформи можат суштински да влијаат врз инвестициските избори што имаат правни, економски и управувачки последици за компаниите и нивните засегнати страни.</w:t>
      </w:r>
    </w:p>
    <w:p w14:paraId="74C9931F" w14:textId="67C9830D" w:rsidR="00DC7F76" w:rsidRDefault="006C3809" w:rsidP="00DF3CB1">
      <w:pPr>
        <w:pStyle w:val="BodyText"/>
        <w:spacing w:before="240"/>
        <w:ind w:firstLine="720"/>
        <w:jc w:val="both"/>
        <w:rPr>
          <w:lang w:val="mk-MK"/>
        </w:rPr>
      </w:pPr>
      <w:r w:rsidRPr="006C3809">
        <w:rPr>
          <w:lang w:val="mk-MK"/>
        </w:rPr>
        <w:t>Понатаму, советодавните компании за акционерско гласање користат алатки на машинско учење што влијаат врз остварувањето на гласачките права во огромен обем. Системите за усогласеност и управување со ризик работат континуирано, означувајќи неправилности во реално време и во одредени случаи, активирајќи автоматски реакции. Во ера определена со сложеност и нестабилност, привлечноста на автоматизираното управување е очигледна</w:t>
      </w:r>
      <w:r w:rsidR="00E4500E">
        <w:rPr>
          <w:lang w:val="mk-MK"/>
        </w:rPr>
        <w:t>, но</w:t>
      </w:r>
      <w:r w:rsidRPr="006C3809">
        <w:rPr>
          <w:lang w:val="mk-MK"/>
        </w:rPr>
        <w:t xml:space="preserve"> зад оваа нарација за оптимизација лежи подлабока структурна трансформација. Управувањето, традиционално разбрано како човечка практика заснована врз расправа, одговорност и отчетност, делумно се делегира на системи што не расудуваат, не објаснуваат и не се оправдуваат себеси во правна </w:t>
      </w:r>
      <w:r w:rsidRPr="006C3809">
        <w:rPr>
          <w:lang w:val="mk-MK"/>
        </w:rPr>
        <w:lastRenderedPageBreak/>
        <w:t>смисла.</w:t>
      </w:r>
      <w:r w:rsidR="00E4500E">
        <w:rPr>
          <w:rStyle w:val="FootnoteReference"/>
          <w:lang w:val="mk-MK"/>
        </w:rPr>
        <w:footnoteReference w:id="921"/>
      </w:r>
      <w:r w:rsidRPr="006C3809">
        <w:rPr>
          <w:lang w:val="mk-MK"/>
        </w:rPr>
        <w:t xml:space="preserve"> Алгоритмите немаат намера, совест или лојалност</w:t>
      </w:r>
      <w:r w:rsidR="0016199F">
        <w:rPr>
          <w:lang w:val="mk-MK"/>
        </w:rPr>
        <w:t>,</w:t>
      </w:r>
      <w:r w:rsidRPr="006C3809">
        <w:rPr>
          <w:lang w:val="mk-MK"/>
        </w:rPr>
        <w:t xml:space="preserve"> тие функционираат преку статистичко заклучување и функции на оптимизација. Сепак, нивните резултати сè повеќе носат нормативна тежина во рамки на компанијата. Кога модел ќе означи трансакција како премногу ризична, ќе препорача одредена одлука на одборот или ќе определи како ќе се дадат гласовите, тој фактички учествува во корпоративното управување, без оглед дали правото формално го признава како актер.</w:t>
      </w:r>
    </w:p>
    <w:p w14:paraId="5EE42210" w14:textId="201CA28E" w:rsidR="001E23D3" w:rsidRDefault="001E23D3" w:rsidP="00DF3CB1">
      <w:pPr>
        <w:pStyle w:val="BodyText"/>
        <w:spacing w:before="240"/>
        <w:ind w:firstLine="720"/>
        <w:jc w:val="both"/>
        <w:rPr>
          <w:lang w:val="mk-MK"/>
        </w:rPr>
      </w:pPr>
      <w:r w:rsidRPr="001E23D3">
        <w:rPr>
          <w:lang w:val="mk-MK"/>
        </w:rPr>
        <w:t>Ов</w:t>
      </w:r>
      <w:r>
        <w:rPr>
          <w:lang w:val="mk-MK"/>
        </w:rPr>
        <w:t>аа дисертација</w:t>
      </w:r>
      <w:r w:rsidRPr="001E23D3">
        <w:rPr>
          <w:lang w:val="mk-MK"/>
        </w:rPr>
        <w:t xml:space="preserve"> на ваквите системи им пристапува како на алгоритамски корпоративни актери, односно системи што</w:t>
      </w:r>
      <w:r w:rsidR="00FC028C">
        <w:rPr>
          <w:lang w:val="mk-MK"/>
        </w:rPr>
        <w:t xml:space="preserve"> не се управувани од човек, а</w:t>
      </w:r>
      <w:r w:rsidRPr="001E23D3">
        <w:rPr>
          <w:lang w:val="mk-MK"/>
        </w:rPr>
        <w:t xml:space="preserve"> вршат функции на донесување одлуки или обликување одлуки со правно или економски значајни последици за корпорацијата и нејзините засегнати страни. Тука спаѓаат процен</w:t>
      </w:r>
      <w:r>
        <w:rPr>
          <w:lang w:val="mk-MK"/>
        </w:rPr>
        <w:t>к</w:t>
      </w:r>
      <w:r w:rsidRPr="001E23D3">
        <w:rPr>
          <w:lang w:val="mk-MK"/>
        </w:rPr>
        <w:t>а</w:t>
      </w:r>
      <w:r>
        <w:rPr>
          <w:lang w:val="mk-MK"/>
        </w:rPr>
        <w:t>та</w:t>
      </w:r>
      <w:r w:rsidRPr="001E23D3">
        <w:rPr>
          <w:lang w:val="mk-MK"/>
        </w:rPr>
        <w:t xml:space="preserve"> на ризик, следење на усогласеност, препораки за гласање, автоматизирано извршување и многу други функции. Терминот не треба да сугерира правна личност ниту да навлегува во научна фантастика. Напротив, тој означува практична реалност со која корпоративното право мора да се соочи</w:t>
      </w:r>
      <w:r w:rsidR="00527DCD">
        <w:rPr>
          <w:lang w:val="mk-MK"/>
        </w:rPr>
        <w:t>, т.е.</w:t>
      </w:r>
      <w:r w:rsidRPr="001E23D3">
        <w:rPr>
          <w:lang w:val="mk-MK"/>
        </w:rPr>
        <w:t xml:space="preserve"> власта во рамки на компанијата повеќе не ја вршат исклучиво физички лица, па дури ни јасно препознатливи корпоративни органи. Таа сè повеќе е посредувана преку код.</w:t>
      </w:r>
    </w:p>
    <w:p w14:paraId="3CE09467" w14:textId="41F9E523" w:rsidR="00527DCD" w:rsidRDefault="00270A0B" w:rsidP="00DF3CB1">
      <w:pPr>
        <w:pStyle w:val="BodyText"/>
        <w:spacing w:before="240"/>
        <w:ind w:firstLine="720"/>
        <w:jc w:val="both"/>
        <w:rPr>
          <w:lang w:val="mk-MK"/>
        </w:rPr>
      </w:pPr>
      <w:r w:rsidRPr="00270A0B">
        <w:rPr>
          <w:lang w:val="mk-MK"/>
        </w:rPr>
        <w:t>Подемот на алгоритамскит</w:t>
      </w:r>
      <w:r w:rsidR="001A60D1">
        <w:rPr>
          <w:lang w:val="mk-MK"/>
        </w:rPr>
        <w:t>е</w:t>
      </w:r>
      <w:r w:rsidRPr="00270A0B">
        <w:rPr>
          <w:lang w:val="mk-MK"/>
        </w:rPr>
        <w:t xml:space="preserve"> корпоративни актери</w:t>
      </w:r>
      <w:r w:rsidR="00F951CF">
        <w:rPr>
          <w:lang w:val="mk-MK"/>
        </w:rPr>
        <w:t xml:space="preserve"> го</w:t>
      </w:r>
      <w:r w:rsidRPr="00270A0B">
        <w:rPr>
          <w:lang w:val="mk-MK"/>
        </w:rPr>
        <w:t xml:space="preserve"> создава она што може да се опише како дилема на црната кутија за корпоративното право.</w:t>
      </w:r>
      <w:r w:rsidR="00F951CF">
        <w:rPr>
          <w:rStyle w:val="FootnoteReference"/>
          <w:lang w:val="mk-MK"/>
        </w:rPr>
        <w:footnoteReference w:id="922"/>
      </w:r>
      <w:r w:rsidRPr="00270A0B">
        <w:rPr>
          <w:lang w:val="mk-MK"/>
        </w:rPr>
        <w:t xml:space="preserve"> Од една страна, овие системи го унапредуваат капацитетот за одлучување и ветуваат поцврст надзор. Од друга страна, тие ја замаглуваат распределбата на одговорноста. Директорите и понатаму подлежат на фидуцијарните должности на грижа и лојалност, но често не можат целосно да ја објаснат или преиспитаат логиката на системите врз кои се потпираат. Акционерите формално ги задржуваат своите гласачки права, но тие права сè повеќе се остваруваат преку автоматизирани или полуавтоматизирани механизми што ги обликуваат исходите пред да се случи каква било суштинска расправа. Регулаторите бараат транспарентност и усогласеност, а истовремено се соочуваат со сопственички модели што се спротивставуваат на надзор и со јурисдикции што тешко го следат темпото на развојот.</w:t>
      </w:r>
    </w:p>
    <w:p w14:paraId="6A7E29C8" w14:textId="465271C8" w:rsidR="00EF19E9" w:rsidRDefault="001A1F60" w:rsidP="00DF3CB1">
      <w:pPr>
        <w:pStyle w:val="BodyText"/>
        <w:spacing w:before="240"/>
        <w:ind w:firstLine="720"/>
        <w:jc w:val="both"/>
        <w:rPr>
          <w:lang w:val="mk-MK"/>
        </w:rPr>
      </w:pPr>
      <w:r w:rsidRPr="001A1F60">
        <w:rPr>
          <w:lang w:val="mk-MK"/>
        </w:rPr>
        <w:t>Оваа дилема допира до самото јадро на нормативните темели на корпоративното право. Корпоративното управување долго време почива</w:t>
      </w:r>
      <w:r w:rsidR="00F0727C">
        <w:rPr>
          <w:lang w:val="mk-MK"/>
        </w:rPr>
        <w:t>ло</w:t>
      </w:r>
      <w:r w:rsidRPr="001A1F60">
        <w:rPr>
          <w:lang w:val="mk-MK"/>
        </w:rPr>
        <w:t xml:space="preserve"> врз претпоставката дека власта мора да биде отчетна пред препознатливи носители на одлуки кои можат накнадно да одговараат. Делегирањето на управувачки функции на непрозрачни системи ја доведува во прашање оваа претпоставка. Кога исходите се создаваат од модели на машинско учење обучени врз историски податоци, одговорноста станува дифузна, веројатносна и спорна. Познатиот правен речник на намера, небрежност и расудување почнува да покажува ограничувања.</w:t>
      </w:r>
    </w:p>
    <w:p w14:paraId="3556CCA5" w14:textId="64E63957" w:rsidR="00B52922" w:rsidRDefault="000A6C33" w:rsidP="00DF3CB1">
      <w:pPr>
        <w:pStyle w:val="BodyText"/>
        <w:spacing w:before="240"/>
        <w:ind w:firstLine="720"/>
        <w:jc w:val="both"/>
        <w:rPr>
          <w:lang w:val="mk-MK"/>
        </w:rPr>
      </w:pPr>
      <w:r>
        <w:rPr>
          <w:lang w:val="mk-MK"/>
        </w:rPr>
        <w:t>Т</w:t>
      </w:r>
      <w:r w:rsidR="00B52922" w:rsidRPr="00B52922">
        <w:rPr>
          <w:lang w:val="mk-MK"/>
        </w:rPr>
        <w:t>ензија</w:t>
      </w:r>
      <w:r>
        <w:rPr>
          <w:lang w:val="mk-MK"/>
        </w:rPr>
        <w:t>та</w:t>
      </w:r>
      <w:r w:rsidR="00B52922" w:rsidRPr="00B52922">
        <w:rPr>
          <w:lang w:val="mk-MK"/>
        </w:rPr>
        <w:t xml:space="preserve"> е особено видлива кога се набљудува од правни системи надвор од традиционалните центри на технолошка моќ. За помалите економии и транзициските правни системи, вклучително и оние на Балканот, алгоритамското управување пристигнува како увезена инфраструктура, често развиена на друго место и вградена со претпоставки за пазари, ризик и рационалност што можеби не се усогласени со локалните правни култури или регулаторни капацитети. Асиметријата на моќ помеѓу оние што ги дизајнираат алгоритмите за управување и оние што се управувани од нив </w:t>
      </w:r>
      <w:r w:rsidR="00B52922" w:rsidRPr="00B52922">
        <w:rPr>
          <w:lang w:val="mk-MK"/>
        </w:rPr>
        <w:lastRenderedPageBreak/>
        <w:t xml:space="preserve">потсетува на постари модели на правна трансплантација, сега забрзани </w:t>
      </w:r>
      <w:r w:rsidR="006C10BC">
        <w:rPr>
          <w:lang w:val="mk-MK"/>
        </w:rPr>
        <w:t xml:space="preserve">и преведени </w:t>
      </w:r>
      <w:r w:rsidR="00B52922" w:rsidRPr="00B52922">
        <w:rPr>
          <w:lang w:val="mk-MK"/>
        </w:rPr>
        <w:t>преку дигитални средства.</w:t>
      </w:r>
    </w:p>
    <w:p w14:paraId="2AAB7921" w14:textId="43DD26CF" w:rsidR="005E5AB3" w:rsidRDefault="005E5AB3" w:rsidP="00C47302">
      <w:pPr>
        <w:pStyle w:val="BodyText"/>
        <w:spacing w:before="240" w:after="240"/>
        <w:ind w:firstLine="720"/>
        <w:jc w:val="both"/>
        <w:rPr>
          <w:lang w:val="en-US"/>
        </w:rPr>
      </w:pPr>
      <w:r w:rsidRPr="005E5AB3">
        <w:rPr>
          <w:lang w:val="mk-MK"/>
        </w:rPr>
        <w:t xml:space="preserve">Во оваа рамка, </w:t>
      </w:r>
      <w:r>
        <w:rPr>
          <w:lang w:val="mk-MK"/>
        </w:rPr>
        <w:t>ова поглавје</w:t>
      </w:r>
      <w:r w:rsidRPr="005E5AB3">
        <w:rPr>
          <w:lang w:val="mk-MK"/>
        </w:rPr>
        <w:t xml:space="preserve"> ги </w:t>
      </w:r>
      <w:r>
        <w:rPr>
          <w:lang w:val="mk-MK"/>
        </w:rPr>
        <w:t xml:space="preserve">потенцира </w:t>
      </w:r>
      <w:r w:rsidRPr="005E5AB3">
        <w:rPr>
          <w:lang w:val="mk-MK"/>
        </w:rPr>
        <w:t>импликациите на алгоритамското корпоративно управување врз корпоративното право. Тој поставува три меѓусебно поврзани прашања. Прво, како сè поголемото потпирање врз алгоритамски системи ја преобликува содржината и практичната примена на фидуцијарните должности на директорите? Второ, што се случува со акционерските права и корпоративното учество на вработените кога процесите на управување се автоматизирани или посредувани преку код? Трето, дали постојните регулаторни и доктринални алатки се доволни за да одговорат на овие развои, или е потребна нивна адаптација?</w:t>
      </w:r>
    </w:p>
    <w:p w14:paraId="33364696" w14:textId="27E06A77" w:rsidR="00430FB6" w:rsidRDefault="00430FB6" w:rsidP="00C47302">
      <w:pPr>
        <w:pStyle w:val="BodyText"/>
        <w:spacing w:before="240" w:after="240"/>
        <w:ind w:firstLine="720"/>
        <w:jc w:val="both"/>
        <w:rPr>
          <w:lang w:val="mk-MK"/>
        </w:rPr>
      </w:pPr>
      <w:r w:rsidRPr="00430FB6">
        <w:rPr>
          <w:lang w:val="mk-MK"/>
        </w:rPr>
        <w:t>Аргумент</w:t>
      </w:r>
      <w:r>
        <w:rPr>
          <w:lang w:val="mk-MK"/>
        </w:rPr>
        <w:t>ите</w:t>
      </w:r>
      <w:r w:rsidRPr="00430FB6">
        <w:rPr>
          <w:lang w:val="mk-MK"/>
        </w:rPr>
        <w:t xml:space="preserve"> што се застапува</w:t>
      </w:r>
      <w:r>
        <w:rPr>
          <w:lang w:val="mk-MK"/>
        </w:rPr>
        <w:t>ат</w:t>
      </w:r>
      <w:r w:rsidRPr="00430FB6">
        <w:rPr>
          <w:lang w:val="mk-MK"/>
        </w:rPr>
        <w:t xml:space="preserve"> </w:t>
      </w:r>
      <w:r>
        <w:rPr>
          <w:lang w:val="mk-MK"/>
        </w:rPr>
        <w:t>с</w:t>
      </w:r>
      <w:r w:rsidRPr="00430FB6">
        <w:rPr>
          <w:lang w:val="mk-MK"/>
        </w:rPr>
        <w:t>е намерно претпазлив</w:t>
      </w:r>
      <w:r>
        <w:rPr>
          <w:lang w:val="mk-MK"/>
        </w:rPr>
        <w:t>и</w:t>
      </w:r>
      <w:r w:rsidRPr="00430FB6">
        <w:rPr>
          <w:lang w:val="mk-MK"/>
        </w:rPr>
        <w:t>. Алгоритмите не се ниту спасители ниту негативци. Да се третираат како обични алатки значи да се потцени нивната управувачка улога, а да се третираат како автономни агенти значи да се прецени нивниот правен статус. Предизвикот за корпоративното право е да ги препознае алгоритамските системи како места на моќ, без притоа да ги напушти човекоцентричните темели на отчетноста. Тоа бара преиспитување на надзорот, транспарентноста и учеството, не за да се запре технолошката промена, туку за да се обезбеди нејзина усогласеност со основните принципи на корпоративното управување.</w:t>
      </w:r>
    </w:p>
    <w:p w14:paraId="2CCD940F" w14:textId="425E3965" w:rsidR="001A6B87" w:rsidRDefault="00BA52DF" w:rsidP="00C47302">
      <w:pPr>
        <w:pStyle w:val="BodyText"/>
        <w:spacing w:before="240" w:after="240"/>
        <w:ind w:firstLine="720"/>
        <w:jc w:val="both"/>
        <w:rPr>
          <w:lang w:val="mk-MK"/>
        </w:rPr>
      </w:pPr>
      <w:r w:rsidRPr="00BA52DF">
        <w:rPr>
          <w:lang w:val="mk-MK"/>
        </w:rPr>
        <w:t xml:space="preserve">Како што кодот зазема сè повеќе место на корпоративната маса, </w:t>
      </w:r>
      <w:r w:rsidR="005A275F">
        <w:rPr>
          <w:lang w:val="mk-MK"/>
        </w:rPr>
        <w:t xml:space="preserve">прашањето </w:t>
      </w:r>
      <w:r w:rsidRPr="00BA52DF">
        <w:rPr>
          <w:lang w:val="mk-MK"/>
        </w:rPr>
        <w:t>повеќе не е дали алгоритмите ќе влијаат врз корпоративното управување</w:t>
      </w:r>
      <w:r w:rsidR="005A275F">
        <w:rPr>
          <w:lang w:val="mk-MK"/>
        </w:rPr>
        <w:t xml:space="preserve"> затоа што т</w:t>
      </w:r>
      <w:r w:rsidRPr="00BA52DF">
        <w:rPr>
          <w:lang w:val="mk-MK"/>
        </w:rPr>
        <w:t>ие веќе влијаат. Прашањето е дали корпоративното право ќе остане способно да ја објасни, ограничи и легитимира власта што тие ја вршат.</w:t>
      </w:r>
    </w:p>
    <w:p w14:paraId="6CF4A24E" w14:textId="1D9D666B" w:rsidR="00E13F87" w:rsidRDefault="00734965" w:rsidP="00C47302">
      <w:pPr>
        <w:pStyle w:val="BodyText"/>
        <w:spacing w:before="240" w:after="240"/>
        <w:ind w:firstLine="720"/>
        <w:jc w:val="both"/>
        <w:rPr>
          <w:lang w:val="mk-MK"/>
        </w:rPr>
      </w:pPr>
      <w:r w:rsidRPr="00734965">
        <w:rPr>
          <w:lang w:val="mk-MK"/>
        </w:rPr>
        <w:t xml:space="preserve">Тоа значи дека интеграцијата на алгоритамските системи во корпоративното управување означува структурна промена во начинот на кој се </w:t>
      </w:r>
      <w:r>
        <w:rPr>
          <w:lang w:val="mk-MK"/>
        </w:rPr>
        <w:t>практикува</w:t>
      </w:r>
      <w:r w:rsidRPr="00734965">
        <w:rPr>
          <w:lang w:val="mk-MK"/>
        </w:rPr>
        <w:t xml:space="preserve"> власта во современите компании</w:t>
      </w:r>
      <w:r>
        <w:rPr>
          <w:lang w:val="mk-MK"/>
        </w:rPr>
        <w:t xml:space="preserve">. </w:t>
      </w:r>
      <w:r w:rsidRPr="00734965">
        <w:rPr>
          <w:lang w:val="mk-MK"/>
        </w:rPr>
        <w:t>Во својата суштина, оваа трансформација подразбира преобликување на одлучувањето, од чисто човечка расправа кон процеси во кои компјутерските системи имаат активна улога во обликување, посредување, а во одредени случаи и извршување на управувачките исходи.</w:t>
      </w:r>
    </w:p>
    <w:p w14:paraId="1B2458B4" w14:textId="71845D74" w:rsidR="006824C3" w:rsidRDefault="006824C3" w:rsidP="00C47302">
      <w:pPr>
        <w:pStyle w:val="BodyText"/>
        <w:spacing w:before="240" w:after="240"/>
        <w:ind w:firstLine="720"/>
        <w:jc w:val="both"/>
        <w:rPr>
          <w:lang w:val="mk-MK"/>
        </w:rPr>
      </w:pPr>
      <w:r w:rsidRPr="006824C3">
        <w:rPr>
          <w:lang w:val="mk-MK"/>
        </w:rPr>
        <w:t xml:space="preserve">Идејата дека самиот код може да функционира како нормативна сила потекнува од темелните согледувања за регулирањето на </w:t>
      </w:r>
      <w:r>
        <w:rPr>
          <w:lang w:val="mk-MK"/>
        </w:rPr>
        <w:t xml:space="preserve">сајбер </w:t>
      </w:r>
      <w:r w:rsidRPr="006824C3">
        <w:rPr>
          <w:lang w:val="mk-MK"/>
        </w:rPr>
        <w:t>просторот. Максимата на Lawrence Lessig дека „кодот е право“ покажува како техничките архитектури можат да го регулираат однесувањето исто толку ефикасно колку и законите или судските норми, обликувајќи поттици и ограничувања без експлицитна правна артикулација. Рамката на Lessig има клучно значење во правната теорија за дигиталното управување, истакнувајќи ја регулаторната сила на компјутерскиот дизајн врз општествената интеракција и автономијата. Пренесувањето на ова согледување во корпоративен контекст укажува дека алгоритамските системи, некогаш сметани за споредни алатки, можат да станат составен дел од режимите на управување, вградувајќи специфични логики во ткивото на одлучувањето во компанијата.</w:t>
      </w:r>
      <w:r w:rsidR="00367372">
        <w:rPr>
          <w:rStyle w:val="FootnoteReference"/>
          <w:lang w:val="mk-MK"/>
        </w:rPr>
        <w:footnoteReference w:id="923"/>
      </w:r>
    </w:p>
    <w:p w14:paraId="097455C3" w14:textId="6B49E272" w:rsidR="006824C3" w:rsidRDefault="006824C3" w:rsidP="00C47302">
      <w:pPr>
        <w:pStyle w:val="BodyText"/>
        <w:spacing w:before="240" w:after="240"/>
        <w:ind w:firstLine="720"/>
        <w:jc w:val="both"/>
        <w:rPr>
          <w:lang w:val="mk-MK"/>
        </w:rPr>
      </w:pPr>
      <w:r w:rsidRPr="006824C3">
        <w:rPr>
          <w:lang w:val="mk-MK"/>
        </w:rPr>
        <w:t xml:space="preserve">Науката за корпоративното управување почнува да го препознава овој феномен. Истражувањата за вештачко управување разгледуваат сценарија во кои системите на машинско учење и вештачка интелигенција постепено ги структуираат процесите на </w:t>
      </w:r>
      <w:r w:rsidRPr="006824C3">
        <w:rPr>
          <w:lang w:val="mk-MK"/>
        </w:rPr>
        <w:lastRenderedPageBreak/>
        <w:t>одлучување на ниво на одбори, отворајќи прашања за одговорност, бизнис расудување и отчетност кога управувачките резултати отстапуваат од човечкото расудување. Управувањето со етички и доверливи системи на вештачка интелигенција исто така ја нагласува потребата од цврст надзор и рефлексивност при нивната примена, особено кога тие влијаат врз стратешки или ризично чувствителни одлуки.</w:t>
      </w:r>
      <w:r w:rsidR="00A3219F">
        <w:rPr>
          <w:rStyle w:val="FootnoteReference"/>
          <w:lang w:val="mk-MK"/>
        </w:rPr>
        <w:footnoteReference w:id="924"/>
      </w:r>
    </w:p>
    <w:p w14:paraId="1358D591" w14:textId="19CEE054" w:rsidR="00A06D85" w:rsidRDefault="00A06D85" w:rsidP="00C47302">
      <w:pPr>
        <w:pStyle w:val="BodyText"/>
        <w:spacing w:before="240" w:after="240"/>
        <w:ind w:firstLine="720"/>
        <w:jc w:val="both"/>
        <w:rPr>
          <w:lang w:val="en-US"/>
        </w:rPr>
      </w:pPr>
      <w:r w:rsidRPr="00A06D85">
        <w:rPr>
          <w:lang w:val="mk-MK"/>
        </w:rPr>
        <w:t>Алгоритамските корпоративни актери ги усложнуваат воспоставените претпоставки вградени во корпоративното право. Традиционалните фидуцијарни должности, вклучително должноста на грижа да се постапува совесно и должноста на лојалност да се унапредуваат интересите на компанијата, претпоставуваат дека директорите расправаат, ги мерат алтернативите и ги оправдуваат изборите во светлина на нормативни стандарди како добра волја и здраво расудување.</w:t>
      </w:r>
      <w:r w:rsidR="009B5701">
        <w:rPr>
          <w:rStyle w:val="FootnoteReference"/>
          <w:lang w:val="mk-MK"/>
        </w:rPr>
        <w:footnoteReference w:id="925"/>
      </w:r>
      <w:r w:rsidRPr="00A06D85">
        <w:rPr>
          <w:lang w:val="mk-MK"/>
        </w:rPr>
        <w:t xml:space="preserve"> Кога управувачките исходи се под влијание или се определени од нетранспарентни моделски резултати, овие претпоставки се доведуваат во прашање. Директорите можат да се потпираат на технички препораки што немаат капацитет да ги преиспитаат, создавајќи јаз помеѓу правната отчетност и практичната контрола. Овој јаз, кој </w:t>
      </w:r>
      <w:r w:rsidR="00112DB4">
        <w:rPr>
          <w:lang w:val="mk-MK"/>
        </w:rPr>
        <w:t>може да се</w:t>
      </w:r>
      <w:r w:rsidRPr="00A06D85">
        <w:rPr>
          <w:lang w:val="mk-MK"/>
        </w:rPr>
        <w:t xml:space="preserve"> наре</w:t>
      </w:r>
      <w:r w:rsidR="00112DB4">
        <w:rPr>
          <w:lang w:val="mk-MK"/>
        </w:rPr>
        <w:t>че</w:t>
      </w:r>
      <w:r w:rsidRPr="00A06D85">
        <w:rPr>
          <w:lang w:val="mk-MK"/>
        </w:rPr>
        <w:t xml:space="preserve"> дилема на црната кутија, ја опфаќа тензијата помеѓу засилен капацитет за одлучување и замаглена одговорност, односно алгоритамските системи ветуваат аналитичка моќ, но нивната внатрешна логика и причинските врски можат да бидат недостапни за директорите, акционерите или регулаторите.</w:t>
      </w:r>
      <w:r w:rsidR="00A3219F">
        <w:rPr>
          <w:lang w:val="mk-MK"/>
        </w:rPr>
        <w:t xml:space="preserve"> </w:t>
      </w:r>
    </w:p>
    <w:p w14:paraId="557C3D9F" w14:textId="77C415DF" w:rsidR="0044189A" w:rsidRDefault="00C924FC" w:rsidP="00C47302">
      <w:pPr>
        <w:pStyle w:val="BodyText"/>
        <w:spacing w:before="240" w:after="240"/>
        <w:ind w:firstLine="720"/>
        <w:jc w:val="both"/>
        <w:rPr>
          <w:lang w:val="mk-MK"/>
        </w:rPr>
      </w:pPr>
      <w:r w:rsidRPr="00C924FC">
        <w:rPr>
          <w:lang w:val="mk-MK"/>
        </w:rPr>
        <w:t>Оттука, дилемата на црната кутија е материјален проблем со силна регулаторна резонанца. Емпириските докази покажуваат дека корпоративните практики на обелоденување заостануваат зад сè пошироката употреба на вештачката интелигенција во стратешките функции</w:t>
      </w:r>
      <w:r w:rsidR="0044189A">
        <w:rPr>
          <w:lang w:val="mk-MK"/>
        </w:rPr>
        <w:t>. Ова</w:t>
      </w:r>
      <w:r w:rsidRPr="00C924FC">
        <w:rPr>
          <w:lang w:val="mk-MK"/>
        </w:rPr>
        <w:t xml:space="preserve"> ги поттикна регулатори</w:t>
      </w:r>
      <w:r w:rsidR="0044189A">
        <w:rPr>
          <w:lang w:val="mk-MK"/>
        </w:rPr>
        <w:t>те</w:t>
      </w:r>
      <w:r w:rsidRPr="00C924FC">
        <w:rPr>
          <w:lang w:val="mk-MK"/>
        </w:rPr>
        <w:t xml:space="preserve"> како Комисијата за хартии од вредност на САД (SEC) да ги засилат извршните мерки против доведувачки во заблуда објави за можностите на вештачката интелигенција и да бараат појасна транспарентност во корпоративното известување за ризиците поврзани со неа.</w:t>
      </w:r>
      <w:r w:rsidR="0044189A">
        <w:rPr>
          <w:rStyle w:val="FootnoteReference"/>
          <w:lang w:val="mk-MK"/>
        </w:rPr>
        <w:footnoteReference w:id="926"/>
      </w:r>
      <w:r w:rsidRPr="00C924FC">
        <w:rPr>
          <w:lang w:val="mk-MK"/>
        </w:rPr>
        <w:t xml:space="preserve"> </w:t>
      </w:r>
    </w:p>
    <w:p w14:paraId="59B4CB16" w14:textId="7717F1A1" w:rsidR="00C924FC" w:rsidRPr="00C924FC" w:rsidRDefault="00C924FC" w:rsidP="00C47302">
      <w:pPr>
        <w:pStyle w:val="BodyText"/>
        <w:spacing w:before="240" w:after="240"/>
        <w:ind w:firstLine="720"/>
        <w:jc w:val="both"/>
        <w:rPr>
          <w:lang w:val="mk-MK"/>
        </w:rPr>
      </w:pPr>
      <w:r w:rsidRPr="00C924FC">
        <w:rPr>
          <w:lang w:val="mk-MK"/>
        </w:rPr>
        <w:t>Во меѓувреме, сеопфатни регулаторни рамки како Актот за вештачка интелигенција на Европската Унија</w:t>
      </w:r>
      <w:r w:rsidR="004B6BCA">
        <w:rPr>
          <w:lang w:val="en-US"/>
        </w:rPr>
        <w:t>,</w:t>
      </w:r>
      <w:r w:rsidR="004B6BCA">
        <w:rPr>
          <w:rStyle w:val="FootnoteReference"/>
          <w:lang w:val="en-US"/>
        </w:rPr>
        <w:footnoteReference w:id="927"/>
      </w:r>
      <w:r w:rsidRPr="00C924FC">
        <w:rPr>
          <w:lang w:val="mk-MK"/>
        </w:rPr>
        <w:t xml:space="preserve"> воспоставуваат обврски засновани врз ризик за системи со висок импакт, барајќи човечки надзор, документација и управувачки мерки за системи што влијаат врз безбедноста, основните права или правните исходи, иако примарно се насочени кон развивачите и применувачите, а не директно кон одборите. Овие регулаторни потези ја потврдуваат сериозноста на алгоритамското влијание врз корпоративната практика и ги нагласуваат нормативните влогови во управувањето со алгоритамското владеење.</w:t>
      </w:r>
    </w:p>
    <w:p w14:paraId="1D272F6C" w14:textId="4B7DCF78" w:rsidR="00332D4C" w:rsidRDefault="0050267C" w:rsidP="00332D4C">
      <w:pPr>
        <w:pStyle w:val="BodyText"/>
        <w:spacing w:before="240" w:after="240"/>
        <w:ind w:firstLine="720"/>
        <w:jc w:val="both"/>
        <w:rPr>
          <w:lang w:val="en-US"/>
        </w:rPr>
      </w:pPr>
      <w:r w:rsidRPr="0050267C">
        <w:rPr>
          <w:lang w:val="mk-MK"/>
        </w:rPr>
        <w:t xml:space="preserve">Така, алгоритамските корпоративни актери и дилемата на црната кутија го сочинуваат концептуалното јадро, при што првиот поим го означува местото на алгоритамската дејственост во процесите на корпоративно управување, а вториот ја опфаќа епистемолошката и правната тешкотија на припишување одговорност кога расудувањето на тие актери е заматено. Двата концепта ја поставуваат основата за анализа на тоа како традиционалните доктрини на корпоративното право, регулаторните </w:t>
      </w:r>
      <w:r w:rsidRPr="0050267C">
        <w:rPr>
          <w:lang w:val="mk-MK"/>
        </w:rPr>
        <w:lastRenderedPageBreak/>
        <w:t>режими и механизмите на отчетност мора да се приспособат како одговор на алгоритамскиот пресврт во управувањето.</w:t>
      </w:r>
    </w:p>
    <w:p w14:paraId="212D6023" w14:textId="3B4DD767" w:rsidR="00A80945" w:rsidRDefault="00B40F84" w:rsidP="00332D4C">
      <w:pPr>
        <w:pStyle w:val="BodyText"/>
        <w:spacing w:before="240" w:after="240"/>
        <w:ind w:firstLine="720"/>
        <w:jc w:val="both"/>
        <w:rPr>
          <w:rFonts w:eastAsiaTheme="majorEastAsia"/>
          <w:color w:val="000000" w:themeColor="text1"/>
          <w:lang w:val="mk-MK"/>
        </w:rPr>
      </w:pPr>
      <w:r>
        <w:rPr>
          <w:rFonts w:eastAsiaTheme="majorEastAsia"/>
          <w:color w:val="000000" w:themeColor="text1"/>
          <w:lang w:val="mk-MK"/>
        </w:rPr>
        <w:t>Оттука и во контекст на темата, а</w:t>
      </w:r>
      <w:r w:rsidRPr="00B40F84">
        <w:rPr>
          <w:rFonts w:eastAsiaTheme="majorEastAsia"/>
          <w:color w:val="000000" w:themeColor="text1"/>
          <w:lang w:val="mk-MK"/>
        </w:rPr>
        <w:t xml:space="preserve">лгоритамското управување и должностите на директорите во корпоративното право се разработуваат низ пет меѓусебно поврзани потцелини што следат како кодот сè повеќе посредува, преобликува и ја доведува во прашање правната архитектура на фидуцијарната одговорност. Прво, анализата ги разгледува фидуцијарните должности во ерата на алгоритамското одлучување, поставувајќи го прашањето како должностите на грижа, лојалност и надзор функционираат кога директорите се потпираат на компјутерски системи наместо на човечко расудување засновано врз расправа. Второ, овие </w:t>
      </w:r>
      <w:r w:rsidR="00DE40F5">
        <w:rPr>
          <w:rFonts w:eastAsiaTheme="majorEastAsia"/>
          <w:color w:val="000000" w:themeColor="text1"/>
          <w:lang w:val="mk-MK"/>
        </w:rPr>
        <w:t xml:space="preserve">придвижувања </w:t>
      </w:r>
      <w:r w:rsidRPr="00B40F84">
        <w:rPr>
          <w:rFonts w:eastAsiaTheme="majorEastAsia"/>
          <w:color w:val="000000" w:themeColor="text1"/>
          <w:lang w:val="mk-MK"/>
        </w:rPr>
        <w:t>се поставуваат во компаративна доктринална перспектива, при што се истакнува како различни системи на корпоративно право реагираат, нерамномерно и често недоволно, на делегирањето на управувачките функции на алгоритамски алатки.</w:t>
      </w:r>
    </w:p>
    <w:p w14:paraId="175B52C5" w14:textId="200FC5F0" w:rsidR="00181601" w:rsidRPr="00B40F84" w:rsidRDefault="00181601" w:rsidP="00332D4C">
      <w:pPr>
        <w:pStyle w:val="BodyText"/>
        <w:spacing w:before="240" w:after="240"/>
        <w:ind w:firstLine="720"/>
        <w:jc w:val="both"/>
        <w:rPr>
          <w:rFonts w:eastAsiaTheme="majorEastAsia"/>
          <w:color w:val="000000" w:themeColor="text1"/>
          <w:lang w:val="mk-MK"/>
        </w:rPr>
      </w:pPr>
      <w:r w:rsidRPr="00181601">
        <w:rPr>
          <w:rFonts w:eastAsiaTheme="majorEastAsia"/>
          <w:color w:val="000000" w:themeColor="text1"/>
          <w:lang w:val="mk-MK"/>
        </w:rPr>
        <w:t>Трето, расправата се насочува кон регулаторните императиви, со фокус на новите обврски за обелоденување, ревизија и надзор на вештачката интелигенција според правото на хартии од вредност и технолошката регулатива. Четврто, делот ја втемелува теоријата во практика преку студија на случај за автоматизирани модели на ризик во финансиски институции, покажувајќи како алгоритамското управување функционира во средини со висок влог каде грешките се системски, а не изолир</w:t>
      </w:r>
      <w:r w:rsidR="008D23BC">
        <w:rPr>
          <w:rFonts w:eastAsiaTheme="majorEastAsia"/>
          <w:color w:val="000000" w:themeColor="text1"/>
          <w:lang w:val="mk-MK"/>
        </w:rPr>
        <w:t>ани</w:t>
      </w:r>
      <w:r w:rsidRPr="00181601">
        <w:rPr>
          <w:rFonts w:eastAsiaTheme="majorEastAsia"/>
          <w:color w:val="000000" w:themeColor="text1"/>
          <w:lang w:val="mk-MK"/>
        </w:rPr>
        <w:t>. Конечно, анализата напредува кон рамка на отчетност, тврдејќи дека постојните фидуцијарни доктрини мора да бидат рекалибрирани за подемот на алгоритамското управување да ги зајакне, а не да ги разгради, темелите на одговорноста што се во јадрото на корпоративното право.</w:t>
      </w:r>
    </w:p>
    <w:p w14:paraId="03530646" w14:textId="2CB3CA7D" w:rsidR="00332D4C" w:rsidRPr="00884503" w:rsidRDefault="00332D4C" w:rsidP="00332D4C">
      <w:pPr>
        <w:pStyle w:val="Heading2"/>
        <w:numPr>
          <w:ilvl w:val="1"/>
          <w:numId w:val="70"/>
        </w:numPr>
        <w:spacing w:before="0"/>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125" w:name="_Toc230523978"/>
      <w:r w:rsidR="00181601" w:rsidRPr="00181601">
        <w:rPr>
          <w:rFonts w:ascii="Times New Roman" w:hAnsi="Times New Roman" w:cs="Times New Roman"/>
          <w:b w:val="0"/>
          <w:bCs w:val="0"/>
          <w:color w:val="000000" w:themeColor="text1"/>
          <w:sz w:val="24"/>
          <w:szCs w:val="24"/>
          <w:lang w:val="mk-MK"/>
        </w:rPr>
        <w:t>Фидуцијарните должности и подемот на алгоритамското одлучување</w:t>
      </w:r>
      <w:bookmarkEnd w:id="125"/>
    </w:p>
    <w:p w14:paraId="46393EB3" w14:textId="0297DDA2" w:rsidR="00332D4C" w:rsidRDefault="006A617D" w:rsidP="006A617D">
      <w:pPr>
        <w:pStyle w:val="BodyText"/>
        <w:spacing w:before="240" w:after="240"/>
        <w:ind w:firstLine="720"/>
        <w:jc w:val="both"/>
        <w:rPr>
          <w:lang w:val="mk-MK"/>
        </w:rPr>
      </w:pPr>
      <w:r w:rsidRPr="006A617D">
        <w:rPr>
          <w:lang w:val="mk-MK"/>
        </w:rPr>
        <w:t xml:space="preserve">Во срцето на </w:t>
      </w:r>
      <w:r>
        <w:rPr>
          <w:lang w:val="mk-MK"/>
        </w:rPr>
        <w:t>деловното</w:t>
      </w:r>
      <w:r w:rsidRPr="006A617D">
        <w:rPr>
          <w:lang w:val="mk-MK"/>
        </w:rPr>
        <w:t xml:space="preserve"> право лежи фидуцијарниот однос помеѓу директорите и засегнатите страни на корпорацијата. Директорите се обврзани со должности на грижа и лојалност, што подразбира обврска да постапуваат совесно, со должно внимание и во најдобар интерес на компанијата. Историски гледано, исполнувањето на овие должности претпоставува</w:t>
      </w:r>
      <w:r w:rsidR="005F6E67">
        <w:rPr>
          <w:lang w:val="mk-MK"/>
        </w:rPr>
        <w:t>ло</w:t>
      </w:r>
      <w:r w:rsidRPr="006A617D">
        <w:rPr>
          <w:lang w:val="mk-MK"/>
        </w:rPr>
        <w:t xml:space="preserve"> дека човечките директори вршат расудување преку расправа, процена на ризик и разумен избор.</w:t>
      </w:r>
      <w:r w:rsidR="00DD3A91">
        <w:rPr>
          <w:rStyle w:val="FootnoteReference"/>
          <w:lang w:val="mk-MK"/>
        </w:rPr>
        <w:footnoteReference w:id="928"/>
      </w:r>
      <w:r w:rsidRPr="006A617D">
        <w:rPr>
          <w:lang w:val="mk-MK"/>
        </w:rPr>
        <w:t xml:space="preserve"> Кога алгоритамските системи влегуваат во процесот на управување, оваа претпоставка се нарушува. Алгоритамското управување, односно употребата на компјутерски системи за создавање, структурирање или извршување управувачки одлуки, ги предизвикува класичните доктринални темели на фидуцијарната одговорност.</w:t>
      </w:r>
      <w:r>
        <w:rPr>
          <w:lang w:val="mk-MK"/>
        </w:rPr>
        <w:t xml:space="preserve"> </w:t>
      </w:r>
    </w:p>
    <w:p w14:paraId="50E3B871" w14:textId="3D7803E7" w:rsidR="0074457F" w:rsidRDefault="0074457F" w:rsidP="006A617D">
      <w:pPr>
        <w:pStyle w:val="BodyText"/>
        <w:spacing w:before="240" w:after="240"/>
        <w:ind w:firstLine="720"/>
        <w:jc w:val="both"/>
        <w:rPr>
          <w:lang w:val="mk-MK"/>
        </w:rPr>
      </w:pPr>
      <w:r w:rsidRPr="0074457F">
        <w:rPr>
          <w:lang w:val="mk-MK"/>
        </w:rPr>
        <w:t xml:space="preserve">Должностите на директорите за грижа бараат одлуките да бидат засновани врз соодветно испитување и рационална анализа. Во предметот </w:t>
      </w:r>
      <w:r w:rsidRPr="00671974">
        <w:rPr>
          <w:i/>
          <w:iCs/>
          <w:lang w:val="mk-MK"/>
        </w:rPr>
        <w:t>Smith v Van Gorkom</w:t>
      </w:r>
      <w:r w:rsidRPr="0074457F">
        <w:rPr>
          <w:lang w:val="mk-MK"/>
        </w:rPr>
        <w:t xml:space="preserve">, Врховниот суд на Делавер </w:t>
      </w:r>
      <w:r w:rsidR="00715CF5">
        <w:rPr>
          <w:lang w:val="mk-MK"/>
        </w:rPr>
        <w:t>потенцирал</w:t>
      </w:r>
      <w:r w:rsidRPr="0074457F">
        <w:rPr>
          <w:lang w:val="mk-MK"/>
        </w:rPr>
        <w:t xml:space="preserve"> дека директорите мора да носат одлуки врз „разумно внимателна“ основа, со информирано разбирање на материјалните факти релевантни за трансакцијата. Кога одборот се потпира на алгоритамски резултати, се поставува прашањето дали таквото потпирање го исполнува стандардот на информирано одлучување кога директорите можеби не ја разбираат целосно основата на алгоритамските препораки. Поинаку кажано, дали потпирањето врз непрозрачен модел ја исполнува должноста на грижа, или само го заменува човечкото расудување со </w:t>
      </w:r>
      <w:r w:rsidRPr="0074457F">
        <w:rPr>
          <w:lang w:val="mk-MK"/>
        </w:rPr>
        <w:lastRenderedPageBreak/>
        <w:t>машински резултат без доволна проверка?</w:t>
      </w:r>
    </w:p>
    <w:p w14:paraId="15C5F882" w14:textId="57A37991" w:rsidR="00235748" w:rsidRDefault="00A60A68" w:rsidP="006A617D">
      <w:pPr>
        <w:pStyle w:val="BodyText"/>
        <w:spacing w:before="240" w:after="240"/>
        <w:ind w:firstLine="720"/>
        <w:jc w:val="both"/>
        <w:rPr>
          <w:lang w:val="mk-MK"/>
        </w:rPr>
      </w:pPr>
      <w:r w:rsidRPr="00A60A68">
        <w:rPr>
          <w:lang w:val="mk-MK"/>
        </w:rPr>
        <w:t>Доктрина што се развила за решавање сродни проблеми е правилото на деловно расудување,</w:t>
      </w:r>
      <w:r>
        <w:rPr>
          <w:rStyle w:val="FootnoteReference"/>
          <w:lang w:val="mk-MK"/>
        </w:rPr>
        <w:footnoteReference w:id="929"/>
      </w:r>
      <w:r w:rsidRPr="00A60A68">
        <w:rPr>
          <w:lang w:val="mk-MK"/>
        </w:rPr>
        <w:t xml:space="preserve"> кое ги штити одлуките на директорите во отсуство на груба небрежност или личен интерес. Заштитата што ја обезбедува ова правило почива врз идејата дека директорите се подобро позиционирани од судовите да носат деловни одлуки, доколку постапуваат совесно и со доволно информации. Меѓутоа, кога одлуката на директорот е суштински обликувана од сопственички алгоритам што не може да се реконструира или објасни пред одборот, заштитната логика на ова правило станува </w:t>
      </w:r>
      <w:r w:rsidR="00DA1147">
        <w:rPr>
          <w:lang w:val="mk-MK"/>
        </w:rPr>
        <w:t>нецелосна.</w:t>
      </w:r>
      <w:r w:rsidRPr="00A60A68">
        <w:rPr>
          <w:lang w:val="mk-MK"/>
        </w:rPr>
        <w:t xml:space="preserve"> Судовите можат да прашаат дали директорот применил самостојно расудување или едноставно </w:t>
      </w:r>
      <w:r w:rsidR="00847E75">
        <w:rPr>
          <w:lang w:val="mk-MK"/>
        </w:rPr>
        <w:t>и</w:t>
      </w:r>
      <w:r w:rsidRPr="00A60A68">
        <w:rPr>
          <w:lang w:val="mk-MK"/>
        </w:rPr>
        <w:t xml:space="preserve"> се потчинил на „црната кутија“.</w:t>
      </w:r>
    </w:p>
    <w:p w14:paraId="5EB665DE" w14:textId="3F109173" w:rsidR="00847E75" w:rsidRDefault="00847E75" w:rsidP="006A617D">
      <w:pPr>
        <w:pStyle w:val="BodyText"/>
        <w:spacing w:before="240" w:after="240"/>
        <w:ind w:firstLine="720"/>
        <w:jc w:val="both"/>
        <w:rPr>
          <w:lang w:val="mk-MK"/>
        </w:rPr>
      </w:pPr>
      <w:r w:rsidRPr="00847E75">
        <w:rPr>
          <w:lang w:val="mk-MK"/>
        </w:rPr>
        <w:t>Нетранспарентноста на многу системи на вештачка интелигенција дополнително го усложнува овој проблем. Моделите на длабоко учење, обучени врз големи бази на податоци и оптимизирани за предвидувачка успешност, често не подлежат на едноставно објаснување. Како резултат на тоа, директорите можеби нема да можат да го артикулираат расудувањето зад препораките базирани на модели. Во правна смисла, ова отвора прашања слични на оние во доктрината на информирана согласност во здравството: може ли фидуцијар да тврди дека ги разбрал ризиците кога внатрешната логика на системот е неопределива дури и за неговите создавачи?</w:t>
      </w:r>
    </w:p>
    <w:p w14:paraId="0D4A6B92" w14:textId="266FECFB" w:rsidR="008A535D" w:rsidRDefault="008A535D" w:rsidP="006A617D">
      <w:pPr>
        <w:pStyle w:val="BodyText"/>
        <w:spacing w:before="240" w:after="240"/>
        <w:ind w:firstLine="720"/>
        <w:jc w:val="both"/>
        <w:rPr>
          <w:lang w:val="en-US"/>
        </w:rPr>
      </w:pPr>
      <w:r w:rsidRPr="008A535D">
        <w:rPr>
          <w:lang w:val="mk-MK"/>
        </w:rPr>
        <w:t>Ако се фокусираме на конкретно национално законодавство, според Законот за трговските друштва на Македонија, одговорноста на директорите е заснована врз единствен законски стандард што силно се приближува до рамка</w:t>
      </w:r>
      <w:r w:rsidR="00E36A63">
        <w:rPr>
          <w:lang w:val="mk-MK"/>
        </w:rPr>
        <w:t>та</w:t>
      </w:r>
      <w:r w:rsidRPr="008A535D">
        <w:rPr>
          <w:lang w:val="mk-MK"/>
        </w:rPr>
        <w:t xml:space="preserve"> на фидуцијарна должност, иако терминологијата на </w:t>
      </w:r>
      <w:r w:rsidRPr="00E36A63">
        <w:rPr>
          <w:i/>
          <w:iCs/>
          <w:lang w:val="mk-MK"/>
        </w:rPr>
        <w:t>equity</w:t>
      </w:r>
      <w:r w:rsidRPr="008A535D">
        <w:rPr>
          <w:lang w:val="mk-MK"/>
        </w:rPr>
        <w:t xml:space="preserve"> не е експлицитно употребена. Членовите на органот на управување и надзорниот одбор се должни да постапуваат во интерес на друштвото и на сите акционери и да ги вршат своите функции со внимание на уреден и совесен трговец. Овој стандард истовремено дејствува како должност на грижа и како обврска проникната со лојалност и правилна цел. Тој е објективен по природа и се оценува според професионална трговска разумност, а не само според субјективна добра волја. Со тоа, законот воспоставува мерило на однесување што е технолошки неутрално и приспособливо на современи управувачки средини, вклучително и алгоритамското одлучување.</w:t>
      </w:r>
    </w:p>
    <w:p w14:paraId="640002AB" w14:textId="77777777" w:rsidR="006D12E4" w:rsidRDefault="00354319" w:rsidP="006A617D">
      <w:pPr>
        <w:pStyle w:val="BodyText"/>
        <w:spacing w:before="240" w:after="240"/>
        <w:ind w:firstLine="720"/>
        <w:jc w:val="both"/>
        <w:rPr>
          <w:lang w:val="mk-MK"/>
        </w:rPr>
      </w:pPr>
      <w:r w:rsidRPr="00354319">
        <w:rPr>
          <w:lang w:val="mk-MK"/>
        </w:rPr>
        <w:t>Одговорност</w:t>
      </w:r>
      <w:r>
        <w:rPr>
          <w:lang w:val="mk-MK"/>
        </w:rPr>
        <w:t>а</w:t>
      </w:r>
      <w:r w:rsidRPr="00354319">
        <w:rPr>
          <w:lang w:val="mk-MK"/>
        </w:rPr>
        <w:t xml:space="preserve"> наста</w:t>
      </w:r>
      <w:r>
        <w:rPr>
          <w:lang w:val="mk-MK"/>
        </w:rPr>
        <w:t>п</w:t>
      </w:r>
      <w:r w:rsidRPr="00354319">
        <w:rPr>
          <w:lang w:val="mk-MK"/>
        </w:rPr>
        <w:t xml:space="preserve">ува кога директорите ќе ги прекршат своите обврски и нема да го исполнат овој стандард на внимание. Тие солидарно одговараат за штетата причинета на друштвото. Законот наведува конкретни облици на недозволено постапување, вклучувајќи незаконски распределби, неточно финансиско известување, недозволени исплати по несолвентност и злоупотреба на имотот на друштвото, но овие основи се </w:t>
      </w:r>
      <w:r w:rsidR="003B0C22">
        <w:rPr>
          <w:lang w:val="mk-MK"/>
        </w:rPr>
        <w:t xml:space="preserve">повеќе како </w:t>
      </w:r>
      <w:r w:rsidRPr="00354319">
        <w:rPr>
          <w:lang w:val="mk-MK"/>
        </w:rPr>
        <w:t>пример</w:t>
      </w:r>
      <w:r w:rsidR="003B0C22">
        <w:rPr>
          <w:lang w:val="mk-MK"/>
        </w:rPr>
        <w:t>и</w:t>
      </w:r>
      <w:r w:rsidRPr="00354319">
        <w:rPr>
          <w:lang w:val="mk-MK"/>
        </w:rPr>
        <w:t>, а не исцрпн</w:t>
      </w:r>
      <w:r w:rsidR="003B0C22">
        <w:rPr>
          <w:lang w:val="mk-MK"/>
        </w:rPr>
        <w:t>а листа</w:t>
      </w:r>
      <w:r w:rsidRPr="00354319">
        <w:rPr>
          <w:lang w:val="mk-MK"/>
        </w:rPr>
        <w:t xml:space="preserve">. Особено важно, членовите на надзорниот одбор можат да сносат одговорност кога не примениле должно внимание при одобрување или надзор на извршното раководење. </w:t>
      </w:r>
    </w:p>
    <w:p w14:paraId="653C1A41" w14:textId="00C0F784" w:rsidR="004702A0" w:rsidRDefault="00354319" w:rsidP="006A617D">
      <w:pPr>
        <w:pStyle w:val="BodyText"/>
        <w:spacing w:before="240" w:after="240"/>
        <w:ind w:firstLine="720"/>
        <w:jc w:val="both"/>
        <w:rPr>
          <w:lang w:val="mk-MK"/>
        </w:rPr>
      </w:pPr>
      <w:r w:rsidRPr="00354319">
        <w:rPr>
          <w:lang w:val="mk-MK"/>
        </w:rPr>
        <w:t>Побарувања можат да поведат не само друштвото, туку под одредени услови и акционерите и доверителите. Структурата, значи, е насочена кон спроведување и не толерира пасивен или формален надзор.</w:t>
      </w:r>
      <w:r w:rsidR="005B7454">
        <w:rPr>
          <w:lang w:val="mk-MK"/>
        </w:rPr>
        <w:t xml:space="preserve"> </w:t>
      </w:r>
      <w:r w:rsidR="005B7454" w:rsidRPr="005B7454">
        <w:rPr>
          <w:lang w:val="mk-MK"/>
        </w:rPr>
        <w:t xml:space="preserve">Законот дозволува потпирање врз независни советници и други стручни лица, но таквото потпирање не ги ослободува директорите од обврската да постапуваат со внимание на уреден и совесен трговец. Оваа одредба е </w:t>
      </w:r>
      <w:r w:rsidR="005B7454" w:rsidRPr="005B7454">
        <w:rPr>
          <w:lang w:val="mk-MK"/>
        </w:rPr>
        <w:lastRenderedPageBreak/>
        <w:t xml:space="preserve">доктринално пресудна за алгоритамското управување. Алгоритамските системи, модели на ризик засновани врз вештачка интелигенција, автоматизирани алатки за усогласеност и системи за поддршка на одлуки базирани на податоци веројатно би се третирале аналогно на надворешна стручна помош. Нивната употреба може да ги информира расправите на одборот, но крајната одговорност останува кај физичките лица што ја вршат функцијата. Законската рамка не содржи механизам за делегирање правна отчетност на технолошки системи. Затоа директорите мора да ги разбираат, надгледуваат и критички </w:t>
      </w:r>
      <w:r w:rsidR="002C7122">
        <w:rPr>
          <w:lang w:val="mk-MK"/>
        </w:rPr>
        <w:t xml:space="preserve">да ги </w:t>
      </w:r>
      <w:r w:rsidR="005B7454" w:rsidRPr="005B7454">
        <w:rPr>
          <w:lang w:val="mk-MK"/>
        </w:rPr>
        <w:t>оценуваат алгоритамските резултати, наместо да ги третираат како автономни носители на одлуки.</w:t>
      </w:r>
    </w:p>
    <w:p w14:paraId="5B7415E5" w14:textId="5A4320D2" w:rsidR="00B80C48" w:rsidRDefault="002C7122" w:rsidP="006A617D">
      <w:pPr>
        <w:pStyle w:val="BodyText"/>
        <w:spacing w:before="240" w:after="240"/>
        <w:ind w:firstLine="720"/>
        <w:jc w:val="both"/>
        <w:rPr>
          <w:lang w:val="mk-MK"/>
        </w:rPr>
      </w:pPr>
      <w:r>
        <w:rPr>
          <w:lang w:val="mk-MK"/>
        </w:rPr>
        <w:t>О</w:t>
      </w:r>
      <w:r w:rsidRPr="002C7122">
        <w:rPr>
          <w:lang w:val="mk-MK"/>
        </w:rPr>
        <w:t>ваа распределба на одговорност е особено значајна во контексти што се однесуваат на финансиско известување и ризик од несолвентност. Законот воспоставува структурирани обврски за известување и итни должности во случаи на значителна загуба или презадолженост. Ако алгоритамски системи создадат неточни финансиски податоци, погрешно ја пресметаат изложеноста или го одложат откривањето финансиска криза, директорите не можат да се повикаат на технолошка непрозрачност како одбрана. Поднесување невистинити финансиски извештаи или непреземање соодветни мерки при загуби предизвикува одговорност без оглед дали основната грешка потекнува од автоматизирани процеси. Законската логика е јасна</w:t>
      </w:r>
      <w:r w:rsidR="00D231AA">
        <w:rPr>
          <w:lang w:val="mk-MK"/>
        </w:rPr>
        <w:t>,</w:t>
      </w:r>
      <w:r w:rsidRPr="002C7122">
        <w:rPr>
          <w:lang w:val="mk-MK"/>
        </w:rPr>
        <w:t xml:space="preserve"> технолошкото посредување не ја намалува личната одговорност.</w:t>
      </w:r>
    </w:p>
    <w:p w14:paraId="5BCE2C1B" w14:textId="3C26BBAD" w:rsidR="00D231AA" w:rsidRDefault="00933508" w:rsidP="006A617D">
      <w:pPr>
        <w:pStyle w:val="BodyText"/>
        <w:spacing w:before="240" w:after="240"/>
        <w:ind w:firstLine="720"/>
        <w:jc w:val="both"/>
        <w:rPr>
          <w:lang w:val="mk-MK"/>
        </w:rPr>
      </w:pPr>
      <w:r w:rsidRPr="00933508">
        <w:rPr>
          <w:lang w:val="mk-MK"/>
        </w:rPr>
        <w:t xml:space="preserve">Во македонски контекст, затоа, алгоритамското управување не ја заменува фидуцијарната одговорност, туку го засилува стандардот на надзор што се очекува од директорите. Отсуството на кодифицирано заштитно правило на деловно расудување споредливо со некои </w:t>
      </w:r>
      <w:r w:rsidR="00881890">
        <w:rPr>
          <w:lang w:val="mk-MK"/>
        </w:rPr>
        <w:t>англосаксонски</w:t>
      </w:r>
      <w:r w:rsidRPr="00933508">
        <w:rPr>
          <w:lang w:val="mk-MK"/>
        </w:rPr>
        <w:t xml:space="preserve"> јурисдикции значи дека анализата директно ќе се фокусира на тоа дали директорите постапувале со потребната професионална внимателност. Слепото потпирање врз нетранспарентни модели, пропустот да се воспостават внатрешни контроли врз автоматизирани системи или недоволната технолошка писменост на ниво на одбор би можеле да се квалификуваат како повреда на стандардот на уреден и совесен трговец. Алгоритамските алатки остануваат инструменти во архитектурата на корпоративното одлучување, но не го менуваат правниот идентитет на одговорниот субјект. Според Законот за трговските друштва, само човечките носители на функции ја носат фидуцијарната изложеност, а подемот на алгоритамското одлучување ја проширува, наместо да ја стеснува сферата на директорски надзор.</w:t>
      </w:r>
    </w:p>
    <w:p w14:paraId="308CCD41" w14:textId="5B23AABB" w:rsidR="00715CF5" w:rsidRPr="00884503" w:rsidRDefault="00E8726E" w:rsidP="00715CF5">
      <w:pPr>
        <w:pStyle w:val="Heading2"/>
        <w:numPr>
          <w:ilvl w:val="1"/>
          <w:numId w:val="70"/>
        </w:numPr>
        <w:spacing w:before="0"/>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126" w:name="_Toc230523979"/>
      <w:r w:rsidR="00410DD9" w:rsidRPr="00410DD9">
        <w:rPr>
          <w:rFonts w:ascii="Times New Roman" w:hAnsi="Times New Roman" w:cs="Times New Roman"/>
          <w:b w:val="0"/>
          <w:bCs w:val="0"/>
          <w:color w:val="000000" w:themeColor="text1"/>
          <w:sz w:val="24"/>
          <w:szCs w:val="24"/>
          <w:lang w:val="mk-MK"/>
        </w:rPr>
        <w:t>Компаративни доктринарни развојни текови</w:t>
      </w:r>
      <w:bookmarkEnd w:id="126"/>
    </w:p>
    <w:p w14:paraId="711330F8" w14:textId="4BBEFB4D" w:rsidR="00715CF5" w:rsidRDefault="00410DD9" w:rsidP="00410DD9">
      <w:pPr>
        <w:pStyle w:val="BodyText"/>
        <w:spacing w:before="240" w:after="240"/>
        <w:ind w:firstLine="720"/>
        <w:jc w:val="both"/>
        <w:rPr>
          <w:lang w:val="mk-MK"/>
        </w:rPr>
      </w:pPr>
      <w:r w:rsidRPr="00410DD9">
        <w:rPr>
          <w:lang w:val="mk-MK"/>
        </w:rPr>
        <w:t>Различни правни системи започнаа да се соочуваат со прашањето за тоа каде алгоритамското управување се вкрстува со должностите на директорите. Соединетите Американски Држави, со својата развиена фидуцијарна рамка, нудат сè уште неутврдени насоки во оваа материја. Во пресрет на автоматизираните стратегии за тргување и моделите на масовни податоци кои ги користат институционалните инвеститори, научниците повикуваат на преиспитување на должноста за надзор со цел да се земат предвид алгоритамските посредници.</w:t>
      </w:r>
      <w:r w:rsidR="00144FB9">
        <w:rPr>
          <w:rStyle w:val="FootnoteReference"/>
          <w:lang w:val="mk-MK"/>
        </w:rPr>
        <w:footnoteReference w:id="930"/>
      </w:r>
      <w:r w:rsidRPr="00410DD9">
        <w:rPr>
          <w:lang w:val="mk-MK"/>
        </w:rPr>
        <w:t xml:space="preserve"> Иако судовите во Делавер сè уште не одлучиле предмет кој директно го засега алгоритамското управување на ниво на одбор, поврзаните спорови во врска со потпирањето на технички модели</w:t>
      </w:r>
      <w:r w:rsidR="006D2E68">
        <w:rPr>
          <w:lang w:val="mk-MK"/>
        </w:rPr>
        <w:t>,</w:t>
      </w:r>
      <w:r w:rsidRPr="00410DD9">
        <w:rPr>
          <w:lang w:val="mk-MK"/>
        </w:rPr>
        <w:t xml:space="preserve"> на пример, модели за проценка на ризик во финансиски институции</w:t>
      </w:r>
      <w:r w:rsidR="006D2E68">
        <w:rPr>
          <w:lang w:val="mk-MK"/>
        </w:rPr>
        <w:t>,</w:t>
      </w:r>
      <w:r w:rsidRPr="00410DD9">
        <w:rPr>
          <w:lang w:val="mk-MK"/>
        </w:rPr>
        <w:t xml:space="preserve"> укажуваат на засилена судска контрола </w:t>
      </w:r>
      <w:r w:rsidRPr="00410DD9">
        <w:rPr>
          <w:lang w:val="mk-MK"/>
        </w:rPr>
        <w:lastRenderedPageBreak/>
        <w:t>на потпирањето на директорите врз експертски системи без суштинско разбирање на нивното функционирање.</w:t>
      </w:r>
    </w:p>
    <w:p w14:paraId="4F18C5F1" w14:textId="26D8E2F0" w:rsidR="006D2E68" w:rsidRDefault="006D2E68" w:rsidP="00410DD9">
      <w:pPr>
        <w:pStyle w:val="BodyText"/>
        <w:spacing w:before="240" w:after="240"/>
        <w:ind w:firstLine="720"/>
        <w:jc w:val="both"/>
        <w:rPr>
          <w:lang w:val="mk-MK"/>
        </w:rPr>
      </w:pPr>
      <w:r w:rsidRPr="006D2E68">
        <w:rPr>
          <w:lang w:val="mk-MK"/>
        </w:rPr>
        <w:t>Во Обединетото Кралство, Кодексот за корпоративно управување нагласува дека одборот треба да се убеди во интегритетот на информациите, контролите и процесите за управување со ризици. Неодамнешните насоки на Советот за финансиско известување го потенцираат барањето одборите да ги разберат изворите и ограничувањата на клучните информации, имплицитно признавајќи дека сложените модели бараат контрола слична на онаа применлива за другите стручни оценки.</w:t>
      </w:r>
      <w:r w:rsidR="00BC75C4">
        <w:rPr>
          <w:rStyle w:val="FootnoteReference"/>
          <w:lang w:val="mk-MK"/>
        </w:rPr>
        <w:footnoteReference w:id="931"/>
      </w:r>
      <w:r w:rsidRPr="006D2E68">
        <w:rPr>
          <w:lang w:val="mk-MK"/>
        </w:rPr>
        <w:t xml:space="preserve"> Овој пристап, иако сè уште нема доктринарно обврзувачки карактер, сигнализира засилени очекувања во однос на разбирањето на автоматизираните системи од страна на директорите.</w:t>
      </w:r>
    </w:p>
    <w:p w14:paraId="4E7B308F" w14:textId="7497B52A" w:rsidR="001A3567" w:rsidRDefault="00ED4445" w:rsidP="00410DD9">
      <w:pPr>
        <w:pStyle w:val="BodyText"/>
        <w:spacing w:before="240" w:after="240"/>
        <w:ind w:firstLine="720"/>
        <w:jc w:val="both"/>
        <w:rPr>
          <w:lang w:val="mk-MK"/>
        </w:rPr>
      </w:pPr>
      <w:r w:rsidRPr="00ED4445">
        <w:rPr>
          <w:lang w:val="mk-MK"/>
        </w:rPr>
        <w:t>Правните системи на континентална Европа следат поинаков пат. Според германското право, на пример, директорите одговараат за грубо небрежно постапување, а судовите нагласиле дека соодветниот надзор и разбирање на системите за управување со ризик е суштински дел на исполнувањето на надзорните должности.</w:t>
      </w:r>
      <w:r w:rsidR="00AE5464">
        <w:rPr>
          <w:rStyle w:val="FootnoteReference"/>
          <w:lang w:val="mk-MK"/>
        </w:rPr>
        <w:footnoteReference w:id="932"/>
      </w:r>
      <w:r w:rsidRPr="00ED4445">
        <w:rPr>
          <w:lang w:val="mk-MK"/>
        </w:rPr>
        <w:t xml:space="preserve"> Барањето за обезбедување на ефективност на системите за внатрешна контрола протега и врз алгоритамските контроли, налагајќи на одборите обврска да </w:t>
      </w:r>
      <w:r w:rsidR="009F0B7A">
        <w:rPr>
          <w:lang w:val="mk-MK"/>
        </w:rPr>
        <w:t>се осигураат</w:t>
      </w:r>
      <w:r w:rsidRPr="00ED4445">
        <w:rPr>
          <w:lang w:val="mk-MK"/>
        </w:rPr>
        <w:t xml:space="preserve"> дека секое автоматизирано средство за управување е предмет на периодична ревизија и образложување.</w:t>
      </w:r>
    </w:p>
    <w:p w14:paraId="62EFF468" w14:textId="2DAEBB70" w:rsidR="009F0B7A" w:rsidRDefault="00980F4B" w:rsidP="00410DD9">
      <w:pPr>
        <w:pStyle w:val="BodyText"/>
        <w:spacing w:before="240" w:after="240"/>
        <w:ind w:firstLine="720"/>
        <w:jc w:val="both"/>
        <w:rPr>
          <w:lang w:val="mk-MK"/>
        </w:rPr>
      </w:pPr>
      <w:r w:rsidRPr="00980F4B">
        <w:rPr>
          <w:lang w:val="mk-MK"/>
        </w:rPr>
        <w:t>Истите овие земји, согледано паралелно, застапуваат сосема различни пристапи кон вклученоста на вработените во корпоративното управување. Иако придобивките од учеството на работниците во корпоративното управување далеку ги надминуваат предизвицит</w:t>
      </w:r>
      <w:r w:rsidR="005B27AA">
        <w:rPr>
          <w:lang w:val="mk-MK"/>
        </w:rPr>
        <w:t>е,</w:t>
      </w:r>
      <w:r w:rsidRPr="00980F4B">
        <w:rPr>
          <w:lang w:val="mk-MK"/>
        </w:rPr>
        <w:t xml:space="preserve"> до тој степен што одредени автори го сметаат учеството на вработените во управувањето со компаниите за едно од најзначајните достигнувања на современиот капитализам</w:t>
      </w:r>
      <w:r w:rsidR="005B27AA">
        <w:rPr>
          <w:lang w:val="mk-MK"/>
        </w:rPr>
        <w:t>,</w:t>
      </w:r>
      <w:r w:rsidR="005B27AA">
        <w:rPr>
          <w:rStyle w:val="FootnoteReference"/>
          <w:lang w:val="mk-MK"/>
        </w:rPr>
        <w:footnoteReference w:id="933"/>
      </w:r>
      <w:r w:rsidRPr="00980F4B">
        <w:rPr>
          <w:lang w:val="mk-MK"/>
        </w:rPr>
        <w:t xml:space="preserve"> одредени законодавства се покажуваат позатворени кон вклучувањето на работниците во процесите на одлучување отколку кон воведувањето на автоматизирана вештачка интелигенција.</w:t>
      </w:r>
    </w:p>
    <w:p w14:paraId="6F6A9AFC" w14:textId="4844EA55" w:rsidR="003A66E2" w:rsidRDefault="007E1CFD" w:rsidP="003A66E2">
      <w:pPr>
        <w:pStyle w:val="BodyText"/>
        <w:spacing w:before="240" w:after="240"/>
        <w:ind w:firstLine="720"/>
        <w:jc w:val="both"/>
        <w:rPr>
          <w:lang w:val="mk-MK"/>
        </w:rPr>
      </w:pPr>
      <w:r w:rsidRPr="007E1CFD">
        <w:rPr>
          <w:lang w:val="mk-MK"/>
        </w:rPr>
        <w:t>Вработените, како клучни засегнати страни, имаат суштински интерес во спречувањето на присвојување на средства или намалување на вредноста на компанијата од страна на контролни акционери, директори или менаџери.</w:t>
      </w:r>
      <w:r w:rsidR="007274BE">
        <w:rPr>
          <w:rStyle w:val="FootnoteReference"/>
          <w:lang w:val="mk-MK"/>
        </w:rPr>
        <w:footnoteReference w:id="934"/>
      </w:r>
      <w:r w:rsidRPr="007E1CFD">
        <w:rPr>
          <w:lang w:val="mk-MK"/>
        </w:rPr>
        <w:t xml:space="preserve"> Одредени теоретичари дури сугерираат дека исклучувањето на работниците од процесите на одлучување може да доведе до синдикализација и радикализација на нивните барања, </w:t>
      </w:r>
      <w:r w:rsidR="00CD5DE1">
        <w:rPr>
          <w:lang w:val="mk-MK"/>
        </w:rPr>
        <w:t>што ќе резултира со</w:t>
      </w:r>
      <w:r w:rsidRPr="007E1CFD">
        <w:rPr>
          <w:lang w:val="mk-MK"/>
        </w:rPr>
        <w:t xml:space="preserve"> поголеми трошоци за компаниит</w:t>
      </w:r>
      <w:r w:rsidR="00CD5DE1">
        <w:rPr>
          <w:lang w:val="mk-MK"/>
        </w:rPr>
        <w:t>е.</w:t>
      </w:r>
      <w:r w:rsidR="00D83AAB">
        <w:rPr>
          <w:rStyle w:val="FootnoteReference"/>
          <w:lang w:val="mk-MK"/>
        </w:rPr>
        <w:footnoteReference w:id="935"/>
      </w:r>
      <w:r w:rsidR="00CD5DE1">
        <w:rPr>
          <w:lang w:val="mk-MK"/>
        </w:rPr>
        <w:t xml:space="preserve"> И</w:t>
      </w:r>
      <w:r w:rsidRPr="007E1CFD">
        <w:rPr>
          <w:lang w:val="mk-MK"/>
        </w:rPr>
        <w:t>ако</w:t>
      </w:r>
      <w:r w:rsidR="00CD5DE1">
        <w:rPr>
          <w:lang w:val="mk-MK"/>
        </w:rPr>
        <w:t xml:space="preserve"> ова може да е</w:t>
      </w:r>
      <w:r w:rsidRPr="007E1CFD">
        <w:rPr>
          <w:lang w:val="mk-MK"/>
        </w:rPr>
        <w:t xml:space="preserve"> подобар исход за работниците, таквата состојба во глобален контекст во моментов изгледа нереалистична. Меѓутоа, успехот на работничката ко-детерминација зависи од приспособливоста на корпоративната култура, структурите на управување и специфичните цели на конкретната компанија.</w:t>
      </w:r>
      <w:r w:rsidR="000533D6">
        <w:rPr>
          <w:rStyle w:val="FootnoteReference"/>
          <w:lang w:val="mk-MK"/>
        </w:rPr>
        <w:footnoteReference w:id="936"/>
      </w:r>
      <w:r w:rsidRPr="007E1CFD">
        <w:rPr>
          <w:lang w:val="mk-MK"/>
        </w:rPr>
        <w:t xml:space="preserve"> </w:t>
      </w:r>
      <w:r w:rsidR="000533D6">
        <w:rPr>
          <w:lang w:val="mk-MK"/>
        </w:rPr>
        <w:t xml:space="preserve">Оваа тема беше дискутирана во текот на целата дисертација, но сосема накратко, </w:t>
      </w:r>
      <w:r w:rsidR="000533D6" w:rsidRPr="000533D6">
        <w:rPr>
          <w:lang w:val="mk-MK"/>
        </w:rPr>
        <w:t>оваа проблематика се развива значително побавно во споредба со сесприсутноста на автоматизираното и полуавтоматизираното одлучување.</w:t>
      </w:r>
    </w:p>
    <w:p w14:paraId="67C896A7" w14:textId="3471F8CE" w:rsidR="003A66E2" w:rsidRPr="00884503" w:rsidRDefault="003A66E2" w:rsidP="003A66E2">
      <w:pPr>
        <w:pStyle w:val="Heading2"/>
        <w:numPr>
          <w:ilvl w:val="1"/>
          <w:numId w:val="70"/>
        </w:numPr>
        <w:spacing w:before="0"/>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lastRenderedPageBreak/>
        <w:t xml:space="preserve"> </w:t>
      </w:r>
      <w:bookmarkStart w:id="127" w:name="_Toc230523980"/>
      <w:r w:rsidR="00A8035D" w:rsidRPr="00A8035D">
        <w:rPr>
          <w:rFonts w:ascii="Times New Roman" w:hAnsi="Times New Roman" w:cs="Times New Roman"/>
          <w:b w:val="0"/>
          <w:bCs w:val="0"/>
          <w:color w:val="000000" w:themeColor="text1"/>
          <w:sz w:val="24"/>
          <w:szCs w:val="24"/>
          <w:lang w:val="mk-MK"/>
        </w:rPr>
        <w:t>Регулаторни императиви за обелоденување и надзор на вештачката интелигенција</w:t>
      </w:r>
      <w:bookmarkEnd w:id="127"/>
    </w:p>
    <w:p w14:paraId="5D8AD449" w14:textId="796D2306" w:rsidR="003A66E2" w:rsidRDefault="006A3DA9" w:rsidP="006A3DA9">
      <w:pPr>
        <w:pStyle w:val="BodyText"/>
        <w:spacing w:before="240" w:after="240"/>
        <w:ind w:firstLine="720"/>
        <w:jc w:val="both"/>
        <w:rPr>
          <w:lang w:val="mk-MK"/>
        </w:rPr>
      </w:pPr>
      <w:r w:rsidRPr="006A3DA9">
        <w:rPr>
          <w:lang w:val="mk-MK"/>
        </w:rPr>
        <w:t>Од друга страна, регулаторните режими се развиваат паралелно со правната доктрина. Во Соединетите Американски Држави, Комисијата за хартии од вредност (SEC) сè повеќе се фокусира на начинот на кој корпорациите ја обелоденуваат употребата на вештачка интелигенција и алатки</w:t>
      </w:r>
      <w:r w:rsidR="00394BBC">
        <w:rPr>
          <w:lang w:val="mk-MK"/>
        </w:rPr>
        <w:t>те</w:t>
      </w:r>
      <w:r w:rsidRPr="006A3DA9">
        <w:rPr>
          <w:lang w:val="mk-MK"/>
        </w:rPr>
        <w:t xml:space="preserve"> за алгоритамско одлучување. Во 2024 година, SEC презеде извршни мерки против инвестициски советници поради неточни или </w:t>
      </w:r>
      <w:r w:rsidR="00BE2F48">
        <w:rPr>
          <w:lang w:val="mk-MK"/>
        </w:rPr>
        <w:t xml:space="preserve">тврдења што можат да </w:t>
      </w:r>
      <w:r w:rsidRPr="006A3DA9">
        <w:rPr>
          <w:lang w:val="mk-MK"/>
        </w:rPr>
        <w:t>довед</w:t>
      </w:r>
      <w:r w:rsidR="00BE2F48">
        <w:rPr>
          <w:lang w:val="mk-MK"/>
        </w:rPr>
        <w:t>ат</w:t>
      </w:r>
      <w:r w:rsidRPr="006A3DA9">
        <w:rPr>
          <w:lang w:val="mk-MK"/>
        </w:rPr>
        <w:t xml:space="preserve"> во заблуда за нивната употреба на системи на вештачка интелигенција, нагласувајќи го очекувањето дека компаниите мора да бидат транспарентни за улогата на таквите системи во советодавните и управувачките процеси. Дополнително, предлозите на SEC од 2025 година за обелоденување поврзано со вештачката интелигенција би барале од регистрираните субјекти да откриваат материјално значајни информации за нивната употреба на алгоритамски системи што суштински влијаат врз финансиските резултати, управувањето со ризик и одлучувањето на инвеститорите.</w:t>
      </w:r>
    </w:p>
    <w:p w14:paraId="50D5A131" w14:textId="1F55198D" w:rsidR="00394BBC" w:rsidRDefault="00394BBC" w:rsidP="006A3DA9">
      <w:pPr>
        <w:pStyle w:val="BodyText"/>
        <w:spacing w:before="240" w:after="240"/>
        <w:ind w:firstLine="720"/>
        <w:jc w:val="both"/>
        <w:rPr>
          <w:lang w:val="mk-MK"/>
        </w:rPr>
      </w:pPr>
      <w:r w:rsidRPr="00394BBC">
        <w:rPr>
          <w:lang w:val="mk-MK"/>
        </w:rPr>
        <w:t xml:space="preserve">На меѓународно ниво, Актот за вештачка интелигенција на Европската Унија воспоставува рамка заснована врз ризик за управување со системите на вештачка интелигенција, при што системите со висок импакт што влијаат врз </w:t>
      </w:r>
      <w:r w:rsidR="00CD6C2E">
        <w:rPr>
          <w:lang w:val="mk-MK"/>
        </w:rPr>
        <w:t>процесните</w:t>
      </w:r>
      <w:r w:rsidRPr="00394BBC">
        <w:rPr>
          <w:lang w:val="mk-MK"/>
        </w:rPr>
        <w:t xml:space="preserve"> права, безбедноста или усогласеноста се подложуваат на строги барања за документација и управување. Иако Актот за вештачка интелигенција примарно е насочен кон развивачите и применувачите, а не конкретно кон корпоративните одбори, неговиот акцент врз документацијата, човечкиот надзор и следливоста нуди доктринално релевантни принципи за корпоративното управување. Наскоро може да се очекува од одборите самите да</w:t>
      </w:r>
      <w:r w:rsidR="00A864E3">
        <w:rPr>
          <w:lang w:val="mk-MK"/>
        </w:rPr>
        <w:t xml:space="preserve"> бараат да</w:t>
      </w:r>
      <w:r w:rsidRPr="00394BBC">
        <w:rPr>
          <w:lang w:val="mk-MK"/>
        </w:rPr>
        <w:t xml:space="preserve"> се уверат дека системите со висок импакт ги исполнуваат стандардите за ризик и надзор усогласени со регулаторните очекувања. Во суштина, овие регулаторни рамки го поставуваат алгоритамското управување директно во доменот на надзорните должности на директорите.</w:t>
      </w:r>
      <w:r w:rsidR="002F7AD2">
        <w:rPr>
          <w:rStyle w:val="FootnoteReference"/>
          <w:lang w:val="mk-MK"/>
        </w:rPr>
        <w:footnoteReference w:id="937"/>
      </w:r>
    </w:p>
    <w:p w14:paraId="31FED6E7" w14:textId="1359F145" w:rsidR="003A66E2" w:rsidRPr="00884503" w:rsidRDefault="003A66E2" w:rsidP="003A66E2">
      <w:pPr>
        <w:pStyle w:val="Heading2"/>
        <w:numPr>
          <w:ilvl w:val="1"/>
          <w:numId w:val="70"/>
        </w:numPr>
        <w:spacing w:before="0"/>
        <w:rPr>
          <w:rFonts w:ascii="Times New Roman" w:hAnsi="Times New Roman" w:cs="Times New Roman"/>
          <w:b w:val="0"/>
          <w:bCs w:val="0"/>
          <w:color w:val="000000" w:themeColor="text1"/>
          <w:sz w:val="24"/>
          <w:szCs w:val="24"/>
          <w:lang w:val="mk-MK"/>
        </w:rPr>
      </w:pPr>
      <w:r>
        <w:rPr>
          <w:rFonts w:ascii="Times New Roman" w:hAnsi="Times New Roman" w:cs="Times New Roman"/>
          <w:b w:val="0"/>
          <w:bCs w:val="0"/>
          <w:color w:val="000000" w:themeColor="text1"/>
          <w:sz w:val="24"/>
          <w:szCs w:val="24"/>
          <w:lang w:val="mk-MK"/>
        </w:rPr>
        <w:t xml:space="preserve"> </w:t>
      </w:r>
      <w:bookmarkStart w:id="128" w:name="_Toc230523981"/>
      <w:r w:rsidR="001D2C67" w:rsidRPr="001D2C67">
        <w:rPr>
          <w:rFonts w:ascii="Times New Roman" w:hAnsi="Times New Roman" w:cs="Times New Roman"/>
          <w:b w:val="0"/>
          <w:bCs w:val="0"/>
          <w:color w:val="000000" w:themeColor="text1"/>
          <w:sz w:val="24"/>
          <w:szCs w:val="24"/>
          <w:lang w:val="mk-MK"/>
        </w:rPr>
        <w:t>Студија на случај за автоматизирани модели на ризик во финансиски институции</w:t>
      </w:r>
      <w:bookmarkEnd w:id="128"/>
    </w:p>
    <w:p w14:paraId="18C2813D" w14:textId="04F4ED4C" w:rsidR="003A66E2" w:rsidRDefault="001D2C67" w:rsidP="001D2C67">
      <w:pPr>
        <w:pStyle w:val="BodyText"/>
        <w:spacing w:before="240" w:after="240"/>
        <w:ind w:firstLine="720"/>
        <w:jc w:val="both"/>
        <w:rPr>
          <w:lang w:val="mk-MK"/>
        </w:rPr>
      </w:pPr>
      <w:r w:rsidRPr="001D2C67">
        <w:rPr>
          <w:lang w:val="mk-MK"/>
        </w:rPr>
        <w:t>Конкретни примери ги илустрираат доктриналните и регулаторните тензии што се појавуваат. Да се земе хипотетичко, но веројатно сценарио во кое одборот на една банка усвојува автоматизиран модел за процен</w:t>
      </w:r>
      <w:r w:rsidR="00386BA6">
        <w:rPr>
          <w:lang w:val="mk-MK"/>
        </w:rPr>
        <w:t>к</w:t>
      </w:r>
      <w:r w:rsidRPr="001D2C67">
        <w:rPr>
          <w:lang w:val="mk-MK"/>
        </w:rPr>
        <w:t>а на ризик со цел да идентификува кредитни изложености. Системот анализира илјадници податочни точки и создава класификација на ризик што ги насочува одлуките за одобрување кредити. Со текот на времето, одборот учи да им се потчинува на проценките на моделот без техничко преиспитување, прифаќајќи став дека претходната успешност на системот ја елиминира потребата од дополнителна анализа.</w:t>
      </w:r>
    </w:p>
    <w:p w14:paraId="4DED9459" w14:textId="5C799F43" w:rsidR="001C6000" w:rsidRDefault="001C6000" w:rsidP="001D2C67">
      <w:pPr>
        <w:pStyle w:val="BodyText"/>
        <w:spacing w:before="240" w:after="240"/>
        <w:ind w:firstLine="720"/>
        <w:jc w:val="both"/>
        <w:rPr>
          <w:lang w:val="mk-MK"/>
        </w:rPr>
      </w:pPr>
      <w:r w:rsidRPr="001C6000">
        <w:rPr>
          <w:lang w:val="mk-MK"/>
        </w:rPr>
        <w:t>Кога значителна група кредити класифицирани како „низок ризик“ престанува да се отплаќа поради непредвиден пазарен шок, регулаторите истражуваат дали одборот ја повредил должноста на грижа со тоа што не ги разбрал или не ги оспорил основните претпоставки на моделот. Раководителите за ризик во банката тврдат дека ги следеле најдобрите индустриски практики при воведувањето на моделот, но одборот не може да објасни како моделот вреднувал одредени варијабли</w:t>
      </w:r>
      <w:r w:rsidR="0044436B">
        <w:rPr>
          <w:lang w:val="mk-MK"/>
        </w:rPr>
        <w:t>,</w:t>
      </w:r>
      <w:r w:rsidRPr="001C6000">
        <w:rPr>
          <w:lang w:val="mk-MK"/>
        </w:rPr>
        <w:t xml:space="preserve"> ниту дали бил </w:t>
      </w:r>
      <w:r w:rsidR="0044436B">
        <w:rPr>
          <w:lang w:val="mk-MK"/>
        </w:rPr>
        <w:t>прилагоден</w:t>
      </w:r>
      <w:r w:rsidRPr="001C6000">
        <w:rPr>
          <w:lang w:val="mk-MK"/>
        </w:rPr>
        <w:t xml:space="preserve"> на макроекономски промени. Во судска постапка и регулаторен надзор, прашањето станува дали потпирањето на одборот врз непрозрачен систем без соодветен надзор претставува </w:t>
      </w:r>
      <w:r w:rsidRPr="001C6000">
        <w:rPr>
          <w:lang w:val="mk-MK"/>
        </w:rPr>
        <w:lastRenderedPageBreak/>
        <w:t>груба небрежност, особено кога резултатите на моделот биле третирани како пресудни за толеранцијата на институцијата кон ризик.</w:t>
      </w:r>
    </w:p>
    <w:p w14:paraId="372AFCA6" w14:textId="5967CAA9" w:rsidR="00D9744E" w:rsidRPr="00430FB6" w:rsidRDefault="00783D12" w:rsidP="00AC3BEF">
      <w:pPr>
        <w:pStyle w:val="BodyText"/>
        <w:spacing w:before="240" w:after="240"/>
        <w:ind w:firstLine="720"/>
        <w:jc w:val="both"/>
        <w:rPr>
          <w:lang w:val="mk-MK"/>
        </w:rPr>
      </w:pPr>
      <w:r>
        <w:rPr>
          <w:lang w:val="mk-MK"/>
        </w:rPr>
        <w:t>Овој пример на хипотетичка студија</w:t>
      </w:r>
      <w:r w:rsidRPr="00783D12">
        <w:rPr>
          <w:lang w:val="mk-MK"/>
        </w:rPr>
        <w:t xml:space="preserve"> на случај покажува како алгоритамското управување се пресекува со основните фидуцијарни норми. </w:t>
      </w:r>
      <w:r>
        <w:rPr>
          <w:lang w:val="mk-MK"/>
        </w:rPr>
        <w:t>Воедно,</w:t>
      </w:r>
      <w:r w:rsidRPr="00783D12">
        <w:rPr>
          <w:lang w:val="mk-MK"/>
        </w:rPr>
        <w:t xml:space="preserve"> ги нагласува ограничувањата на едноставното третирање на алгоритамските системи како „стручни алатки“ слични на </w:t>
      </w:r>
      <w:r w:rsidR="00AC3BEF">
        <w:rPr>
          <w:lang w:val="mk-MK"/>
        </w:rPr>
        <w:t>ексел</w:t>
      </w:r>
      <w:r w:rsidRPr="00783D12">
        <w:rPr>
          <w:lang w:val="mk-MK"/>
        </w:rPr>
        <w:t xml:space="preserve"> табели. За разлика од традиционалните облици на експертиза, моделите на машинско учење можат да еволуираат, повторно да ги </w:t>
      </w:r>
      <w:r w:rsidR="00CB73AD">
        <w:rPr>
          <w:lang w:val="mk-MK"/>
        </w:rPr>
        <w:t xml:space="preserve">толкуваат </w:t>
      </w:r>
      <w:r w:rsidRPr="00783D12">
        <w:rPr>
          <w:lang w:val="mk-MK"/>
        </w:rPr>
        <w:t>варијаблите и да реагираат на податоци на начини што не се однапред артикулирани. Во отсуство на јасна документација и разбирање на ниво на одбор, директорите можат да се најдат во положба да не можат да ги оправдаат своите одлуки на начин усогласен со воспоставените фидуцијарни стандарди.</w:t>
      </w:r>
    </w:p>
    <w:p w14:paraId="2CFF4E6D" w14:textId="5C69AE9A" w:rsidR="00CB73AD" w:rsidRPr="004C687E" w:rsidRDefault="004C687E" w:rsidP="00172F30">
      <w:pPr>
        <w:pStyle w:val="Heading1"/>
        <w:numPr>
          <w:ilvl w:val="0"/>
          <w:numId w:val="70"/>
        </w:numPr>
        <w:spacing w:after="240"/>
        <w:jc w:val="both"/>
      </w:pPr>
      <w:bookmarkStart w:id="129" w:name="_Toc230523982"/>
      <w:r w:rsidRPr="004C687E">
        <w:t>Акционерски</w:t>
      </w:r>
      <w:r>
        <w:rPr>
          <w:lang w:val="mk-MK"/>
        </w:rPr>
        <w:t>те</w:t>
      </w:r>
      <w:r w:rsidRPr="004C687E">
        <w:t xml:space="preserve"> права и учество</w:t>
      </w:r>
      <w:r>
        <w:rPr>
          <w:lang w:val="mk-MK"/>
        </w:rPr>
        <w:t>то на вработените</w:t>
      </w:r>
      <w:r w:rsidRPr="004C687E">
        <w:t xml:space="preserve"> под алгоритамско управување</w:t>
      </w:r>
      <w:bookmarkEnd w:id="129"/>
    </w:p>
    <w:p w14:paraId="4B95B0B3" w14:textId="28CEF9A7" w:rsidR="004C687E" w:rsidRDefault="008E6F3E" w:rsidP="008E6F3E">
      <w:pPr>
        <w:pStyle w:val="BodyText"/>
        <w:spacing w:before="240" w:after="240"/>
        <w:ind w:firstLine="720"/>
        <w:jc w:val="both"/>
        <w:rPr>
          <w:lang w:val="mk-MK"/>
        </w:rPr>
      </w:pPr>
      <w:r w:rsidRPr="008E6F3E">
        <w:rPr>
          <w:lang w:val="mk-MK"/>
        </w:rPr>
        <w:t xml:space="preserve">Цитатот од </w:t>
      </w:r>
      <w:r w:rsidR="00DD5A0E">
        <w:rPr>
          <w:lang w:val="mk-MK"/>
        </w:rPr>
        <w:t>пред речиси половина век „</w:t>
      </w:r>
      <w:r w:rsidR="00241DA9" w:rsidRPr="00241DA9">
        <w:rPr>
          <w:lang w:val="mk-MK"/>
        </w:rPr>
        <w:t>Компјутерот никогаш не може да биде одговорен; затоа, компјутерот никогаш не смее да донесува менаџерски одлуки</w:t>
      </w:r>
      <w:r w:rsidR="00DD5A0E">
        <w:rPr>
          <w:lang w:val="mk-MK"/>
        </w:rPr>
        <w:t>“</w:t>
      </w:r>
      <w:r w:rsidR="00241DA9">
        <w:rPr>
          <w:lang w:val="en-US"/>
        </w:rPr>
        <w:t>,</w:t>
      </w:r>
      <w:r w:rsidR="00241DA9">
        <w:rPr>
          <w:rStyle w:val="FootnoteReference"/>
          <w:lang w:val="en-US"/>
        </w:rPr>
        <w:footnoteReference w:id="938"/>
      </w:r>
      <w:r w:rsidRPr="008E6F3E">
        <w:rPr>
          <w:lang w:val="mk-MK"/>
        </w:rPr>
        <w:t xml:space="preserve"> покажува дека уште во 1979 година, внатрешните корпоративни материјали на IBM артикулирале загриженост што и денес звучи исклучително современо. Таа изјава опфатила темелна интуиција на корпоративното управување дека овластувањето за донесување одлуки мора да остане поврзано со препознатливи и отчетни човечки актери. Иако првично </w:t>
      </w:r>
      <w:r w:rsidR="0048606F">
        <w:rPr>
          <w:lang w:val="mk-MK"/>
        </w:rPr>
        <w:t xml:space="preserve">изјавата </w:t>
      </w:r>
      <w:r w:rsidRPr="008E6F3E">
        <w:rPr>
          <w:lang w:val="mk-MK"/>
        </w:rPr>
        <w:t>била насочена кон менаџерското одлучување, истата логика со еднаква сила се применува и врз акционерското учество. Акционерските права, особено правото на глас и правото на вклучување, почиваат врз идејата дека економската сопственост се претвора во суштински глас во рамки на корпоративните структури. Алгоритамското управување ја усложнува оваа трансформација со тоа што поставува автоматизирани системи помеѓу акционерите и исходите на корпоративното одлучување.</w:t>
      </w:r>
    </w:p>
    <w:p w14:paraId="4026AFFD" w14:textId="6EC6B5BA" w:rsidR="00216C93" w:rsidRDefault="00216C93" w:rsidP="008E6F3E">
      <w:pPr>
        <w:pStyle w:val="BodyText"/>
        <w:spacing w:before="240" w:after="240"/>
        <w:ind w:firstLine="720"/>
        <w:jc w:val="both"/>
        <w:rPr>
          <w:lang w:val="mk-MK"/>
        </w:rPr>
      </w:pPr>
      <w:r w:rsidRPr="00216C93">
        <w:rPr>
          <w:lang w:val="mk-MK"/>
        </w:rPr>
        <w:t>Во современите пазари на капитал, акционерското учество сè повеќе е посредувано преку алгоритамски инфраструктури. Институционалните инвеститори се потпираат на автоматизирани системи за гласање преку полномошник, алатки за ангажман засновани врз податоци и алгоритамски платформи, со цел да обработуваат илјадници предлози низ глобални портфолија. Како резултат на тоа, остварувањето на акционерските права повеќе не е претежно чин на расправа од препознатливи поединци, туку функција на компјутерски системи оптимизирани за обем, конзистентност и ефикасност. Едно од најзначајните места на алгоритамско управување е гласањето преку полномошник. Советодавните компании за гласање и институционалните инвеститори користат алгоритамски модели за создавање препораки за гласање врз основа на однапред определени критериуми на управување, историски модели на гласање и ESG показатели. Во многу случаи, овие препораки се извршуваат автоматски или со минимална човечка проверка.</w:t>
      </w:r>
    </w:p>
    <w:p w14:paraId="25690CAF" w14:textId="489B914A" w:rsidR="000439FB" w:rsidRDefault="00D53DA2" w:rsidP="008E6F3E">
      <w:pPr>
        <w:pStyle w:val="BodyText"/>
        <w:spacing w:before="240" w:after="240"/>
        <w:ind w:firstLine="720"/>
        <w:jc w:val="both"/>
        <w:rPr>
          <w:lang w:val="mk-MK"/>
        </w:rPr>
      </w:pPr>
      <w:r w:rsidRPr="00D53DA2">
        <w:rPr>
          <w:lang w:val="mk-MK"/>
        </w:rPr>
        <w:t xml:space="preserve">Од доктринална перспектива, ова отвора две меѓусебно поврзани прашања. Прво, акционерските гласачки права формално ги вршат акционерите, но суштински се обликувани од алгоритми што определуваат како ќе бидат дадени гласовите. Второ, </w:t>
      </w:r>
      <w:r w:rsidRPr="00D53DA2">
        <w:rPr>
          <w:lang w:val="mk-MK"/>
        </w:rPr>
        <w:lastRenderedPageBreak/>
        <w:t>одговорноста за гласачките одлуки станува дифузна. Кога гласот е даден согласно автоматизирана политика, нејасно е дали одговорноста лежи кај крајниот сопственик, управувачот со средства, советодавната компанија за гласање или самиот систем.</w:t>
      </w:r>
      <w:r w:rsidR="00352958">
        <w:rPr>
          <w:lang w:val="mk-MK"/>
        </w:rPr>
        <w:t xml:space="preserve"> На пример, пластично </w:t>
      </w:r>
      <w:r w:rsidR="00601CF9">
        <w:rPr>
          <w:lang w:val="mk-MK"/>
        </w:rPr>
        <w:t>прикажано, процесот на креирање на бизнис стратегија на акционерското друштво со помош на ВИ, би изгледал вака:</w:t>
      </w:r>
    </w:p>
    <w:p w14:paraId="7A22389A" w14:textId="7137D103" w:rsidR="00417EAE" w:rsidRDefault="00B8494A" w:rsidP="00352958">
      <w:pPr>
        <w:pStyle w:val="BodyText"/>
        <w:spacing w:before="240" w:after="240"/>
        <w:ind w:firstLine="720"/>
        <w:rPr>
          <w:lang w:val="en-US"/>
        </w:rPr>
      </w:pPr>
      <w:r>
        <w:rPr>
          <w:noProof/>
        </w:rPr>
        <w:drawing>
          <wp:inline distT="0" distB="0" distL="0" distR="0" wp14:anchorId="055A5A87" wp14:editId="535B6137">
            <wp:extent cx="4843246" cy="3476625"/>
            <wp:effectExtent l="0" t="0" r="0" b="0"/>
            <wp:docPr id="846290065" name="Picture 1" descr="A flowchart of artificial intelligence (AI) decision‐ma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owchart of artificial intelligence (AI) decision‐making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5943" cy="3478561"/>
                    </a:xfrm>
                    <a:prstGeom prst="rect">
                      <a:avLst/>
                    </a:prstGeom>
                    <a:noFill/>
                    <a:ln>
                      <a:noFill/>
                    </a:ln>
                  </pic:spPr>
                </pic:pic>
              </a:graphicData>
            </a:graphic>
          </wp:inline>
        </w:drawing>
      </w:r>
    </w:p>
    <w:p w14:paraId="0D435B41" w14:textId="331CE8C3" w:rsidR="00E20732" w:rsidRPr="00D52194" w:rsidRDefault="00E20732" w:rsidP="00352958">
      <w:pPr>
        <w:ind w:left="-810" w:firstLine="810"/>
        <w:jc w:val="center"/>
        <w:rPr>
          <w:i/>
          <w:iCs/>
          <w:sz w:val="24"/>
          <w:szCs w:val="24"/>
          <w:lang w:val="mk-MK"/>
        </w:rPr>
      </w:pPr>
      <w:r w:rsidRPr="00D52194">
        <w:rPr>
          <w:i/>
          <w:iCs/>
          <w:sz w:val="24"/>
          <w:szCs w:val="24"/>
          <w:lang w:val="mk-MK"/>
        </w:rPr>
        <w:t>Извор: истражувањето и податоците изнесени во докторската дисертација.</w:t>
      </w:r>
    </w:p>
    <w:p w14:paraId="64E561B4" w14:textId="5BAA60F1" w:rsidR="00E20732" w:rsidRDefault="006A53F5" w:rsidP="006A53F5">
      <w:pPr>
        <w:pStyle w:val="BodyText"/>
        <w:spacing w:before="240" w:after="240"/>
        <w:ind w:firstLine="720"/>
        <w:jc w:val="both"/>
        <w:rPr>
          <w:lang w:val="mk-MK"/>
        </w:rPr>
      </w:pPr>
      <w:r w:rsidRPr="006A53F5">
        <w:rPr>
          <w:lang w:val="mk-MK"/>
        </w:rPr>
        <w:t xml:space="preserve">Компаративно гледано, јурисдикциите се разликуваат во пристапот кон овој проблем. Во Соединетите Американски Држави, гласањето преку полномошник првенствено се третира како прашање на фидуцијарна обврска што управувачите со средства ја должат кон своите клиенти, при што обврските за обелоденување ги спроведува Комисијата за хартии од вредност. Во Европската Унија, поновите регулаторни иницијативи ставаат акцент врз транспарентност и </w:t>
      </w:r>
      <w:r w:rsidR="00932937">
        <w:rPr>
          <w:lang w:val="mk-MK"/>
        </w:rPr>
        <w:t xml:space="preserve">таканаречениот систем на </w:t>
      </w:r>
      <w:r w:rsidRPr="006A53F5">
        <w:rPr>
          <w:lang w:val="mk-MK"/>
        </w:rPr>
        <w:t>stewardship, но не одат до степен директно да ги регулираат алгоритамските системи за гласање како такви. Во двата системи, сепак, правото претпоставува дека гласачките одлуки можат да бидат објаснети и оправдани. Алгоритамското гласање ја доведува во прашање оваа претпоставка, бидејќи причините за конкретните гласачки исходи стануваат нетранспарентни или несведливи на човечко расудување.</w:t>
      </w:r>
      <w:r w:rsidR="002C41DC">
        <w:rPr>
          <w:rStyle w:val="FootnoteReference"/>
          <w:lang w:val="mk-MK"/>
        </w:rPr>
        <w:footnoteReference w:id="939"/>
      </w:r>
      <w:r>
        <w:rPr>
          <w:lang w:val="mk-MK"/>
        </w:rPr>
        <w:t xml:space="preserve"> </w:t>
      </w:r>
    </w:p>
    <w:p w14:paraId="48FDF609" w14:textId="77777777" w:rsidR="00A31964" w:rsidRDefault="00DF4907" w:rsidP="006A53F5">
      <w:pPr>
        <w:pStyle w:val="BodyText"/>
        <w:spacing w:before="240" w:after="240"/>
        <w:ind w:firstLine="720"/>
        <w:jc w:val="both"/>
        <w:rPr>
          <w:lang w:val="mk-MK"/>
        </w:rPr>
      </w:pPr>
      <w:r w:rsidRPr="00DF4907">
        <w:rPr>
          <w:lang w:val="mk-MK"/>
        </w:rPr>
        <w:t xml:space="preserve">Корпоративното право традиционално го поима акционерското учество како процес на расправа, дури и ако </w:t>
      </w:r>
      <w:r w:rsidR="004725D3">
        <w:rPr>
          <w:lang w:val="mk-MK"/>
        </w:rPr>
        <w:t xml:space="preserve">истиот </w:t>
      </w:r>
      <w:r w:rsidRPr="00DF4907">
        <w:rPr>
          <w:lang w:val="mk-MK"/>
        </w:rPr>
        <w:t>во практика е несовршен. Генералните собранија, правата на информирање и гласачките постапки се структурирани околу идејата дека акционерите можат да ги оценуваат предлозите, да изразат несогласување и да влијаат врз исходите. Алгоритамското посредување ризикува да го испразни ова расправно јадро.</w:t>
      </w:r>
      <w:r w:rsidR="00A31964" w:rsidRPr="00A31964">
        <w:t xml:space="preserve"> </w:t>
      </w:r>
      <w:r w:rsidR="00A31964" w:rsidRPr="00A31964">
        <w:rPr>
          <w:lang w:val="mk-MK"/>
        </w:rPr>
        <w:t xml:space="preserve">Кога гласачките одлуки се создаваат од автоматизирани системи, учеството може формално да опстои, додека расправата суштински исчезнува. Акционерите остануваат </w:t>
      </w:r>
      <w:r w:rsidR="00A31964" w:rsidRPr="00A31964">
        <w:rPr>
          <w:lang w:val="mk-MK"/>
        </w:rPr>
        <w:lastRenderedPageBreak/>
        <w:t xml:space="preserve">носители на права, но нивната дејственост се врши преку однапред конфигурирани компјутерски логики што ја ставаат ефикасноста пред контекстуалното расудување. </w:t>
      </w:r>
    </w:p>
    <w:p w14:paraId="38885C9F" w14:textId="1BB5DDA3" w:rsidR="002C41DC" w:rsidRDefault="00A31964" w:rsidP="006A53F5">
      <w:pPr>
        <w:pStyle w:val="BodyText"/>
        <w:spacing w:before="240" w:after="240"/>
        <w:ind w:firstLine="720"/>
        <w:jc w:val="both"/>
        <w:rPr>
          <w:lang w:val="mk-MK"/>
        </w:rPr>
      </w:pPr>
      <w:r w:rsidRPr="00A31964">
        <w:rPr>
          <w:lang w:val="mk-MK"/>
        </w:rPr>
        <w:t>Ова создава состојба што може да се опише како учество без расправа, односно систем во кој гласови се даваат, но ниту еден актер суштински не се занимава со прашањата што се предмет на одлучување. Овој развој отвора нормативни прашања за легитимноста. Ако акционерскиот глас е централен за оправдувањето на корпоративната власт, тогаш управувачките структури што систематски го заменуваат човечкото расудување со алгоритамско извршување ризикуваат да ја поткопаат демократската логика вградена во корпоративното право. Така, максимата на IBM повторно се појавува во нов облик: ако алгоритмите не можат да бидат повикани на одговорност, дали треба да им биде дозволено масовно да вршат акционерска моќ?</w:t>
      </w:r>
      <w:r w:rsidR="004B2123">
        <w:rPr>
          <w:lang w:val="mk-MK"/>
        </w:rPr>
        <w:t xml:space="preserve"> Да ја земеме предвид на пример следната табела. </w:t>
      </w:r>
    </w:p>
    <w:tbl>
      <w:tblPr>
        <w:tblStyle w:val="TableGrid"/>
        <w:tblW w:w="0" w:type="auto"/>
        <w:tblInd w:w="715" w:type="dxa"/>
        <w:tblLook w:val="04A0" w:firstRow="1" w:lastRow="0" w:firstColumn="1" w:lastColumn="0" w:noHBand="0" w:noVBand="1"/>
      </w:tblPr>
      <w:tblGrid>
        <w:gridCol w:w="7560"/>
      </w:tblGrid>
      <w:tr w:rsidR="003B482B" w14:paraId="461E9EC2" w14:textId="77777777" w:rsidTr="00CE59D0">
        <w:trPr>
          <w:trHeight w:val="1610"/>
        </w:trPr>
        <w:tc>
          <w:tcPr>
            <w:tcW w:w="7560" w:type="dxa"/>
          </w:tcPr>
          <w:p w14:paraId="6AF8764C" w14:textId="77777777" w:rsidR="004B2123" w:rsidRDefault="004B2123" w:rsidP="00CE59D0">
            <w:pPr>
              <w:pStyle w:val="BodyText"/>
              <w:spacing w:before="240"/>
              <w:jc w:val="center"/>
              <w:rPr>
                <w:lang w:val="mk-MK"/>
              </w:rPr>
            </w:pPr>
            <w:r w:rsidRPr="004B2123">
              <w:rPr>
                <w:lang w:val="mk-MK"/>
              </w:rPr>
              <w:t xml:space="preserve">ФОРМАЛНИ АКЦИОНЕРСКИ ПРАВА </w:t>
            </w:r>
          </w:p>
          <w:p w14:paraId="03DE976C" w14:textId="25A5F6C4" w:rsidR="003B482B" w:rsidRPr="004B2123" w:rsidRDefault="004B2123" w:rsidP="00CE59D0">
            <w:pPr>
              <w:pStyle w:val="BodyText"/>
              <w:spacing w:before="240"/>
              <w:jc w:val="center"/>
              <w:rPr>
                <w:lang w:val="mk-MK"/>
              </w:rPr>
            </w:pPr>
            <w:r w:rsidRPr="004B2123">
              <w:rPr>
                <w:lang w:val="mk-MK"/>
              </w:rPr>
              <w:t>(гласање, информирање, ангажман)</w:t>
            </w:r>
          </w:p>
          <w:p w14:paraId="470FD9AD" w14:textId="77777777" w:rsidR="003B482B" w:rsidRDefault="003B482B" w:rsidP="00CE59D0">
            <w:pPr>
              <w:pStyle w:val="BodyText"/>
              <w:spacing w:before="240"/>
              <w:jc w:val="center"/>
              <w:rPr>
                <w:lang w:val="en-US"/>
              </w:rPr>
            </w:pPr>
            <w:r w:rsidRPr="005D0A77">
              <w:rPr>
                <w:lang w:val="en-US"/>
              </w:rPr>
              <w:t>↓</w:t>
            </w:r>
          </w:p>
        </w:tc>
      </w:tr>
      <w:tr w:rsidR="003B482B" w14:paraId="0DB7B784" w14:textId="77777777" w:rsidTr="00CE59D0">
        <w:trPr>
          <w:trHeight w:val="1610"/>
        </w:trPr>
        <w:tc>
          <w:tcPr>
            <w:tcW w:w="7560" w:type="dxa"/>
          </w:tcPr>
          <w:p w14:paraId="1FBD5B4F" w14:textId="29C748D9" w:rsidR="003B482B" w:rsidRPr="00446F1F" w:rsidRDefault="00446F1F" w:rsidP="00CE59D0">
            <w:pPr>
              <w:pStyle w:val="BodyText"/>
              <w:spacing w:before="240"/>
              <w:jc w:val="center"/>
              <w:rPr>
                <w:lang w:val="mk-MK"/>
              </w:rPr>
            </w:pPr>
            <w:r w:rsidRPr="00446F1F">
              <w:rPr>
                <w:lang w:val="mk-MK"/>
              </w:rPr>
              <w:t>ИНСТИТУЦИОНАЛНО ПОСРЕДУВАЊЕ</w:t>
            </w:r>
          </w:p>
          <w:p w14:paraId="3E64AF94" w14:textId="7E501408" w:rsidR="003B482B" w:rsidRPr="005D0A77" w:rsidRDefault="003B482B" w:rsidP="00CE59D0">
            <w:pPr>
              <w:pStyle w:val="BodyText"/>
              <w:spacing w:before="240"/>
              <w:jc w:val="center"/>
              <w:rPr>
                <w:lang w:val="en-US"/>
              </w:rPr>
            </w:pPr>
            <w:r w:rsidRPr="005D0A77">
              <w:rPr>
                <w:lang w:val="en-US"/>
              </w:rPr>
              <w:t>(</w:t>
            </w:r>
            <w:r w:rsidR="00446F1F" w:rsidRPr="00446F1F">
              <w:rPr>
                <w:lang w:val="mk-MK"/>
              </w:rPr>
              <w:t>управувачи со средства, советодавни компании за гласање</w:t>
            </w:r>
            <w:r w:rsidRPr="005D0A77">
              <w:rPr>
                <w:lang w:val="en-US"/>
              </w:rPr>
              <w:t>)</w:t>
            </w:r>
          </w:p>
          <w:p w14:paraId="37B09E5A" w14:textId="77777777" w:rsidR="003B482B" w:rsidRDefault="003B482B" w:rsidP="00CE59D0">
            <w:pPr>
              <w:pStyle w:val="BodyText"/>
              <w:spacing w:before="240"/>
              <w:jc w:val="center"/>
              <w:rPr>
                <w:lang w:val="en-US"/>
              </w:rPr>
            </w:pPr>
            <w:r w:rsidRPr="005D0A77">
              <w:rPr>
                <w:lang w:val="en-US"/>
              </w:rPr>
              <w:t>↓</w:t>
            </w:r>
          </w:p>
        </w:tc>
      </w:tr>
      <w:tr w:rsidR="003B482B" w14:paraId="31B7FBD3" w14:textId="77777777" w:rsidTr="00444AE8">
        <w:trPr>
          <w:trHeight w:val="1952"/>
        </w:trPr>
        <w:tc>
          <w:tcPr>
            <w:tcW w:w="7560" w:type="dxa"/>
          </w:tcPr>
          <w:p w14:paraId="5C080E1B" w14:textId="52387E1C" w:rsidR="003B482B" w:rsidRPr="00444AE8" w:rsidRDefault="00444AE8" w:rsidP="00CE59D0">
            <w:pPr>
              <w:pStyle w:val="BodyText"/>
              <w:spacing w:before="240"/>
              <w:jc w:val="center"/>
              <w:rPr>
                <w:lang w:val="mk-MK"/>
              </w:rPr>
            </w:pPr>
            <w:r w:rsidRPr="00444AE8">
              <w:rPr>
                <w:lang w:val="mk-MK"/>
              </w:rPr>
              <w:t>АЛГОРИТАМСКО ПОСРЕДУВАЊЕ</w:t>
            </w:r>
          </w:p>
          <w:p w14:paraId="3C1202C4" w14:textId="6ABB95E3" w:rsidR="003B482B" w:rsidRPr="005D0A77" w:rsidRDefault="003B482B" w:rsidP="00CE59D0">
            <w:pPr>
              <w:pStyle w:val="BodyText"/>
              <w:spacing w:before="240"/>
              <w:jc w:val="center"/>
              <w:rPr>
                <w:lang w:val="en-US"/>
              </w:rPr>
            </w:pPr>
            <w:r w:rsidRPr="005D0A77">
              <w:rPr>
                <w:lang w:val="en-US"/>
              </w:rPr>
              <w:t>(</w:t>
            </w:r>
            <w:r w:rsidR="00444AE8" w:rsidRPr="00444AE8">
              <w:rPr>
                <w:lang w:val="mk-MK"/>
              </w:rPr>
              <w:t>модели за гласање, ESG системи за оценување, автоматизирано извршување</w:t>
            </w:r>
            <w:r w:rsidRPr="005D0A77">
              <w:rPr>
                <w:lang w:val="en-US"/>
              </w:rPr>
              <w:t>)</w:t>
            </w:r>
          </w:p>
          <w:p w14:paraId="1A00F4B1" w14:textId="77777777" w:rsidR="003B482B" w:rsidRDefault="003B482B" w:rsidP="00CE59D0">
            <w:pPr>
              <w:pStyle w:val="BodyText"/>
              <w:spacing w:before="240"/>
              <w:jc w:val="center"/>
              <w:rPr>
                <w:lang w:val="en-US"/>
              </w:rPr>
            </w:pPr>
            <w:r w:rsidRPr="005D0A77">
              <w:rPr>
                <w:lang w:val="en-US"/>
              </w:rPr>
              <w:t>↓</w:t>
            </w:r>
          </w:p>
        </w:tc>
      </w:tr>
      <w:tr w:rsidR="003B482B" w14:paraId="580289DF" w14:textId="77777777" w:rsidTr="00CE59D0">
        <w:trPr>
          <w:trHeight w:val="1610"/>
        </w:trPr>
        <w:tc>
          <w:tcPr>
            <w:tcW w:w="7560" w:type="dxa"/>
          </w:tcPr>
          <w:p w14:paraId="7A44991A" w14:textId="43C14B51" w:rsidR="003B482B" w:rsidRPr="000A0780" w:rsidRDefault="000A0780" w:rsidP="00CE59D0">
            <w:pPr>
              <w:pStyle w:val="BodyText"/>
              <w:spacing w:before="240"/>
              <w:jc w:val="center"/>
              <w:rPr>
                <w:lang w:val="mk-MK"/>
              </w:rPr>
            </w:pPr>
            <w:r w:rsidRPr="000A0780">
              <w:rPr>
                <w:lang w:val="mk-MK"/>
              </w:rPr>
              <w:t>ГЛАСАЧКИ ИСХОДИ</w:t>
            </w:r>
          </w:p>
          <w:p w14:paraId="34B27747" w14:textId="01DA7CAF" w:rsidR="003B482B" w:rsidRPr="005D0A77" w:rsidRDefault="003B482B" w:rsidP="00CE59D0">
            <w:pPr>
              <w:pStyle w:val="BodyText"/>
              <w:spacing w:before="240"/>
              <w:jc w:val="center"/>
              <w:rPr>
                <w:lang w:val="en-US"/>
              </w:rPr>
            </w:pPr>
            <w:r w:rsidRPr="005D0A77">
              <w:rPr>
                <w:lang w:val="en-US"/>
              </w:rPr>
              <w:t>(</w:t>
            </w:r>
            <w:r w:rsidR="000A0780" w:rsidRPr="000A0780">
              <w:rPr>
                <w:lang w:val="mk-MK"/>
              </w:rPr>
              <w:t>усвоени или одбиени</w:t>
            </w:r>
            <w:r w:rsidR="000A0780">
              <w:rPr>
                <w:lang w:val="mk-MK"/>
              </w:rPr>
              <w:t xml:space="preserve"> предлози</w:t>
            </w:r>
            <w:r w:rsidRPr="005D0A77">
              <w:rPr>
                <w:lang w:val="en-US"/>
              </w:rPr>
              <w:t>)</w:t>
            </w:r>
          </w:p>
          <w:p w14:paraId="3D96A9F2" w14:textId="77777777" w:rsidR="003B482B" w:rsidRDefault="003B482B" w:rsidP="00CE59D0">
            <w:pPr>
              <w:pStyle w:val="BodyText"/>
              <w:spacing w:before="240"/>
              <w:jc w:val="center"/>
              <w:rPr>
                <w:lang w:val="en-US"/>
              </w:rPr>
            </w:pPr>
            <w:r w:rsidRPr="005D0A77">
              <w:rPr>
                <w:lang w:val="en-US"/>
              </w:rPr>
              <w:t>↓</w:t>
            </w:r>
          </w:p>
        </w:tc>
      </w:tr>
      <w:tr w:rsidR="003B482B" w14:paraId="0EC554A3" w14:textId="77777777" w:rsidTr="00CE59D0">
        <w:trPr>
          <w:trHeight w:val="1160"/>
        </w:trPr>
        <w:tc>
          <w:tcPr>
            <w:tcW w:w="7560" w:type="dxa"/>
          </w:tcPr>
          <w:p w14:paraId="74700B7F" w14:textId="35E466E5" w:rsidR="003B482B" w:rsidRPr="000A0780" w:rsidRDefault="000A0780" w:rsidP="00CE59D0">
            <w:pPr>
              <w:pStyle w:val="BodyText"/>
              <w:spacing w:before="240"/>
              <w:jc w:val="center"/>
              <w:rPr>
                <w:lang w:val="mk-MK"/>
              </w:rPr>
            </w:pPr>
            <w:r w:rsidRPr="000A0780">
              <w:rPr>
                <w:lang w:val="mk-MK"/>
              </w:rPr>
              <w:t>ЕФЕКТИ ВРЗ УПРАВУВАЊЕТО</w:t>
            </w:r>
          </w:p>
          <w:p w14:paraId="0975FF07" w14:textId="49F6E139" w:rsidR="003B482B" w:rsidRDefault="003B482B" w:rsidP="00CE59D0">
            <w:pPr>
              <w:pStyle w:val="BodyText"/>
              <w:spacing w:before="240"/>
              <w:jc w:val="center"/>
              <w:rPr>
                <w:lang w:val="en-US"/>
              </w:rPr>
            </w:pPr>
            <w:r w:rsidRPr="005D0A77">
              <w:rPr>
                <w:lang w:val="en-US"/>
              </w:rPr>
              <w:t>(</w:t>
            </w:r>
            <w:r w:rsidR="003016E2" w:rsidRPr="003016E2">
              <w:rPr>
                <w:lang w:val="mk-MK"/>
              </w:rPr>
              <w:t>состав на одбор, стратегија, структури на отчетност</w:t>
            </w:r>
            <w:r w:rsidRPr="005D0A77">
              <w:rPr>
                <w:lang w:val="en-US"/>
              </w:rPr>
              <w:t>)</w:t>
            </w:r>
          </w:p>
        </w:tc>
      </w:tr>
    </w:tbl>
    <w:p w14:paraId="0CDD1ACA" w14:textId="08416916" w:rsidR="00F878C0" w:rsidRDefault="00446F1F" w:rsidP="00446F1F">
      <w:pPr>
        <w:pStyle w:val="BodyText"/>
        <w:spacing w:before="240" w:after="240"/>
        <w:jc w:val="center"/>
        <w:rPr>
          <w:lang w:val="mk-MK"/>
        </w:rPr>
      </w:pPr>
      <w:r w:rsidRPr="00D52194">
        <w:rPr>
          <w:i/>
          <w:iCs/>
          <w:lang w:val="mk-MK"/>
        </w:rPr>
        <w:t>Извор: истражувањето и податоците изнесени во докторската дисертација</w:t>
      </w:r>
    </w:p>
    <w:p w14:paraId="55E1A947" w14:textId="64EDD3E6" w:rsidR="00A31964" w:rsidRDefault="003016E2" w:rsidP="003016E2">
      <w:pPr>
        <w:pStyle w:val="BodyText"/>
        <w:spacing w:before="240" w:after="240"/>
        <w:ind w:firstLine="720"/>
        <w:jc w:val="both"/>
        <w:rPr>
          <w:lang w:val="mk-MK"/>
        </w:rPr>
      </w:pPr>
      <w:r>
        <w:rPr>
          <w:lang w:val="mk-MK"/>
        </w:rPr>
        <w:t>И</w:t>
      </w:r>
      <w:r w:rsidRPr="003016E2">
        <w:rPr>
          <w:lang w:val="mk-MK"/>
        </w:rPr>
        <w:t>ако индиректно</w:t>
      </w:r>
      <w:r>
        <w:rPr>
          <w:lang w:val="mk-MK"/>
        </w:rPr>
        <w:t>,</w:t>
      </w:r>
      <w:r w:rsidRPr="003016E2">
        <w:rPr>
          <w:lang w:val="mk-MK"/>
        </w:rPr>
        <w:t xml:space="preserve"> </w:t>
      </w:r>
      <w:r>
        <w:rPr>
          <w:lang w:val="mk-MK"/>
        </w:rPr>
        <w:t>р</w:t>
      </w:r>
      <w:r w:rsidRPr="003016E2">
        <w:rPr>
          <w:lang w:val="mk-MK"/>
        </w:rPr>
        <w:t>егулаторите почнаа да се справуваат со овие предизвици</w:t>
      </w:r>
      <w:r>
        <w:rPr>
          <w:lang w:val="mk-MK"/>
        </w:rPr>
        <w:t xml:space="preserve"> до одредена мерка</w:t>
      </w:r>
      <w:r w:rsidRPr="003016E2">
        <w:rPr>
          <w:lang w:val="mk-MK"/>
        </w:rPr>
        <w:t>.</w:t>
      </w:r>
      <w:r>
        <w:rPr>
          <w:rStyle w:val="FootnoteReference"/>
          <w:lang w:val="mk-MK"/>
        </w:rPr>
        <w:footnoteReference w:id="940"/>
      </w:r>
      <w:r w:rsidRPr="003016E2">
        <w:rPr>
          <w:lang w:val="mk-MK"/>
        </w:rPr>
        <w:t xml:space="preserve"> Пристапите засновани врз обелоденување доминираат. Од </w:t>
      </w:r>
      <w:r w:rsidRPr="003016E2">
        <w:rPr>
          <w:lang w:val="mk-MK"/>
        </w:rPr>
        <w:lastRenderedPageBreak/>
        <w:t xml:space="preserve">управувачите со средства сè повеќе се бара да ги објавуваат своите политики на гласање, употребата на советодавни компании за гласање и стратегиите за ангажман. </w:t>
      </w:r>
      <w:r w:rsidR="007A009C">
        <w:rPr>
          <w:lang w:val="mk-MK"/>
        </w:rPr>
        <w:t>Сепак,</w:t>
      </w:r>
      <w:r w:rsidRPr="003016E2">
        <w:rPr>
          <w:lang w:val="mk-MK"/>
        </w:rPr>
        <w:t xml:space="preserve"> самото обелоденување може да биде недоволно кога алгоритамските системи се сопственички, сложени и адаптивни. Сознанието дека бил употребен алгоритам не објаснува како тој влијаел врз конкретен гласачки исход.</w:t>
      </w:r>
    </w:p>
    <w:p w14:paraId="3B3AE16C" w14:textId="0AAE11A4" w:rsidR="007A009C" w:rsidRDefault="000F1D67" w:rsidP="003016E2">
      <w:pPr>
        <w:pStyle w:val="BodyText"/>
        <w:spacing w:before="240" w:after="240"/>
        <w:ind w:firstLine="720"/>
        <w:jc w:val="both"/>
        <w:rPr>
          <w:lang w:val="mk-MK"/>
        </w:rPr>
      </w:pPr>
      <w:r w:rsidRPr="000F1D67">
        <w:rPr>
          <w:lang w:val="mk-MK"/>
        </w:rPr>
        <w:t xml:space="preserve">Доктринално, судовите сè уште не се соочиле директно со импликациите на алгоритамското акционерско учество. Сепак, постојните принципи нудат основа. Фидуцијарните должности на лојалност и грижа што управувачите со средства им ги должат на корисниците би можеле да се толкуваат </w:t>
      </w:r>
      <w:r>
        <w:rPr>
          <w:lang w:val="mk-MK"/>
        </w:rPr>
        <w:t>дека</w:t>
      </w:r>
      <w:r w:rsidRPr="000F1D67">
        <w:rPr>
          <w:lang w:val="mk-MK"/>
        </w:rPr>
        <w:t xml:space="preserve"> бараат суштински надзор над автоматизираните системи за гласање</w:t>
      </w:r>
      <w:r>
        <w:rPr>
          <w:lang w:val="mk-MK"/>
        </w:rPr>
        <w:t xml:space="preserve"> по асоцијација</w:t>
      </w:r>
      <w:r w:rsidRPr="000F1D67">
        <w:rPr>
          <w:lang w:val="mk-MK"/>
        </w:rPr>
        <w:t>.</w:t>
      </w:r>
      <w:r w:rsidR="00B91B9A">
        <w:rPr>
          <w:rStyle w:val="FootnoteReference"/>
          <w:lang w:val="mk-MK"/>
        </w:rPr>
        <w:footnoteReference w:id="941"/>
      </w:r>
      <w:r w:rsidRPr="000F1D67">
        <w:rPr>
          <w:lang w:val="mk-MK"/>
        </w:rPr>
        <w:t xml:space="preserve"> Исто така, </w:t>
      </w:r>
      <w:r>
        <w:rPr>
          <w:lang w:val="mk-MK"/>
        </w:rPr>
        <w:t>акцентот</w:t>
      </w:r>
      <w:r w:rsidRPr="000F1D67">
        <w:rPr>
          <w:lang w:val="mk-MK"/>
        </w:rPr>
        <w:t xml:space="preserve"> на корпоративното право врз информираното одлучување може да оправда засилена контрола врз гласачки практики што се потпираат на непрозрачни алгоритми без човечка проверка.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3"/>
        <w:gridCol w:w="3440"/>
        <w:gridCol w:w="3417"/>
      </w:tblGrid>
      <w:tr w:rsidR="007B1A4B" w:rsidRPr="00BA4350" w14:paraId="31F2D8B6" w14:textId="77777777" w:rsidTr="00F96753">
        <w:trPr>
          <w:tblHeader/>
          <w:tblCellSpacing w:w="15" w:type="dxa"/>
        </w:trPr>
        <w:tc>
          <w:tcPr>
            <w:tcW w:w="0" w:type="auto"/>
            <w:vAlign w:val="center"/>
            <w:hideMark/>
          </w:tcPr>
          <w:p w14:paraId="44D5F846" w14:textId="77777777" w:rsidR="007B1A4B" w:rsidRPr="00BA4350" w:rsidRDefault="007B1A4B" w:rsidP="00F96753">
            <w:pPr>
              <w:pStyle w:val="BodyText"/>
              <w:spacing w:before="240"/>
              <w:jc w:val="both"/>
              <w:rPr>
                <w:b/>
                <w:bCs/>
                <w:lang w:val="en-US"/>
              </w:rPr>
            </w:pPr>
            <w:r w:rsidRPr="00BA4350">
              <w:rPr>
                <w:b/>
                <w:bCs/>
                <w:lang w:val="en-US"/>
              </w:rPr>
              <w:t>Doctrinal Assumption</w:t>
            </w:r>
          </w:p>
        </w:tc>
        <w:tc>
          <w:tcPr>
            <w:tcW w:w="0" w:type="auto"/>
            <w:vAlign w:val="center"/>
            <w:hideMark/>
          </w:tcPr>
          <w:p w14:paraId="5FA2739D" w14:textId="77777777" w:rsidR="007B1A4B" w:rsidRPr="00BA4350" w:rsidRDefault="007B1A4B" w:rsidP="00F96753">
            <w:pPr>
              <w:pStyle w:val="BodyText"/>
              <w:spacing w:before="240"/>
              <w:jc w:val="both"/>
              <w:rPr>
                <w:b/>
                <w:bCs/>
                <w:lang w:val="en-US"/>
              </w:rPr>
            </w:pPr>
            <w:r w:rsidRPr="00BA4350">
              <w:rPr>
                <w:b/>
                <w:bCs/>
                <w:lang w:val="en-US"/>
              </w:rPr>
              <w:t>Traditional Model</w:t>
            </w:r>
          </w:p>
        </w:tc>
        <w:tc>
          <w:tcPr>
            <w:tcW w:w="0" w:type="auto"/>
            <w:vAlign w:val="center"/>
            <w:hideMark/>
          </w:tcPr>
          <w:p w14:paraId="763A343C" w14:textId="77777777" w:rsidR="007B1A4B" w:rsidRPr="00BA4350" w:rsidRDefault="007B1A4B" w:rsidP="00F96753">
            <w:pPr>
              <w:pStyle w:val="BodyText"/>
              <w:spacing w:before="240"/>
              <w:jc w:val="both"/>
              <w:rPr>
                <w:b/>
                <w:bCs/>
                <w:lang w:val="en-US"/>
              </w:rPr>
            </w:pPr>
            <w:r w:rsidRPr="00BA4350">
              <w:rPr>
                <w:b/>
                <w:bCs/>
                <w:lang w:val="en-US"/>
              </w:rPr>
              <w:t>Algorithmic Governance</w:t>
            </w:r>
          </w:p>
        </w:tc>
      </w:tr>
      <w:tr w:rsidR="007B1A4B" w:rsidRPr="00BA4350" w14:paraId="2DF0CF26" w14:textId="77777777" w:rsidTr="00F96753">
        <w:trPr>
          <w:tblCellSpacing w:w="15" w:type="dxa"/>
        </w:trPr>
        <w:tc>
          <w:tcPr>
            <w:tcW w:w="0" w:type="auto"/>
            <w:vAlign w:val="center"/>
            <w:hideMark/>
          </w:tcPr>
          <w:p w14:paraId="4C707BC8" w14:textId="77777777" w:rsidR="007B1A4B" w:rsidRPr="00BA4350" w:rsidRDefault="007B1A4B" w:rsidP="00F96753">
            <w:pPr>
              <w:pStyle w:val="BodyText"/>
              <w:spacing w:before="240"/>
              <w:jc w:val="both"/>
              <w:rPr>
                <w:lang w:val="en-US"/>
              </w:rPr>
            </w:pPr>
            <w:r w:rsidRPr="00BA4350">
              <w:rPr>
                <w:lang w:val="en-US"/>
              </w:rPr>
              <w:t>Shareholder agency</w:t>
            </w:r>
          </w:p>
        </w:tc>
        <w:tc>
          <w:tcPr>
            <w:tcW w:w="0" w:type="auto"/>
            <w:vAlign w:val="center"/>
            <w:hideMark/>
          </w:tcPr>
          <w:p w14:paraId="1249944E" w14:textId="77777777" w:rsidR="007B1A4B" w:rsidRPr="00BA4350" w:rsidRDefault="007B1A4B" w:rsidP="00F96753">
            <w:pPr>
              <w:pStyle w:val="BodyText"/>
              <w:spacing w:before="240"/>
              <w:jc w:val="both"/>
              <w:rPr>
                <w:lang w:val="en-US"/>
              </w:rPr>
            </w:pPr>
            <w:r w:rsidRPr="00BA4350">
              <w:rPr>
                <w:lang w:val="en-US"/>
              </w:rPr>
              <w:t>Individual or collective human judgment</w:t>
            </w:r>
          </w:p>
        </w:tc>
        <w:tc>
          <w:tcPr>
            <w:tcW w:w="0" w:type="auto"/>
            <w:vAlign w:val="center"/>
            <w:hideMark/>
          </w:tcPr>
          <w:p w14:paraId="2BCB3659" w14:textId="77777777" w:rsidR="007B1A4B" w:rsidRPr="00BA4350" w:rsidRDefault="007B1A4B" w:rsidP="00F96753">
            <w:pPr>
              <w:pStyle w:val="BodyText"/>
              <w:spacing w:before="240"/>
              <w:jc w:val="both"/>
              <w:rPr>
                <w:lang w:val="en-US"/>
              </w:rPr>
            </w:pPr>
            <w:r w:rsidRPr="00BA4350">
              <w:rPr>
                <w:lang w:val="en-US"/>
              </w:rPr>
              <w:t>Automated execution of pre-set policies</w:t>
            </w:r>
          </w:p>
        </w:tc>
      </w:tr>
      <w:tr w:rsidR="007B1A4B" w:rsidRPr="00BA4350" w14:paraId="568B447E" w14:textId="77777777" w:rsidTr="00F96753">
        <w:trPr>
          <w:tblCellSpacing w:w="15" w:type="dxa"/>
        </w:trPr>
        <w:tc>
          <w:tcPr>
            <w:tcW w:w="0" w:type="auto"/>
            <w:vAlign w:val="center"/>
            <w:hideMark/>
          </w:tcPr>
          <w:p w14:paraId="0A479DFB" w14:textId="77777777" w:rsidR="007B1A4B" w:rsidRPr="00BA4350" w:rsidRDefault="007B1A4B" w:rsidP="00F96753">
            <w:pPr>
              <w:pStyle w:val="BodyText"/>
              <w:spacing w:before="240"/>
              <w:jc w:val="both"/>
              <w:rPr>
                <w:lang w:val="en-US"/>
              </w:rPr>
            </w:pPr>
            <w:r w:rsidRPr="00BA4350">
              <w:rPr>
                <w:lang w:val="en-US"/>
              </w:rPr>
              <w:t>Accountability</w:t>
            </w:r>
          </w:p>
        </w:tc>
        <w:tc>
          <w:tcPr>
            <w:tcW w:w="0" w:type="auto"/>
            <w:vAlign w:val="center"/>
            <w:hideMark/>
          </w:tcPr>
          <w:p w14:paraId="788449FF" w14:textId="77777777" w:rsidR="007B1A4B" w:rsidRPr="00BA4350" w:rsidRDefault="007B1A4B" w:rsidP="00F96753">
            <w:pPr>
              <w:pStyle w:val="BodyText"/>
              <w:spacing w:before="240"/>
              <w:jc w:val="both"/>
              <w:rPr>
                <w:lang w:val="en-US"/>
              </w:rPr>
            </w:pPr>
            <w:r w:rsidRPr="00BA4350">
              <w:rPr>
                <w:lang w:val="en-US"/>
              </w:rPr>
              <w:t>Identifiable decision maker</w:t>
            </w:r>
          </w:p>
        </w:tc>
        <w:tc>
          <w:tcPr>
            <w:tcW w:w="0" w:type="auto"/>
            <w:vAlign w:val="center"/>
            <w:hideMark/>
          </w:tcPr>
          <w:p w14:paraId="0617B519" w14:textId="77777777" w:rsidR="007B1A4B" w:rsidRPr="00BA4350" w:rsidRDefault="007B1A4B" w:rsidP="00F96753">
            <w:pPr>
              <w:pStyle w:val="BodyText"/>
              <w:spacing w:before="240"/>
              <w:jc w:val="both"/>
              <w:rPr>
                <w:lang w:val="en-US"/>
              </w:rPr>
            </w:pPr>
            <w:r w:rsidRPr="00BA4350">
              <w:rPr>
                <w:lang w:val="en-US"/>
              </w:rPr>
              <w:t>Diffuse and opaque responsibility</w:t>
            </w:r>
          </w:p>
        </w:tc>
      </w:tr>
      <w:tr w:rsidR="007B1A4B" w:rsidRPr="00BA4350" w14:paraId="451610D6" w14:textId="77777777" w:rsidTr="00F96753">
        <w:trPr>
          <w:tblCellSpacing w:w="15" w:type="dxa"/>
        </w:trPr>
        <w:tc>
          <w:tcPr>
            <w:tcW w:w="0" w:type="auto"/>
            <w:vAlign w:val="center"/>
            <w:hideMark/>
          </w:tcPr>
          <w:p w14:paraId="37CF6965" w14:textId="77777777" w:rsidR="007B1A4B" w:rsidRPr="00BA4350" w:rsidRDefault="007B1A4B" w:rsidP="00F96753">
            <w:pPr>
              <w:pStyle w:val="BodyText"/>
              <w:spacing w:before="240"/>
              <w:jc w:val="both"/>
              <w:rPr>
                <w:lang w:val="en-US"/>
              </w:rPr>
            </w:pPr>
            <w:r w:rsidRPr="00BA4350">
              <w:rPr>
                <w:lang w:val="en-US"/>
              </w:rPr>
              <w:t>Deliberation</w:t>
            </w:r>
          </w:p>
        </w:tc>
        <w:tc>
          <w:tcPr>
            <w:tcW w:w="0" w:type="auto"/>
            <w:vAlign w:val="center"/>
            <w:hideMark/>
          </w:tcPr>
          <w:p w14:paraId="2B0B1671" w14:textId="77777777" w:rsidR="007B1A4B" w:rsidRPr="00BA4350" w:rsidRDefault="007B1A4B" w:rsidP="00F96753">
            <w:pPr>
              <w:pStyle w:val="BodyText"/>
              <w:spacing w:before="240"/>
              <w:jc w:val="both"/>
              <w:rPr>
                <w:lang w:val="en-US"/>
              </w:rPr>
            </w:pPr>
            <w:r w:rsidRPr="00BA4350">
              <w:rPr>
                <w:lang w:val="en-US"/>
              </w:rPr>
              <w:t>Central to legitimacy</w:t>
            </w:r>
          </w:p>
        </w:tc>
        <w:tc>
          <w:tcPr>
            <w:tcW w:w="0" w:type="auto"/>
            <w:vAlign w:val="center"/>
            <w:hideMark/>
          </w:tcPr>
          <w:p w14:paraId="6368C337" w14:textId="77777777" w:rsidR="007B1A4B" w:rsidRPr="00BA4350" w:rsidRDefault="007B1A4B" w:rsidP="00F96753">
            <w:pPr>
              <w:pStyle w:val="BodyText"/>
              <w:spacing w:before="240"/>
              <w:jc w:val="both"/>
              <w:rPr>
                <w:lang w:val="en-US"/>
              </w:rPr>
            </w:pPr>
            <w:r w:rsidRPr="00BA4350">
              <w:rPr>
                <w:lang w:val="en-US"/>
              </w:rPr>
              <w:t>Often absent or minimal</w:t>
            </w:r>
          </w:p>
        </w:tc>
      </w:tr>
      <w:tr w:rsidR="007B1A4B" w:rsidRPr="00BA4350" w14:paraId="0ED3978B" w14:textId="77777777" w:rsidTr="00F96753">
        <w:trPr>
          <w:tblCellSpacing w:w="15" w:type="dxa"/>
        </w:trPr>
        <w:tc>
          <w:tcPr>
            <w:tcW w:w="0" w:type="auto"/>
            <w:vAlign w:val="center"/>
            <w:hideMark/>
          </w:tcPr>
          <w:p w14:paraId="7A90C53E" w14:textId="77777777" w:rsidR="007B1A4B" w:rsidRPr="00BA4350" w:rsidRDefault="007B1A4B" w:rsidP="00F96753">
            <w:pPr>
              <w:pStyle w:val="BodyText"/>
              <w:spacing w:before="240"/>
              <w:jc w:val="both"/>
              <w:rPr>
                <w:lang w:val="en-US"/>
              </w:rPr>
            </w:pPr>
            <w:r w:rsidRPr="00BA4350">
              <w:rPr>
                <w:lang w:val="en-US"/>
              </w:rPr>
              <w:t>Transparency</w:t>
            </w:r>
          </w:p>
        </w:tc>
        <w:tc>
          <w:tcPr>
            <w:tcW w:w="0" w:type="auto"/>
            <w:vAlign w:val="center"/>
            <w:hideMark/>
          </w:tcPr>
          <w:p w14:paraId="1EEBE41F" w14:textId="77777777" w:rsidR="007B1A4B" w:rsidRPr="00BA4350" w:rsidRDefault="007B1A4B" w:rsidP="00F96753">
            <w:pPr>
              <w:pStyle w:val="BodyText"/>
              <w:spacing w:before="240"/>
              <w:jc w:val="both"/>
              <w:rPr>
                <w:lang w:val="en-US"/>
              </w:rPr>
            </w:pPr>
            <w:r w:rsidRPr="00BA4350">
              <w:rPr>
                <w:lang w:val="en-US"/>
              </w:rPr>
              <w:t>Decisions explainable</w:t>
            </w:r>
          </w:p>
        </w:tc>
        <w:tc>
          <w:tcPr>
            <w:tcW w:w="0" w:type="auto"/>
            <w:vAlign w:val="center"/>
            <w:hideMark/>
          </w:tcPr>
          <w:p w14:paraId="5A9B31D5" w14:textId="77777777" w:rsidR="007B1A4B" w:rsidRPr="00BA4350" w:rsidRDefault="007B1A4B" w:rsidP="00F96753">
            <w:pPr>
              <w:pStyle w:val="BodyText"/>
              <w:spacing w:before="240"/>
              <w:jc w:val="both"/>
              <w:rPr>
                <w:lang w:val="en-US"/>
              </w:rPr>
            </w:pPr>
            <w:r w:rsidRPr="00BA4350">
              <w:rPr>
                <w:lang w:val="en-US"/>
              </w:rPr>
              <w:t>Outputs often non-explainable</w:t>
            </w:r>
          </w:p>
        </w:tc>
      </w:tr>
      <w:tr w:rsidR="007B1A4B" w:rsidRPr="00BA4350" w14:paraId="547EF1B0" w14:textId="77777777" w:rsidTr="00F96753">
        <w:trPr>
          <w:tblCellSpacing w:w="15" w:type="dxa"/>
        </w:trPr>
        <w:tc>
          <w:tcPr>
            <w:tcW w:w="0" w:type="auto"/>
            <w:vAlign w:val="center"/>
            <w:hideMark/>
          </w:tcPr>
          <w:p w14:paraId="666956D5" w14:textId="77777777" w:rsidR="007B1A4B" w:rsidRPr="00BA4350" w:rsidRDefault="007B1A4B" w:rsidP="00F96753">
            <w:pPr>
              <w:pStyle w:val="BodyText"/>
              <w:spacing w:before="240"/>
              <w:jc w:val="both"/>
              <w:rPr>
                <w:lang w:val="en-US"/>
              </w:rPr>
            </w:pPr>
            <w:r w:rsidRPr="00BA4350">
              <w:rPr>
                <w:lang w:val="en-US"/>
              </w:rPr>
              <w:t>Legal oversight</w:t>
            </w:r>
          </w:p>
        </w:tc>
        <w:tc>
          <w:tcPr>
            <w:tcW w:w="0" w:type="auto"/>
            <w:vAlign w:val="center"/>
            <w:hideMark/>
          </w:tcPr>
          <w:p w14:paraId="72351114" w14:textId="77777777" w:rsidR="007B1A4B" w:rsidRPr="00BA4350" w:rsidRDefault="007B1A4B" w:rsidP="00F96753">
            <w:pPr>
              <w:pStyle w:val="BodyText"/>
              <w:spacing w:before="240"/>
              <w:jc w:val="both"/>
              <w:rPr>
                <w:lang w:val="en-US"/>
              </w:rPr>
            </w:pPr>
            <w:r w:rsidRPr="00BA4350">
              <w:rPr>
                <w:lang w:val="en-US"/>
              </w:rPr>
              <w:t>Ex post review possible</w:t>
            </w:r>
          </w:p>
        </w:tc>
        <w:tc>
          <w:tcPr>
            <w:tcW w:w="0" w:type="auto"/>
            <w:vAlign w:val="center"/>
            <w:hideMark/>
          </w:tcPr>
          <w:p w14:paraId="78DD1516" w14:textId="77777777" w:rsidR="007B1A4B" w:rsidRPr="00BA4350" w:rsidRDefault="007B1A4B" w:rsidP="00F96753">
            <w:pPr>
              <w:pStyle w:val="BodyText"/>
              <w:spacing w:before="240"/>
              <w:jc w:val="both"/>
              <w:rPr>
                <w:lang w:val="en-US"/>
              </w:rPr>
            </w:pPr>
            <w:r w:rsidRPr="00BA4350">
              <w:rPr>
                <w:lang w:val="en-US"/>
              </w:rPr>
              <w:t>Review hindered by black box systems</w:t>
            </w:r>
          </w:p>
        </w:tc>
      </w:tr>
    </w:tbl>
    <w:p w14:paraId="1BE7DAFD" w14:textId="77777777" w:rsidR="007B1A4B" w:rsidRDefault="007B1A4B" w:rsidP="007B1A4B">
      <w:pPr>
        <w:pStyle w:val="BodyText"/>
        <w:spacing w:before="240" w:after="240"/>
        <w:jc w:val="center"/>
        <w:rPr>
          <w:lang w:val="mk-MK"/>
        </w:rPr>
      </w:pPr>
      <w:r w:rsidRPr="00D52194">
        <w:rPr>
          <w:i/>
          <w:iCs/>
          <w:lang w:val="mk-MK"/>
        </w:rPr>
        <w:t>Извор: истражувањето и податоците изнесени во докторската дисертација</w:t>
      </w:r>
    </w:p>
    <w:p w14:paraId="681F0703" w14:textId="4F2439F6" w:rsidR="00EE7707" w:rsidRDefault="00EE7707" w:rsidP="001C273E">
      <w:pPr>
        <w:pStyle w:val="BodyText"/>
        <w:spacing w:before="240" w:after="240"/>
        <w:ind w:firstLine="720"/>
        <w:jc w:val="both"/>
        <w:rPr>
          <w:lang w:val="mk-MK"/>
        </w:rPr>
      </w:pPr>
      <w:r w:rsidRPr="00EE7707">
        <w:rPr>
          <w:lang w:val="mk-MK"/>
        </w:rPr>
        <w:t>Затоа, подемот на алгоритамското управување не ги елиминира правата на акционерите, туку го трансформира нивното остварување. Учеството станува скалабилно, автоматизирано и систематизирано, додека одговорноста и размислувањето се намалуваат.</w:t>
      </w:r>
    </w:p>
    <w:p w14:paraId="6F79FCF7" w14:textId="0190C2D4" w:rsidR="000572F8" w:rsidRPr="004C687E" w:rsidRDefault="00035238" w:rsidP="000572F8">
      <w:pPr>
        <w:pStyle w:val="Heading1"/>
        <w:numPr>
          <w:ilvl w:val="0"/>
          <w:numId w:val="70"/>
        </w:numPr>
        <w:spacing w:after="240"/>
        <w:jc w:val="both"/>
      </w:pPr>
      <w:bookmarkStart w:id="130" w:name="_Toc230523983"/>
      <w:r>
        <w:rPr>
          <w:lang w:val="mk-MK"/>
        </w:rPr>
        <w:t xml:space="preserve">Прифаќањето на вештачката интелигенција </w:t>
      </w:r>
      <w:r w:rsidRPr="00035238">
        <w:rPr>
          <w:lang w:val="mk-MK"/>
        </w:rPr>
        <w:t>таму каде што работниците се исклучени</w:t>
      </w:r>
      <w:bookmarkEnd w:id="130"/>
    </w:p>
    <w:p w14:paraId="4612263D" w14:textId="6FD71F7C" w:rsidR="00120CE1" w:rsidRDefault="00606C2B" w:rsidP="00606C2B">
      <w:pPr>
        <w:pStyle w:val="BodyText"/>
        <w:spacing w:before="240" w:after="240"/>
        <w:ind w:firstLine="720"/>
        <w:jc w:val="both"/>
        <w:rPr>
          <w:lang w:val="mk-MK"/>
        </w:rPr>
      </w:pPr>
      <w:r w:rsidRPr="00606C2B">
        <w:rPr>
          <w:lang w:val="mk-MK"/>
        </w:rPr>
        <w:t xml:space="preserve">Една од највпечатливите карактеристики на современите регулаторни дебати за вештачката интелигенција и корпоративното управување не е само она што тие го вклучуваат, туку и она што го изоставуваат. Законодавците и регулаторите забрзано конструираат сложени рамки за управување со алгоритамските системи во корпоративното одлучување, додека во голема мера игнорираат механизам на управување чии придобивки се емпириски и нормативно потврдени со децении: </w:t>
      </w:r>
      <w:r w:rsidRPr="00606C2B">
        <w:rPr>
          <w:lang w:val="mk-MK"/>
        </w:rPr>
        <w:lastRenderedPageBreak/>
        <w:t>учеството на работниците. Резултатот е регулаторен парадокс. Корпоративното право и политиките покажуваат поголема подготвеност да доверат моќ на одлучување на нетранспарентни и неодговорни технолошки системи отколку да</w:t>
      </w:r>
      <w:r w:rsidR="00DA7A38">
        <w:rPr>
          <w:lang w:val="mk-MK"/>
        </w:rPr>
        <w:t xml:space="preserve"> ги</w:t>
      </w:r>
      <w:r w:rsidRPr="00606C2B">
        <w:rPr>
          <w:lang w:val="mk-MK"/>
        </w:rPr>
        <w:t xml:space="preserve"> прошират суштински</w:t>
      </w:r>
      <w:r w:rsidR="00DA7A38">
        <w:rPr>
          <w:lang w:val="mk-MK"/>
        </w:rPr>
        <w:t>те</w:t>
      </w:r>
      <w:r w:rsidRPr="00606C2B">
        <w:rPr>
          <w:lang w:val="mk-MK"/>
        </w:rPr>
        <w:t xml:space="preserve"> права на учество за вработените, и покрај докажаната способност на в</w:t>
      </w:r>
      <w:r w:rsidR="00DA7A38">
        <w:rPr>
          <w:lang w:val="mk-MK"/>
        </w:rPr>
        <w:t>работените</w:t>
      </w:r>
      <w:r w:rsidRPr="00606C2B">
        <w:rPr>
          <w:lang w:val="mk-MK"/>
        </w:rPr>
        <w:t xml:space="preserve"> да придонесат кон надзор, стабилност и долгорочно создавање вредност.</w:t>
      </w:r>
    </w:p>
    <w:p w14:paraId="35AA65DD" w14:textId="7935F32A" w:rsidR="00DA7A38" w:rsidRDefault="000C46D6" w:rsidP="00606C2B">
      <w:pPr>
        <w:pStyle w:val="BodyText"/>
        <w:spacing w:before="240" w:after="240"/>
        <w:ind w:firstLine="720"/>
        <w:jc w:val="both"/>
        <w:rPr>
          <w:lang w:val="mk-MK"/>
        </w:rPr>
      </w:pPr>
      <w:r w:rsidRPr="000C46D6">
        <w:rPr>
          <w:lang w:val="mk-MK"/>
        </w:rPr>
        <w:t>Овој дисбаланс тешко може да се оправда врз основа на ефикасност или легитимност. Интеграцијата на вештачката интелигенција во управувачките структури често се брани со аргументи за подобрен надзор, детекција на ризици и квалитет на одлуките. Но истите аргументи одамна се изнесуваат, и поткрепуваат, во прилог на вклученоста на работниците во корпоративното управување.</w:t>
      </w:r>
      <w:r w:rsidR="009E30FC">
        <w:rPr>
          <w:rStyle w:val="FootnoteReference"/>
          <w:lang w:val="mk-MK"/>
        </w:rPr>
        <w:footnoteReference w:id="942"/>
      </w:r>
      <w:r w:rsidRPr="000C46D6">
        <w:rPr>
          <w:lang w:val="mk-MK"/>
        </w:rPr>
        <w:t xml:space="preserve"> </w:t>
      </w:r>
      <w:r w:rsidR="00F7671D">
        <w:rPr>
          <w:lang w:val="mk-MK"/>
        </w:rPr>
        <w:t>П</w:t>
      </w:r>
      <w:r w:rsidRPr="000C46D6">
        <w:rPr>
          <w:lang w:val="mk-MK"/>
        </w:rPr>
        <w:t>ридобивките од учеството на вработените се толку добро документирани што одредени автори го сметаат за едно од најзначајните достигнувања на современиот капитализам и за работниците и за компаниите, а не само како отстапка кон интересите на трудот.</w:t>
      </w:r>
      <w:r w:rsidR="00F7671D">
        <w:rPr>
          <w:rStyle w:val="FootnoteReference"/>
          <w:lang w:val="mk-MK"/>
        </w:rPr>
        <w:footnoteReference w:id="943"/>
      </w:r>
      <w:r w:rsidRPr="000C46D6">
        <w:rPr>
          <w:lang w:val="mk-MK"/>
        </w:rPr>
        <w:t xml:space="preserve"> Регулаторниот ентузијазам за алгоритамско управување, проследен со континуиран отпор кон работничкото учество, укажува дека суштинското прашање не е функционалноста, туку контролата.</w:t>
      </w:r>
    </w:p>
    <w:p w14:paraId="3C27A46A" w14:textId="0C8342A2" w:rsidR="006C0D53" w:rsidRDefault="006C0D53" w:rsidP="00606C2B">
      <w:pPr>
        <w:pStyle w:val="BodyText"/>
        <w:spacing w:before="240" w:after="240"/>
        <w:ind w:firstLine="720"/>
        <w:jc w:val="both"/>
        <w:rPr>
          <w:lang w:val="en-US"/>
        </w:rPr>
      </w:pPr>
      <w:r w:rsidRPr="006C0D53">
        <w:rPr>
          <w:lang w:val="mk-MK"/>
        </w:rPr>
        <w:t>Тековните регулаторни пристапи кон алгоритамското управување даваат приоритет на процедуралните заштитни механизми. На пример, Актот на Европската Унија за вештачка интелигенција става акцент на класификација на ризици, документација, човечки надзор и можност за ревизија. Слични теми се појавуваат и во регулативата за хартии од вредност, каде што обелоденувањето и внатрешните контроли се поставуваат како примарни средства за управување со алгоритамските системи. Овие механизми имаат цел да обезбедат системите на вештачка интелигенција да бидат транспарентни, сигурни и предмет на надзор.</w:t>
      </w:r>
    </w:p>
    <w:p w14:paraId="79D2B6D8" w14:textId="03AB09C9" w:rsidR="00114A71" w:rsidRDefault="00114A71" w:rsidP="00606C2B">
      <w:pPr>
        <w:pStyle w:val="BodyText"/>
        <w:spacing w:before="240" w:after="240"/>
        <w:ind w:firstLine="720"/>
        <w:jc w:val="both"/>
        <w:rPr>
          <w:lang w:val="mk-MK"/>
        </w:rPr>
      </w:pPr>
      <w:r>
        <w:rPr>
          <w:lang w:val="mk-MK"/>
        </w:rPr>
        <w:t>Меѓутоа, о</w:t>
      </w:r>
      <w:r w:rsidRPr="00114A71">
        <w:rPr>
          <w:lang w:val="mk-MK"/>
        </w:rPr>
        <w:t>на што очигледно недостасува е каков било систематски обид засегнатите чинители да се вградат во процесите на управување.</w:t>
      </w:r>
      <w:r w:rsidR="00887CB6">
        <w:rPr>
          <w:rStyle w:val="FootnoteReference"/>
          <w:lang w:val="mk-MK"/>
        </w:rPr>
        <w:footnoteReference w:id="944"/>
      </w:r>
      <w:r w:rsidRPr="00114A71">
        <w:rPr>
          <w:lang w:val="mk-MK"/>
        </w:rPr>
        <w:t xml:space="preserve"> Човечкиот надзор се дефинира тесно, како менаџерски или технички надзор, а не како партиципативно управување. Работниците, и покрај тоа што се директно засегнати од алгоритамските одлуки поврзани со реструктурирање, оценување на перформанси, спроведување усогласеност и управување со ризици, остануваат во голема мера надвор од регулаторната имагинација.</w:t>
      </w:r>
    </w:p>
    <w:p w14:paraId="5B088DA8" w14:textId="0FC9F5B6" w:rsidR="009B089C" w:rsidRDefault="009B089C" w:rsidP="00606C2B">
      <w:pPr>
        <w:pStyle w:val="BodyText"/>
        <w:spacing w:before="240" w:after="240"/>
        <w:ind w:firstLine="720"/>
        <w:jc w:val="both"/>
        <w:rPr>
          <w:lang w:val="mk-MK"/>
        </w:rPr>
      </w:pPr>
      <w:r w:rsidRPr="009B089C">
        <w:rPr>
          <w:lang w:val="mk-MK"/>
        </w:rPr>
        <w:t>Ова исклучување е нормативно неконзистентно. Вработените се во единствена позиција да детектираат злоупотреба на средства, прекумерно преземање ризици и долгорочна ерозија на вредноста од страна на контролирачките акционери, директорите или високите менаџери.</w:t>
      </w:r>
      <w:r w:rsidR="009D159E">
        <w:rPr>
          <w:rStyle w:val="FootnoteReference"/>
          <w:lang w:val="mk-MK"/>
        </w:rPr>
        <w:footnoteReference w:id="945"/>
      </w:r>
      <w:r w:rsidRPr="009B089C">
        <w:rPr>
          <w:lang w:val="mk-MK"/>
        </w:rPr>
        <w:t xml:space="preserve"> За разлика од алгоритмите, тие поседуваат контекстуално знаење, искуствен увид и директен интерес за одржливоста на претпријатието. Третирањето на алгоритамските системи како прифатливи посредници во управувањето, додека работниците се исклучуваат, претставува приоритизирање на контрола наклонета кон капиталот, наместо одговорност заснована врз реалното корпоративно </w:t>
      </w:r>
      <w:r w:rsidRPr="009B089C">
        <w:rPr>
          <w:lang w:val="mk-MK"/>
        </w:rPr>
        <w:lastRenderedPageBreak/>
        <w:t>искуство.</w:t>
      </w:r>
    </w:p>
    <w:p w14:paraId="342DD294" w14:textId="2569B59C" w:rsidR="00F37920" w:rsidRDefault="00934EB3" w:rsidP="00606C2B">
      <w:pPr>
        <w:pStyle w:val="BodyText"/>
        <w:spacing w:before="240" w:after="240"/>
        <w:ind w:firstLine="720"/>
        <w:jc w:val="both"/>
        <w:rPr>
          <w:lang w:val="en-US"/>
        </w:rPr>
      </w:pPr>
      <w:r w:rsidRPr="00934EB3">
        <w:rPr>
          <w:lang w:val="mk-MK"/>
        </w:rPr>
        <w:t xml:space="preserve">Теоријата на корпоративното управување одамна признава дека исклучувањето на работниците од одлучувањето не е неутрално. </w:t>
      </w:r>
      <w:r w:rsidR="005144D5">
        <w:rPr>
          <w:lang w:val="mk-MK"/>
        </w:rPr>
        <w:t xml:space="preserve">На пример, дисертацијата покажа дека </w:t>
      </w:r>
      <w:r w:rsidRPr="00934EB3">
        <w:rPr>
          <w:lang w:val="mk-MK"/>
        </w:rPr>
        <w:t xml:space="preserve">Паркинсон аргументира </w:t>
      </w:r>
      <w:r w:rsidR="00BD12D9">
        <w:rPr>
          <w:lang w:val="mk-MK"/>
        </w:rPr>
        <w:t>како</w:t>
      </w:r>
      <w:r w:rsidRPr="00934EB3">
        <w:rPr>
          <w:lang w:val="mk-MK"/>
        </w:rPr>
        <w:t xml:space="preserve"> систематското исклучување може да генерира контрапродуктивни исходи, вклучително синдикализација, конфронтациски работни односи и радикализација на барањата, што на крајот ги зголемува трошоците за компаниите. Иако перспективата за широко работничко зајакнување останува нерамномерна и во многу јурисдикции нереалистична на краток рок,</w:t>
      </w:r>
      <w:r w:rsidR="004F4FE4">
        <w:rPr>
          <w:rStyle w:val="FootnoteReference"/>
          <w:lang w:val="mk-MK"/>
        </w:rPr>
        <w:footnoteReference w:id="946"/>
      </w:r>
      <w:r w:rsidRPr="00934EB3">
        <w:rPr>
          <w:lang w:val="mk-MK"/>
        </w:rPr>
        <w:t xml:space="preserve"> структурниот увид останува валиден, односно системите на управување што ги маргинализираат клучните чинители создаваат нестабилност, а не ефикасност.</w:t>
      </w:r>
    </w:p>
    <w:p w14:paraId="67A02BBB" w14:textId="13CD65D2" w:rsidR="00806168" w:rsidRDefault="00806168" w:rsidP="00606C2B">
      <w:pPr>
        <w:pStyle w:val="BodyText"/>
        <w:spacing w:before="240" w:after="240"/>
        <w:ind w:firstLine="720"/>
        <w:jc w:val="both"/>
        <w:rPr>
          <w:lang w:val="mk-MK"/>
        </w:rPr>
      </w:pPr>
      <w:r w:rsidRPr="00806168">
        <w:rPr>
          <w:lang w:val="mk-MK"/>
        </w:rPr>
        <w:t>Работничк</w:t>
      </w:r>
      <w:r>
        <w:rPr>
          <w:lang w:val="mk-MK"/>
        </w:rPr>
        <w:t>ата кодетерминација</w:t>
      </w:r>
      <w:r w:rsidRPr="00806168">
        <w:rPr>
          <w:lang w:val="mk-MK"/>
        </w:rPr>
        <w:t>, таму каде што е успешно имплементиран</w:t>
      </w:r>
      <w:r>
        <w:rPr>
          <w:lang w:val="mk-MK"/>
        </w:rPr>
        <w:t>а</w:t>
      </w:r>
      <w:r w:rsidRPr="00806168">
        <w:rPr>
          <w:lang w:val="mk-MK"/>
        </w:rPr>
        <w:t>, функционира како заштитен механизам на управување, а не како ограничување.</w:t>
      </w:r>
      <w:r w:rsidR="007C461C">
        <w:rPr>
          <w:rStyle w:val="FootnoteReference"/>
          <w:lang w:val="mk-MK"/>
        </w:rPr>
        <w:footnoteReference w:id="947"/>
      </w:r>
      <w:r w:rsidRPr="00806168">
        <w:rPr>
          <w:lang w:val="mk-MK"/>
        </w:rPr>
        <w:t xml:space="preserve"> </w:t>
      </w:r>
      <w:r w:rsidR="003A5AE2">
        <w:rPr>
          <w:lang w:val="mk-MK"/>
        </w:rPr>
        <w:t xml:space="preserve">Нејзината </w:t>
      </w:r>
      <w:r w:rsidRPr="00806168">
        <w:rPr>
          <w:lang w:val="mk-MK"/>
        </w:rPr>
        <w:t>ефективност зависи од корпоративната култура, менаџерските структури и специфичните цели на компанијата, а не од некаков единствен правен модел. Особено важно е што учеството на работниците ги воведува токму елементите што му недостигаат на алгоритамското управување: можност за оспорување, контекстуално расудување и одговорност втемелена во социјални односи</w:t>
      </w:r>
      <w:r w:rsidR="007C461C">
        <w:rPr>
          <w:lang w:val="mk-MK"/>
        </w:rPr>
        <w:t xml:space="preserve"> наместо</w:t>
      </w:r>
      <w:r w:rsidRPr="00806168">
        <w:rPr>
          <w:lang w:val="mk-MK"/>
        </w:rPr>
        <w:t xml:space="preserve"> во код.</w:t>
      </w:r>
    </w:p>
    <w:p w14:paraId="7DD8C2B2" w14:textId="38FC35CC" w:rsidR="007C461C" w:rsidRDefault="00A84091" w:rsidP="00606C2B">
      <w:pPr>
        <w:pStyle w:val="BodyText"/>
        <w:spacing w:before="240" w:after="240"/>
        <w:ind w:firstLine="720"/>
        <w:jc w:val="both"/>
        <w:rPr>
          <w:lang w:val="mk-MK"/>
        </w:rPr>
      </w:pPr>
      <w:r w:rsidRPr="00A84091">
        <w:rPr>
          <w:lang w:val="mk-MK"/>
        </w:rPr>
        <w:t>Неколку теоретски рамки ја објаснуваат оваа динамика. Теоријата на засегнати чинители го нагласува усогласувањето на интересите помеѓу вработените и долгорочниот успех на компанијата. Пристапите засновани врз агенциската теорија ја истакнуваат улогата на работниците во надзорот на менаџерскиот опортунизам. Институционалните теории ја потенцираат вгнезденоста на компаниите во социјални и правни средини кои не можат да се сведат на податочни точки. Ниту една од овие рамки не е суштински земена предвид во тековните режими на управување со вештачка интелигенција, кои наместо тоа се фокусираат на техничка усогласеност и менаџерски надзор.</w:t>
      </w:r>
    </w:p>
    <w:p w14:paraId="7010096D" w14:textId="01B7032E" w:rsidR="00977622" w:rsidRDefault="00977622" w:rsidP="00606C2B">
      <w:pPr>
        <w:pStyle w:val="BodyText"/>
        <w:spacing w:before="240" w:after="240"/>
        <w:ind w:firstLine="720"/>
        <w:jc w:val="both"/>
        <w:rPr>
          <w:lang w:val="mk-MK"/>
        </w:rPr>
      </w:pPr>
      <w:r w:rsidRPr="00977622">
        <w:rPr>
          <w:lang w:val="mk-MK"/>
        </w:rPr>
        <w:t>Тековната траекторија на регулаторниот дизајн ризикува да зацврсти хиерархија на управување во која алгоритмите добиваат доверба пред работниците. Ова не е само иронично, туку и нормативно проблематично. Алгоритмите се воведуваат како неутрални, ефикасни и објективни, и покрај растечките докази за пристрасност, кревкост и нетранспарентност. Работниците, напротив, се исклучуваат врз основа на претпоставена неефикасност или конфликт, и покрај децениските докази што ја демонстрираат нивната стабилизирачка улога во корпоративното управување.</w:t>
      </w:r>
      <w:r w:rsidR="00DE16A8">
        <w:rPr>
          <w:rStyle w:val="FootnoteReference"/>
          <w:lang w:val="mk-MK"/>
        </w:rPr>
        <w:footnoteReference w:id="948"/>
      </w:r>
    </w:p>
    <w:p w14:paraId="17BC60EE" w14:textId="400A9D7E" w:rsidR="006C0D53" w:rsidRDefault="00510EC3" w:rsidP="00EB24DA">
      <w:pPr>
        <w:pStyle w:val="BodyText"/>
        <w:spacing w:before="240" w:after="240"/>
        <w:ind w:firstLine="720"/>
        <w:jc w:val="both"/>
        <w:rPr>
          <w:lang w:val="mk-MK"/>
        </w:rPr>
      </w:pPr>
      <w:r w:rsidRPr="00510EC3">
        <w:rPr>
          <w:lang w:val="mk-MK"/>
        </w:rPr>
        <w:t xml:space="preserve">Покохерентен регулаторен пристап би ја свртел оваа логика. Наместо алгоритамското управување да се третира како неизбежна прогресија, а работничкото учество како опционален додаток, правните рамки треба да го препознаат учеството на работниците како основен заштитен механизам токму </w:t>
      </w:r>
      <w:r>
        <w:rPr>
          <w:lang w:val="mk-MK"/>
        </w:rPr>
        <w:t>против овие</w:t>
      </w:r>
      <w:r w:rsidRPr="00510EC3">
        <w:rPr>
          <w:lang w:val="mk-MK"/>
        </w:rPr>
        <w:t xml:space="preserve"> ризици што алгоритамските системи ги засилуваат. Алгоритамските алатки треба да бидат интегрирани во управувачки структури што веќе се плуралистички, партиципативни и </w:t>
      </w:r>
      <w:r w:rsidRPr="00510EC3">
        <w:rPr>
          <w:lang w:val="mk-MK"/>
        </w:rPr>
        <w:lastRenderedPageBreak/>
        <w:t>одговорни, а не да се користат како нивна замена.</w:t>
      </w:r>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9"/>
        <w:gridCol w:w="1567"/>
        <w:gridCol w:w="2069"/>
        <w:gridCol w:w="1500"/>
        <w:gridCol w:w="1575"/>
      </w:tblGrid>
      <w:tr w:rsidR="006C0D53" w:rsidRPr="00D63969" w14:paraId="5F8DDB48" w14:textId="77777777" w:rsidTr="00F96753">
        <w:trPr>
          <w:tblHeader/>
          <w:tblCellSpacing w:w="15" w:type="dxa"/>
        </w:trPr>
        <w:tc>
          <w:tcPr>
            <w:tcW w:w="0" w:type="auto"/>
            <w:vAlign w:val="center"/>
            <w:hideMark/>
          </w:tcPr>
          <w:p w14:paraId="30DF43B5" w14:textId="77777777" w:rsidR="006C0D53" w:rsidRPr="00D63969" w:rsidRDefault="006C0D53" w:rsidP="00F96753">
            <w:pPr>
              <w:pStyle w:val="BodyText"/>
              <w:spacing w:before="240"/>
              <w:jc w:val="both"/>
              <w:rPr>
                <w:b/>
                <w:bCs/>
                <w:lang w:val="en-US"/>
              </w:rPr>
            </w:pPr>
            <w:r w:rsidRPr="00D63969">
              <w:rPr>
                <w:b/>
                <w:bCs/>
                <w:lang w:val="en-US"/>
              </w:rPr>
              <w:t>Governance Mechanism</w:t>
            </w:r>
          </w:p>
        </w:tc>
        <w:tc>
          <w:tcPr>
            <w:tcW w:w="0" w:type="auto"/>
            <w:vAlign w:val="center"/>
            <w:hideMark/>
          </w:tcPr>
          <w:p w14:paraId="003547E8" w14:textId="77777777" w:rsidR="006C0D53" w:rsidRPr="00D63969" w:rsidRDefault="006C0D53" w:rsidP="00F96753">
            <w:pPr>
              <w:pStyle w:val="BodyText"/>
              <w:spacing w:before="240"/>
              <w:jc w:val="both"/>
              <w:rPr>
                <w:b/>
                <w:bCs/>
                <w:lang w:val="en-US"/>
              </w:rPr>
            </w:pPr>
            <w:r w:rsidRPr="00D63969">
              <w:rPr>
                <w:b/>
                <w:bCs/>
                <w:lang w:val="en-US"/>
              </w:rPr>
              <w:t>Accountability</w:t>
            </w:r>
          </w:p>
        </w:tc>
        <w:tc>
          <w:tcPr>
            <w:tcW w:w="0" w:type="auto"/>
            <w:vAlign w:val="center"/>
            <w:hideMark/>
          </w:tcPr>
          <w:p w14:paraId="171437E5" w14:textId="77777777" w:rsidR="006C0D53" w:rsidRPr="00D63969" w:rsidRDefault="006C0D53" w:rsidP="00F96753">
            <w:pPr>
              <w:pStyle w:val="BodyText"/>
              <w:spacing w:before="240"/>
              <w:jc w:val="both"/>
              <w:rPr>
                <w:b/>
                <w:bCs/>
                <w:lang w:val="en-US"/>
              </w:rPr>
            </w:pPr>
            <w:r w:rsidRPr="00D63969">
              <w:rPr>
                <w:b/>
                <w:bCs/>
                <w:lang w:val="en-US"/>
              </w:rPr>
              <w:t>Contextual Judgment</w:t>
            </w:r>
          </w:p>
        </w:tc>
        <w:tc>
          <w:tcPr>
            <w:tcW w:w="0" w:type="auto"/>
            <w:vAlign w:val="center"/>
            <w:hideMark/>
          </w:tcPr>
          <w:p w14:paraId="7DB110E6" w14:textId="77777777" w:rsidR="006C0D53" w:rsidRPr="00D63969" w:rsidRDefault="006C0D53" w:rsidP="00F96753">
            <w:pPr>
              <w:pStyle w:val="BodyText"/>
              <w:spacing w:before="240"/>
              <w:jc w:val="both"/>
              <w:rPr>
                <w:b/>
                <w:bCs/>
                <w:lang w:val="en-US"/>
              </w:rPr>
            </w:pPr>
            <w:r w:rsidRPr="00D63969">
              <w:rPr>
                <w:b/>
                <w:bCs/>
                <w:lang w:val="en-US"/>
              </w:rPr>
              <w:t>Contestability</w:t>
            </w:r>
          </w:p>
        </w:tc>
        <w:tc>
          <w:tcPr>
            <w:tcW w:w="0" w:type="auto"/>
            <w:vAlign w:val="center"/>
            <w:hideMark/>
          </w:tcPr>
          <w:p w14:paraId="0CE2456B" w14:textId="77777777" w:rsidR="006C0D53" w:rsidRPr="00D63969" w:rsidRDefault="006C0D53" w:rsidP="00F96753">
            <w:pPr>
              <w:pStyle w:val="BodyText"/>
              <w:spacing w:before="240"/>
              <w:jc w:val="both"/>
              <w:rPr>
                <w:b/>
                <w:bCs/>
                <w:lang w:val="en-US"/>
              </w:rPr>
            </w:pPr>
            <w:r w:rsidRPr="00D63969">
              <w:rPr>
                <w:b/>
                <w:bCs/>
                <w:lang w:val="en-US"/>
              </w:rPr>
              <w:t>Risk of Capture</w:t>
            </w:r>
          </w:p>
        </w:tc>
      </w:tr>
      <w:tr w:rsidR="006C0D53" w:rsidRPr="00D63969" w14:paraId="3FD502AB" w14:textId="77777777" w:rsidTr="00F96753">
        <w:trPr>
          <w:tblCellSpacing w:w="15" w:type="dxa"/>
        </w:trPr>
        <w:tc>
          <w:tcPr>
            <w:tcW w:w="0" w:type="auto"/>
            <w:vAlign w:val="center"/>
            <w:hideMark/>
          </w:tcPr>
          <w:p w14:paraId="602248F3" w14:textId="77777777" w:rsidR="006C0D53" w:rsidRPr="00D63969" w:rsidRDefault="006C0D53" w:rsidP="00F96753">
            <w:pPr>
              <w:pStyle w:val="BodyText"/>
              <w:spacing w:before="240"/>
              <w:jc w:val="both"/>
              <w:rPr>
                <w:lang w:val="en-US"/>
              </w:rPr>
            </w:pPr>
            <w:r w:rsidRPr="00D63969">
              <w:rPr>
                <w:lang w:val="en-US"/>
              </w:rPr>
              <w:t>Algorithmic systems</w:t>
            </w:r>
          </w:p>
        </w:tc>
        <w:tc>
          <w:tcPr>
            <w:tcW w:w="0" w:type="auto"/>
            <w:vAlign w:val="center"/>
            <w:hideMark/>
          </w:tcPr>
          <w:p w14:paraId="1E556C6B" w14:textId="77777777" w:rsidR="006C0D53" w:rsidRPr="00D63969" w:rsidRDefault="006C0D53" w:rsidP="00F96753">
            <w:pPr>
              <w:pStyle w:val="BodyText"/>
              <w:spacing w:before="240"/>
              <w:jc w:val="both"/>
              <w:rPr>
                <w:lang w:val="en-US"/>
              </w:rPr>
            </w:pPr>
            <w:r w:rsidRPr="00D63969">
              <w:rPr>
                <w:lang w:val="en-US"/>
              </w:rPr>
              <w:t>Low or diffuse</w:t>
            </w:r>
          </w:p>
        </w:tc>
        <w:tc>
          <w:tcPr>
            <w:tcW w:w="0" w:type="auto"/>
            <w:vAlign w:val="center"/>
            <w:hideMark/>
          </w:tcPr>
          <w:p w14:paraId="4E2D0C0D" w14:textId="77777777" w:rsidR="006C0D53" w:rsidRPr="00D63969" w:rsidRDefault="006C0D53" w:rsidP="00F96753">
            <w:pPr>
              <w:pStyle w:val="BodyText"/>
              <w:spacing w:before="240"/>
              <w:jc w:val="both"/>
              <w:rPr>
                <w:lang w:val="en-US"/>
              </w:rPr>
            </w:pPr>
            <w:r w:rsidRPr="00D63969">
              <w:rPr>
                <w:lang w:val="en-US"/>
              </w:rPr>
              <w:t>Limited or absent</w:t>
            </w:r>
          </w:p>
        </w:tc>
        <w:tc>
          <w:tcPr>
            <w:tcW w:w="0" w:type="auto"/>
            <w:vAlign w:val="center"/>
            <w:hideMark/>
          </w:tcPr>
          <w:p w14:paraId="31343DFE" w14:textId="77777777" w:rsidR="006C0D53" w:rsidRPr="00D63969" w:rsidRDefault="006C0D53" w:rsidP="00F96753">
            <w:pPr>
              <w:pStyle w:val="BodyText"/>
              <w:spacing w:before="240"/>
              <w:jc w:val="both"/>
              <w:rPr>
                <w:lang w:val="en-US"/>
              </w:rPr>
            </w:pPr>
            <w:r w:rsidRPr="00D63969">
              <w:rPr>
                <w:lang w:val="en-US"/>
              </w:rPr>
              <w:t>Low</w:t>
            </w:r>
          </w:p>
        </w:tc>
        <w:tc>
          <w:tcPr>
            <w:tcW w:w="0" w:type="auto"/>
            <w:vAlign w:val="center"/>
            <w:hideMark/>
          </w:tcPr>
          <w:p w14:paraId="3C3B08FF" w14:textId="77777777" w:rsidR="006C0D53" w:rsidRPr="00D63969" w:rsidRDefault="006C0D53" w:rsidP="00F96753">
            <w:pPr>
              <w:pStyle w:val="BodyText"/>
              <w:spacing w:before="240"/>
              <w:jc w:val="both"/>
              <w:rPr>
                <w:lang w:val="en-US"/>
              </w:rPr>
            </w:pPr>
            <w:r w:rsidRPr="00D63969">
              <w:rPr>
                <w:lang w:val="en-US"/>
              </w:rPr>
              <w:t>High</w:t>
            </w:r>
          </w:p>
        </w:tc>
      </w:tr>
      <w:tr w:rsidR="006C0D53" w:rsidRPr="00D63969" w14:paraId="23EA812B" w14:textId="77777777" w:rsidTr="00F96753">
        <w:trPr>
          <w:tblCellSpacing w:w="15" w:type="dxa"/>
        </w:trPr>
        <w:tc>
          <w:tcPr>
            <w:tcW w:w="0" w:type="auto"/>
            <w:vAlign w:val="center"/>
            <w:hideMark/>
          </w:tcPr>
          <w:p w14:paraId="69D42067" w14:textId="77777777" w:rsidR="006C0D53" w:rsidRPr="00D63969" w:rsidRDefault="006C0D53" w:rsidP="00F96753">
            <w:pPr>
              <w:pStyle w:val="BodyText"/>
              <w:spacing w:before="240"/>
              <w:jc w:val="both"/>
              <w:rPr>
                <w:lang w:val="en-US"/>
              </w:rPr>
            </w:pPr>
            <w:r w:rsidRPr="00D63969">
              <w:rPr>
                <w:lang w:val="en-US"/>
              </w:rPr>
              <w:t>Managerial oversight</w:t>
            </w:r>
          </w:p>
        </w:tc>
        <w:tc>
          <w:tcPr>
            <w:tcW w:w="0" w:type="auto"/>
            <w:vAlign w:val="center"/>
            <w:hideMark/>
          </w:tcPr>
          <w:p w14:paraId="09EBF7CC" w14:textId="77777777" w:rsidR="006C0D53" w:rsidRPr="00D63969" w:rsidRDefault="006C0D53" w:rsidP="00F96753">
            <w:pPr>
              <w:pStyle w:val="BodyText"/>
              <w:spacing w:before="240"/>
              <w:jc w:val="both"/>
              <w:rPr>
                <w:lang w:val="en-US"/>
              </w:rPr>
            </w:pPr>
            <w:r w:rsidRPr="00D63969">
              <w:rPr>
                <w:lang w:val="en-US"/>
              </w:rPr>
              <w:t>Moderate</w:t>
            </w:r>
          </w:p>
        </w:tc>
        <w:tc>
          <w:tcPr>
            <w:tcW w:w="0" w:type="auto"/>
            <w:vAlign w:val="center"/>
            <w:hideMark/>
          </w:tcPr>
          <w:p w14:paraId="3C8E018F" w14:textId="77777777" w:rsidR="006C0D53" w:rsidRPr="00D63969" w:rsidRDefault="006C0D53" w:rsidP="00F96753">
            <w:pPr>
              <w:pStyle w:val="BodyText"/>
              <w:spacing w:before="240"/>
              <w:jc w:val="both"/>
              <w:rPr>
                <w:lang w:val="en-US"/>
              </w:rPr>
            </w:pPr>
            <w:r w:rsidRPr="00D63969">
              <w:rPr>
                <w:lang w:val="en-US"/>
              </w:rPr>
              <w:t>Moderate</w:t>
            </w:r>
          </w:p>
        </w:tc>
        <w:tc>
          <w:tcPr>
            <w:tcW w:w="0" w:type="auto"/>
            <w:vAlign w:val="center"/>
            <w:hideMark/>
          </w:tcPr>
          <w:p w14:paraId="2EDEAA7C" w14:textId="77777777" w:rsidR="006C0D53" w:rsidRPr="00D63969" w:rsidRDefault="006C0D53" w:rsidP="00F96753">
            <w:pPr>
              <w:pStyle w:val="BodyText"/>
              <w:spacing w:before="240"/>
              <w:jc w:val="both"/>
              <w:rPr>
                <w:lang w:val="en-US"/>
              </w:rPr>
            </w:pPr>
            <w:r w:rsidRPr="00D63969">
              <w:rPr>
                <w:lang w:val="en-US"/>
              </w:rPr>
              <w:t>Limited</w:t>
            </w:r>
          </w:p>
        </w:tc>
        <w:tc>
          <w:tcPr>
            <w:tcW w:w="0" w:type="auto"/>
            <w:vAlign w:val="center"/>
            <w:hideMark/>
          </w:tcPr>
          <w:p w14:paraId="2F3F213A" w14:textId="77777777" w:rsidR="006C0D53" w:rsidRPr="00D63969" w:rsidRDefault="006C0D53" w:rsidP="00F96753">
            <w:pPr>
              <w:pStyle w:val="BodyText"/>
              <w:spacing w:before="240"/>
              <w:jc w:val="both"/>
              <w:rPr>
                <w:lang w:val="en-US"/>
              </w:rPr>
            </w:pPr>
            <w:r w:rsidRPr="00D63969">
              <w:rPr>
                <w:lang w:val="en-US"/>
              </w:rPr>
              <w:t>Moderate</w:t>
            </w:r>
          </w:p>
        </w:tc>
      </w:tr>
      <w:tr w:rsidR="006C0D53" w:rsidRPr="00D63969" w14:paraId="4235604D" w14:textId="77777777" w:rsidTr="00F96753">
        <w:trPr>
          <w:tblCellSpacing w:w="15" w:type="dxa"/>
        </w:trPr>
        <w:tc>
          <w:tcPr>
            <w:tcW w:w="0" w:type="auto"/>
            <w:vAlign w:val="center"/>
            <w:hideMark/>
          </w:tcPr>
          <w:p w14:paraId="766A12F4" w14:textId="77777777" w:rsidR="006C0D53" w:rsidRPr="00D63969" w:rsidRDefault="006C0D53" w:rsidP="00F96753">
            <w:pPr>
              <w:pStyle w:val="BodyText"/>
              <w:spacing w:before="240"/>
              <w:jc w:val="both"/>
              <w:rPr>
                <w:lang w:val="en-US"/>
              </w:rPr>
            </w:pPr>
            <w:r w:rsidRPr="00D63969">
              <w:rPr>
                <w:lang w:val="en-US"/>
              </w:rPr>
              <w:t>Worker participation</w:t>
            </w:r>
          </w:p>
        </w:tc>
        <w:tc>
          <w:tcPr>
            <w:tcW w:w="0" w:type="auto"/>
            <w:vAlign w:val="center"/>
            <w:hideMark/>
          </w:tcPr>
          <w:p w14:paraId="5E660DA7" w14:textId="77777777" w:rsidR="006C0D53" w:rsidRPr="00D63969" w:rsidRDefault="006C0D53" w:rsidP="00F96753">
            <w:pPr>
              <w:pStyle w:val="BodyText"/>
              <w:spacing w:before="240"/>
              <w:jc w:val="both"/>
              <w:rPr>
                <w:lang w:val="en-US"/>
              </w:rPr>
            </w:pPr>
            <w:r w:rsidRPr="00D63969">
              <w:rPr>
                <w:lang w:val="en-US"/>
              </w:rPr>
              <w:t>High</w:t>
            </w:r>
          </w:p>
        </w:tc>
        <w:tc>
          <w:tcPr>
            <w:tcW w:w="0" w:type="auto"/>
            <w:vAlign w:val="center"/>
            <w:hideMark/>
          </w:tcPr>
          <w:p w14:paraId="0C26B8FB" w14:textId="77777777" w:rsidR="006C0D53" w:rsidRPr="00D63969" w:rsidRDefault="006C0D53" w:rsidP="00F96753">
            <w:pPr>
              <w:pStyle w:val="BodyText"/>
              <w:spacing w:before="240"/>
              <w:jc w:val="both"/>
              <w:rPr>
                <w:lang w:val="en-US"/>
              </w:rPr>
            </w:pPr>
            <w:r w:rsidRPr="00D63969">
              <w:rPr>
                <w:lang w:val="en-US"/>
              </w:rPr>
              <w:t>High</w:t>
            </w:r>
          </w:p>
        </w:tc>
        <w:tc>
          <w:tcPr>
            <w:tcW w:w="0" w:type="auto"/>
            <w:vAlign w:val="center"/>
            <w:hideMark/>
          </w:tcPr>
          <w:p w14:paraId="44932B95" w14:textId="77777777" w:rsidR="006C0D53" w:rsidRPr="00D63969" w:rsidRDefault="006C0D53" w:rsidP="00F96753">
            <w:pPr>
              <w:pStyle w:val="BodyText"/>
              <w:spacing w:before="240"/>
              <w:jc w:val="both"/>
              <w:rPr>
                <w:lang w:val="en-US"/>
              </w:rPr>
            </w:pPr>
            <w:r w:rsidRPr="00D63969">
              <w:rPr>
                <w:lang w:val="en-US"/>
              </w:rPr>
              <w:t>High</w:t>
            </w:r>
          </w:p>
        </w:tc>
        <w:tc>
          <w:tcPr>
            <w:tcW w:w="0" w:type="auto"/>
            <w:vAlign w:val="center"/>
            <w:hideMark/>
          </w:tcPr>
          <w:p w14:paraId="5CFBC805" w14:textId="77777777" w:rsidR="006C0D53" w:rsidRPr="00D63969" w:rsidRDefault="006C0D53" w:rsidP="00F96753">
            <w:pPr>
              <w:pStyle w:val="BodyText"/>
              <w:spacing w:before="240"/>
              <w:jc w:val="both"/>
              <w:rPr>
                <w:lang w:val="en-US"/>
              </w:rPr>
            </w:pPr>
            <w:r w:rsidRPr="00D63969">
              <w:rPr>
                <w:lang w:val="en-US"/>
              </w:rPr>
              <w:t>Lower</w:t>
            </w:r>
          </w:p>
        </w:tc>
      </w:tr>
      <w:tr w:rsidR="006C0D53" w:rsidRPr="00D63969" w14:paraId="08CDF0E7" w14:textId="77777777" w:rsidTr="00F96753">
        <w:trPr>
          <w:tblCellSpacing w:w="15" w:type="dxa"/>
        </w:trPr>
        <w:tc>
          <w:tcPr>
            <w:tcW w:w="0" w:type="auto"/>
            <w:vAlign w:val="center"/>
            <w:hideMark/>
          </w:tcPr>
          <w:p w14:paraId="14BC46D0" w14:textId="77777777" w:rsidR="006C0D53" w:rsidRPr="00D63969" w:rsidRDefault="006C0D53" w:rsidP="00F96753">
            <w:pPr>
              <w:pStyle w:val="BodyText"/>
              <w:spacing w:before="240"/>
              <w:jc w:val="both"/>
              <w:rPr>
                <w:lang w:val="en-US"/>
              </w:rPr>
            </w:pPr>
            <w:r w:rsidRPr="00D63969">
              <w:rPr>
                <w:lang w:val="en-US"/>
              </w:rPr>
              <w:t>Hybrid models</w:t>
            </w:r>
          </w:p>
        </w:tc>
        <w:tc>
          <w:tcPr>
            <w:tcW w:w="0" w:type="auto"/>
            <w:vAlign w:val="center"/>
            <w:hideMark/>
          </w:tcPr>
          <w:p w14:paraId="15F54F10" w14:textId="77777777" w:rsidR="006C0D53" w:rsidRPr="00D63969" w:rsidRDefault="006C0D53" w:rsidP="00F96753">
            <w:pPr>
              <w:pStyle w:val="BodyText"/>
              <w:spacing w:before="240"/>
              <w:jc w:val="both"/>
              <w:rPr>
                <w:lang w:val="en-US"/>
              </w:rPr>
            </w:pPr>
            <w:r w:rsidRPr="00D63969">
              <w:rPr>
                <w:lang w:val="en-US"/>
              </w:rPr>
              <w:t>Variable</w:t>
            </w:r>
          </w:p>
        </w:tc>
        <w:tc>
          <w:tcPr>
            <w:tcW w:w="0" w:type="auto"/>
            <w:vAlign w:val="center"/>
            <w:hideMark/>
          </w:tcPr>
          <w:p w14:paraId="7EE6E6CF" w14:textId="77777777" w:rsidR="006C0D53" w:rsidRPr="00D63969" w:rsidRDefault="006C0D53" w:rsidP="00F96753">
            <w:pPr>
              <w:pStyle w:val="BodyText"/>
              <w:spacing w:before="240"/>
              <w:jc w:val="both"/>
              <w:rPr>
                <w:lang w:val="en-US"/>
              </w:rPr>
            </w:pPr>
            <w:r w:rsidRPr="00D63969">
              <w:rPr>
                <w:lang w:val="en-US"/>
              </w:rPr>
              <w:t>High</w:t>
            </w:r>
          </w:p>
        </w:tc>
        <w:tc>
          <w:tcPr>
            <w:tcW w:w="0" w:type="auto"/>
            <w:vAlign w:val="center"/>
            <w:hideMark/>
          </w:tcPr>
          <w:p w14:paraId="7B3196C5" w14:textId="77777777" w:rsidR="006C0D53" w:rsidRPr="00D63969" w:rsidRDefault="006C0D53" w:rsidP="00F96753">
            <w:pPr>
              <w:pStyle w:val="BodyText"/>
              <w:spacing w:before="240"/>
              <w:jc w:val="both"/>
              <w:rPr>
                <w:lang w:val="en-US"/>
              </w:rPr>
            </w:pPr>
            <w:r w:rsidRPr="00D63969">
              <w:rPr>
                <w:lang w:val="en-US"/>
              </w:rPr>
              <w:t>High</w:t>
            </w:r>
          </w:p>
        </w:tc>
        <w:tc>
          <w:tcPr>
            <w:tcW w:w="0" w:type="auto"/>
            <w:vAlign w:val="center"/>
            <w:hideMark/>
          </w:tcPr>
          <w:p w14:paraId="38720245" w14:textId="77777777" w:rsidR="006C0D53" w:rsidRPr="00D63969" w:rsidRDefault="006C0D53" w:rsidP="00F96753">
            <w:pPr>
              <w:pStyle w:val="BodyText"/>
              <w:spacing w:before="240"/>
              <w:jc w:val="both"/>
              <w:rPr>
                <w:lang w:val="en-US"/>
              </w:rPr>
            </w:pPr>
            <w:r w:rsidRPr="00D63969">
              <w:rPr>
                <w:lang w:val="en-US"/>
              </w:rPr>
              <w:t>Lower</w:t>
            </w:r>
          </w:p>
        </w:tc>
      </w:tr>
    </w:tbl>
    <w:p w14:paraId="1C99694C" w14:textId="769B59CC" w:rsidR="006C0D53" w:rsidRDefault="006C0D53" w:rsidP="00EB24DA">
      <w:pPr>
        <w:pStyle w:val="BodyText"/>
        <w:spacing w:before="240" w:after="240"/>
        <w:jc w:val="center"/>
        <w:rPr>
          <w:lang w:val="mk-MK"/>
        </w:rPr>
      </w:pPr>
      <w:r w:rsidRPr="00D52194">
        <w:rPr>
          <w:i/>
          <w:iCs/>
          <w:lang w:val="mk-MK"/>
        </w:rPr>
        <w:t>Извор: истражувањето и податоците изнесени во докторската дисертација</w:t>
      </w:r>
    </w:p>
    <w:p w14:paraId="3B7F6F72" w14:textId="77777777" w:rsidR="00EB24DA" w:rsidRDefault="00EB24DA" w:rsidP="00EE7707">
      <w:pPr>
        <w:pStyle w:val="BodyText"/>
        <w:spacing w:before="240" w:after="240"/>
        <w:ind w:firstLine="720"/>
        <w:jc w:val="both"/>
        <w:rPr>
          <w:lang w:val="mk-MK"/>
        </w:rPr>
      </w:pPr>
      <w:r w:rsidRPr="00EB24DA">
        <w:rPr>
          <w:lang w:val="mk-MK"/>
        </w:rPr>
        <w:t xml:space="preserve">Следствено, иднината на корпоративното управување не треба да се поставува како избор помеѓу човечко учество и технолошка иновација. Вистинскиот предизвик лежи во дизајнирање хибридни модели на управување што ги интегрираат алгоритамските алатки во структури на споделена власт. Таквите модели би ги третирале алгоритмите како инструменти подложни на колективен надзор, а не како автономни актери на управување. </w:t>
      </w:r>
    </w:p>
    <w:p w14:paraId="4D8E9F22" w14:textId="7D79A7D8" w:rsidR="00EE7707" w:rsidRDefault="00EB24DA" w:rsidP="00EE7707">
      <w:pPr>
        <w:pStyle w:val="BodyText"/>
        <w:spacing w:before="240" w:after="240"/>
        <w:ind w:firstLine="720"/>
        <w:jc w:val="both"/>
        <w:rPr>
          <w:lang w:val="mk-MK"/>
        </w:rPr>
      </w:pPr>
      <w:r w:rsidRPr="00EB24DA">
        <w:rPr>
          <w:lang w:val="mk-MK"/>
        </w:rPr>
        <w:t xml:space="preserve">Во таа смисла, предупредувањето на IBM од 1979 година добива обновена итност. Ако компјутер не може да биде повикан на одговорност, тогаш не треба изолирано да врши власт. Корпоративното право мора да се спротивстави на искушението технолошката софистицираност да ја третира како замена за демократската легитимност во компанијата. Пред да му се даде на кодот моќ да управува, правните системи треба да постават едноставно прашање: зошто сме подготвени да им довериме власт на машините што сè уште им ја негираме на луѓето кои работат во рамките на </w:t>
      </w:r>
      <w:r w:rsidR="006B22D7">
        <w:rPr>
          <w:lang w:val="mk-MK"/>
        </w:rPr>
        <w:t>друштвото</w:t>
      </w:r>
      <w:r w:rsidRPr="00EB24DA">
        <w:rPr>
          <w:lang w:val="mk-MK"/>
        </w:rPr>
        <w:t>?</w:t>
      </w:r>
    </w:p>
    <w:p w14:paraId="24B5599D" w14:textId="750C35D4" w:rsidR="006B22D7" w:rsidRDefault="00103DA4" w:rsidP="00EE7707">
      <w:pPr>
        <w:pStyle w:val="BodyText"/>
        <w:spacing w:before="240" w:after="240"/>
        <w:ind w:firstLine="720"/>
        <w:jc w:val="both"/>
        <w:rPr>
          <w:lang w:val="mk-MK"/>
        </w:rPr>
      </w:pPr>
      <w:r>
        <w:rPr>
          <w:lang w:val="mk-MK"/>
        </w:rPr>
        <w:t>Впроче</w:t>
      </w:r>
      <w:r w:rsidR="009F2B83">
        <w:rPr>
          <w:lang w:val="mk-MK"/>
        </w:rPr>
        <w:t>м</w:t>
      </w:r>
      <w:r>
        <w:rPr>
          <w:lang w:val="mk-MK"/>
        </w:rPr>
        <w:t>, д</w:t>
      </w:r>
      <w:r w:rsidRPr="00103DA4">
        <w:rPr>
          <w:lang w:val="mk-MK"/>
        </w:rPr>
        <w:t xml:space="preserve">олговечноста на компании како IBM, Nokia, Tata Group, BMW, Nintendo и Hitachi укажува на една важна институционална реалност на корпоративното управување: компаниите што опстојуваат со генерации ретко преживуваат само благодарение на капиталот. Нивната стабилност најчесто произлегува од способноста да изградат организациска лојалност, институционална меморија и чувство на заедничка цел </w:t>
      </w:r>
      <w:r w:rsidR="00121602">
        <w:rPr>
          <w:lang w:val="mk-MK"/>
        </w:rPr>
        <w:t>по</w:t>
      </w:r>
      <w:r w:rsidRPr="00103DA4">
        <w:rPr>
          <w:lang w:val="mk-MK"/>
        </w:rPr>
        <w:t>меѓу вработените.</w:t>
      </w:r>
      <w:r w:rsidR="00D32F8D">
        <w:rPr>
          <w:rStyle w:val="FootnoteReference"/>
          <w:lang w:val="mk-MK"/>
        </w:rPr>
        <w:footnoteReference w:id="949"/>
      </w:r>
    </w:p>
    <w:p w14:paraId="689AACAC" w14:textId="641C1A55" w:rsidR="009F2B83" w:rsidRDefault="009F2B83" w:rsidP="00EE7707">
      <w:pPr>
        <w:pStyle w:val="BodyText"/>
        <w:spacing w:before="240" w:after="240"/>
        <w:ind w:firstLine="720"/>
        <w:jc w:val="both"/>
        <w:rPr>
          <w:lang w:val="mk-MK"/>
        </w:rPr>
      </w:pPr>
      <w:r w:rsidRPr="009F2B83">
        <w:rPr>
          <w:lang w:val="mk-MK"/>
        </w:rPr>
        <w:t xml:space="preserve">Многу од овие повеќевековни корпорации развиле корпоративни култури во кои работниците не биле третирани исклучиво како заменлива работна сила, туку како чинители чие знаење, стабилност и посветеност придонесуваат за долгорочниот континуитет на компанијата. Преку модели на коодлучување, интерни системи на напредување, долгорочна вработеност, работничко акционерство или консултативни механизми, овие компании имплицитно ја прифатиле идејата дека одржливото корпоративно управување зависи не само од профитот, туку и од чувството на </w:t>
      </w:r>
      <w:r w:rsidRPr="009F2B83">
        <w:rPr>
          <w:lang w:val="mk-MK"/>
        </w:rPr>
        <w:lastRenderedPageBreak/>
        <w:t>припадност и вклученост на вработените.</w:t>
      </w:r>
      <w:r w:rsidR="00D32F8D">
        <w:rPr>
          <w:rStyle w:val="FootnoteReference"/>
          <w:lang w:val="mk-MK"/>
        </w:rPr>
        <w:footnoteReference w:id="950"/>
      </w:r>
    </w:p>
    <w:p w14:paraId="53194E3B" w14:textId="5AD268D8" w:rsidR="00347A80" w:rsidRDefault="00347A80" w:rsidP="00EE7707">
      <w:pPr>
        <w:pStyle w:val="BodyText"/>
        <w:spacing w:before="240" w:after="240"/>
        <w:ind w:firstLine="720"/>
        <w:jc w:val="both"/>
        <w:rPr>
          <w:lang w:val="mk-MK"/>
        </w:rPr>
      </w:pPr>
      <w:r w:rsidRPr="00347A80">
        <w:rPr>
          <w:lang w:val="mk-MK"/>
        </w:rPr>
        <w:t>Ова е особено видливо во европските и источноазиските модели на корпоративно управување, каде учеството на вработените традиционално се поврзува со повисока продуктивност, иновации и институционална стабилност. Самото постоење на компании како BMW, Panasonic, Tata Group и IBM повеќе од еден век укажува дека корпорациите кои успеваат да создадат чувство кај вработените дека придонесуваат кон насоката и иднината на компанијата, полесно се адаптираат на економски, технолошки и општествени промени без да го изгубат сопствениот институционален идентитет.</w:t>
      </w:r>
    </w:p>
    <w:p w14:paraId="73000156" w14:textId="73C2BD82" w:rsidR="0009598A" w:rsidRPr="00945755" w:rsidRDefault="00945755" w:rsidP="00945755">
      <w:pPr>
        <w:pStyle w:val="BodyText"/>
        <w:spacing w:before="240" w:after="240"/>
        <w:ind w:firstLine="720"/>
        <w:jc w:val="both"/>
        <w:rPr>
          <w:lang w:val="mk-MK"/>
        </w:rPr>
      </w:pPr>
      <w:r w:rsidRPr="00945755">
        <w:rPr>
          <w:lang w:val="mk-MK"/>
        </w:rPr>
        <w:t xml:space="preserve">Во таа смисла, нивната историска издржливост отвора и пошироко нормативно </w:t>
      </w:r>
      <w:r>
        <w:rPr>
          <w:lang w:val="mk-MK"/>
        </w:rPr>
        <w:t xml:space="preserve">размислување што укажува на тоа дека </w:t>
      </w:r>
      <w:r w:rsidRPr="00945755">
        <w:rPr>
          <w:lang w:val="mk-MK"/>
        </w:rPr>
        <w:t>најтрајните компании во светот ретко се изградени исклучиво врз логиката на акционерскиот примат. Напротив, тие често се развиваат преку модели на управување што овозможуваат вработените да се чувствуваат како активни учесници во долгорочниот успех и стабилност на компанијата.</w:t>
      </w:r>
    </w:p>
    <w:p w14:paraId="320FC5D4" w14:textId="773EF292" w:rsidR="00172F30" w:rsidRPr="001B24DD" w:rsidRDefault="00075827" w:rsidP="00172F30">
      <w:pPr>
        <w:pStyle w:val="Heading1"/>
        <w:numPr>
          <w:ilvl w:val="0"/>
          <w:numId w:val="70"/>
        </w:numPr>
        <w:spacing w:after="240"/>
        <w:jc w:val="both"/>
      </w:pPr>
      <w:bookmarkStart w:id="131" w:name="_Toc230523984"/>
      <w:r>
        <w:rPr>
          <w:lang w:val="mk-MK"/>
        </w:rPr>
        <w:t>Заклуч</w:t>
      </w:r>
      <w:r w:rsidR="00747391">
        <w:rPr>
          <w:lang w:val="mk-MK"/>
        </w:rPr>
        <w:t>ни согледувања</w:t>
      </w:r>
      <w:bookmarkEnd w:id="131"/>
    </w:p>
    <w:p w14:paraId="78BCFF08" w14:textId="053CAF59" w:rsidR="004806AE" w:rsidRDefault="00030345" w:rsidP="00DF3CB1">
      <w:pPr>
        <w:pStyle w:val="BodyText"/>
        <w:spacing w:before="240"/>
        <w:ind w:firstLine="720"/>
        <w:jc w:val="both"/>
        <w:rPr>
          <w:lang w:val="mk-MK"/>
        </w:rPr>
      </w:pPr>
      <w:r w:rsidRPr="00030345">
        <w:rPr>
          <w:lang w:val="mk-MK"/>
        </w:rPr>
        <w:t xml:space="preserve">Анализата на </w:t>
      </w:r>
      <w:r>
        <w:rPr>
          <w:lang w:val="mk-MK"/>
        </w:rPr>
        <w:t>трендовите и новиот п</w:t>
      </w:r>
      <w:r w:rsidRPr="00030345">
        <w:rPr>
          <w:lang w:val="mk-MK"/>
        </w:rPr>
        <w:t>редлог</w:t>
      </w:r>
      <w:r>
        <w:rPr>
          <w:lang w:val="mk-MK"/>
        </w:rPr>
        <w:t>-</w:t>
      </w:r>
      <w:r w:rsidRPr="00030345">
        <w:rPr>
          <w:lang w:val="mk-MK"/>
        </w:rPr>
        <w:t xml:space="preserve">Закон за трговски друштва покажува дека македонското корпоративно право се наоѓа во фаза на постепена трансформација од традиционален модел кон поинклузивен систем што, барем делумно, ги препознава интересите на вработените како релевантен елемент на корпоративното управување. Во споредба со претходните законски решенија, новиот текст воведува поширок и појасно структуриран сет на механизми преку кои вработените можат да бидат вклучени во економскиот и институционалниот живот на друштвото. Тоа укажува на постепено прифаќање на современите европски тенденции во насока на </w:t>
      </w:r>
      <w:r w:rsidR="00F04899">
        <w:rPr>
          <w:lang w:val="mk-MK"/>
        </w:rPr>
        <w:t>учество на сите засегнати страни</w:t>
      </w:r>
      <w:r w:rsidRPr="00030345">
        <w:rPr>
          <w:lang w:val="mk-MK"/>
        </w:rPr>
        <w:t>, корпоративна отчетност и социјална одржливост.</w:t>
      </w:r>
    </w:p>
    <w:p w14:paraId="4A233624" w14:textId="6E206E7F" w:rsidR="00F04899" w:rsidRDefault="00F04899" w:rsidP="00DF3CB1">
      <w:pPr>
        <w:pStyle w:val="BodyText"/>
        <w:spacing w:before="240"/>
        <w:ind w:firstLine="720"/>
        <w:jc w:val="both"/>
        <w:rPr>
          <w:lang w:val="mk-MK"/>
        </w:rPr>
      </w:pPr>
      <w:r w:rsidRPr="00F04899">
        <w:rPr>
          <w:lang w:val="mk-MK"/>
        </w:rPr>
        <w:t xml:space="preserve">Особено значајни се новините во делот на сопственичката вклученост на вработените. Можноста за стекнување бесплатни или повластени акции, условното зголемување на капиталот за оваа цел, стекнувањето сопствени акции за распределба на вработените и учеството во добивката претставуваат важни инструменти за поврзување на трудот и капиталот. Овие решенија создаваат правна основа за развој на </w:t>
      </w:r>
      <w:r w:rsidR="007A742C">
        <w:rPr>
          <w:lang w:val="mk-MK"/>
        </w:rPr>
        <w:t xml:space="preserve">шеми за </w:t>
      </w:r>
      <w:r w:rsidRPr="00F04899">
        <w:rPr>
          <w:lang w:val="mk-MK"/>
        </w:rPr>
        <w:t>employee share ownership и profit-sharing модели, кои во компаративното право често се поврзуваат со повисока продуктивност, посилна корпоративна лојалност и поширока распределба на создадената вредност. Сепак, нивниот потенцијал останува ограничен поради нискиот лимит од 5% и отсуството на пошироки фискални и институционални поттикнувања.</w:t>
      </w:r>
    </w:p>
    <w:p w14:paraId="6CFC2B6D" w14:textId="32EB7A8B" w:rsidR="006C1CDF" w:rsidRDefault="006C1CDF" w:rsidP="00DF3CB1">
      <w:pPr>
        <w:pStyle w:val="BodyText"/>
        <w:spacing w:before="240"/>
        <w:ind w:firstLine="720"/>
        <w:jc w:val="both"/>
        <w:rPr>
          <w:lang w:val="mk-MK"/>
        </w:rPr>
      </w:pPr>
      <w:r w:rsidRPr="006C1CDF">
        <w:rPr>
          <w:lang w:val="mk-MK"/>
        </w:rPr>
        <w:t xml:space="preserve">Во делот на институционалното учество, законот покажува умерена отвореност, но не и суштинска реформа. Одредени позитивни елементи постојат, како учеството на претставници на вработените во комисии за селекција кај државни друштва и учество во управување со наменски резерви, но не се воспоставува директен модел на работничко претставување во органите на управување или надзор за домашните </w:t>
      </w:r>
      <w:r w:rsidR="00590BC1">
        <w:rPr>
          <w:lang w:val="mk-MK"/>
        </w:rPr>
        <w:t>друштва</w:t>
      </w:r>
      <w:r w:rsidRPr="006C1CDF">
        <w:rPr>
          <w:lang w:val="mk-MK"/>
        </w:rPr>
        <w:t>. Прашањето за учество на вработените во управувањето се препушта на посебен закон, што значи дека најважниот сегмент на корпоративната демократизација останува нерешен. Оттука, реформата во овој дел е повеќе декларативна отколку структурна.</w:t>
      </w:r>
    </w:p>
    <w:p w14:paraId="4D55D4FD" w14:textId="664DCA7D" w:rsidR="00590BC1" w:rsidRDefault="00590BC1" w:rsidP="00DF3CB1">
      <w:pPr>
        <w:pStyle w:val="BodyText"/>
        <w:spacing w:before="240"/>
        <w:ind w:firstLine="720"/>
        <w:jc w:val="both"/>
        <w:rPr>
          <w:lang w:val="mk-MK"/>
        </w:rPr>
      </w:pPr>
      <w:r w:rsidRPr="00590BC1">
        <w:rPr>
          <w:lang w:val="mk-MK"/>
        </w:rPr>
        <w:lastRenderedPageBreak/>
        <w:t>Позитивно може да се оцени и засилувањето на транспарентноста во наградувањето. Обврската за споредба на менаџерските примања со просечните примања на вработените, како и обврската да се образложи како биле земени предвид платите и условите за работа при утврдување на политиката за наградување, претставуваат современи инструменти на корпоративна отчетност. Овие механизми имаат потенцијал да придонесат кон намалување на прекумерни нееднаквости и кон поголема доверба меѓу менаџментот, акционерите и работната сила. Сепак, транспарентноста сама по себе не создава право на коодлучување и затоа не може да се поистовети со реално учество на вработените.</w:t>
      </w:r>
    </w:p>
    <w:p w14:paraId="296E966C" w14:textId="0A2212DF" w:rsidR="009C4F7E" w:rsidRDefault="00B675E7" w:rsidP="00DF3CB1">
      <w:pPr>
        <w:pStyle w:val="BodyText"/>
        <w:spacing w:before="240"/>
        <w:ind w:firstLine="720"/>
        <w:jc w:val="both"/>
        <w:rPr>
          <w:lang w:val="mk-MK"/>
        </w:rPr>
      </w:pPr>
      <w:r w:rsidRPr="00B675E7">
        <w:rPr>
          <w:lang w:val="mk-MK"/>
        </w:rPr>
        <w:t xml:space="preserve">Најразвиените форми на вклученост на вработените се предвидени во делот за прекугранични преобразби, спојувања и поделби. Правата на информирање, консултирање, претставување во органите на друштвото и заштита на стекнатите позиции покажуваат дека македонскиот законодавец е подготвен да прифати напредни модели на </w:t>
      </w:r>
      <w:r w:rsidR="00A53D71">
        <w:rPr>
          <w:lang w:val="mk-MK"/>
        </w:rPr>
        <w:t>учество на вработените</w:t>
      </w:r>
      <w:r w:rsidRPr="00B675E7">
        <w:rPr>
          <w:lang w:val="mk-MK"/>
        </w:rPr>
        <w:t xml:space="preserve"> кога тоа е условено од европската правна рамка. </w:t>
      </w:r>
      <w:r w:rsidR="007F5701">
        <w:rPr>
          <w:lang w:val="mk-MK"/>
        </w:rPr>
        <w:t>Токму ова</w:t>
      </w:r>
      <w:r w:rsidRPr="00B675E7">
        <w:rPr>
          <w:lang w:val="mk-MK"/>
        </w:rPr>
        <w:t xml:space="preserve"> ја открива и главната нормативна недоследност на реформата</w:t>
      </w:r>
      <w:r w:rsidR="007F5701">
        <w:rPr>
          <w:lang w:val="mk-MK"/>
        </w:rPr>
        <w:t xml:space="preserve"> што посочува дека</w:t>
      </w:r>
      <w:r w:rsidRPr="00B675E7">
        <w:rPr>
          <w:lang w:val="mk-MK"/>
        </w:rPr>
        <w:t xml:space="preserve"> истите стандарди не се применуваат во домашниот корпоративен контекст, иако последиците од големи домашни реорганизации можат да бидат еднакво сериозни за вработените.</w:t>
      </w:r>
    </w:p>
    <w:p w14:paraId="7297BBC9" w14:textId="1DF4798E" w:rsidR="00B675E7" w:rsidRDefault="00B675E7" w:rsidP="00DF3CB1">
      <w:pPr>
        <w:pStyle w:val="BodyText"/>
        <w:spacing w:before="240"/>
        <w:ind w:firstLine="720"/>
        <w:jc w:val="both"/>
        <w:rPr>
          <w:lang w:val="mk-MK"/>
        </w:rPr>
      </w:pPr>
      <w:r w:rsidRPr="00B675E7">
        <w:rPr>
          <w:lang w:val="mk-MK"/>
        </w:rPr>
        <w:t xml:space="preserve">Од целокупната анализа произлегува дека </w:t>
      </w:r>
      <w:r w:rsidR="00C71F82">
        <w:rPr>
          <w:lang w:val="mk-MK"/>
        </w:rPr>
        <w:t>п</w:t>
      </w:r>
      <w:r w:rsidRPr="00B675E7">
        <w:rPr>
          <w:lang w:val="mk-MK"/>
        </w:rPr>
        <w:t>редлог</w:t>
      </w:r>
      <w:r w:rsidR="00C71F82">
        <w:rPr>
          <w:lang w:val="mk-MK"/>
        </w:rPr>
        <w:t>-</w:t>
      </w:r>
      <w:r w:rsidRPr="00B675E7">
        <w:rPr>
          <w:lang w:val="mk-MK"/>
        </w:rPr>
        <w:t>Законот за трговски друштва претставува важен, но ограничен чекор кон модернизација на корпоративното право во</w:t>
      </w:r>
      <w:r w:rsidR="00031699">
        <w:rPr>
          <w:lang w:val="mk-MK"/>
        </w:rPr>
        <w:t xml:space="preserve"> </w:t>
      </w:r>
      <w:r w:rsidRPr="00B675E7">
        <w:rPr>
          <w:lang w:val="mk-MK"/>
        </w:rPr>
        <w:t xml:space="preserve">Македонија. Тој создава основа за понатамошен развој на модели на работничко акционерство, одговорно управување и институционално учество, но не воспоставува целосен систем на економска демократија. За таков исчекор би биле потребни подлабоки реформи, вклучително и пошироко сопственичко учество на вработените, директно претставување во органите на надзор и управување, посилни права на консултација и коодлучување, како и проширување на стандардите што веќе постојат во прекуграничниот контекст кон домашните друштва. </w:t>
      </w:r>
    </w:p>
    <w:p w14:paraId="758E2EA1" w14:textId="1F5838E7" w:rsidR="00E9146E" w:rsidRDefault="00B675E7" w:rsidP="00DF3CB1">
      <w:pPr>
        <w:pStyle w:val="BodyText"/>
        <w:spacing w:before="240"/>
        <w:ind w:firstLine="720"/>
        <w:jc w:val="both"/>
        <w:rPr>
          <w:lang w:val="mk-MK"/>
        </w:rPr>
      </w:pPr>
      <w:r w:rsidRPr="00B675E7">
        <w:rPr>
          <w:lang w:val="mk-MK"/>
        </w:rPr>
        <w:t xml:space="preserve">Затоа, овој закон може да се оцени како нормативна транзиција, </w:t>
      </w:r>
      <w:r w:rsidR="008C0940">
        <w:rPr>
          <w:lang w:val="mk-MK"/>
        </w:rPr>
        <w:t>но не и како</w:t>
      </w:r>
      <w:r w:rsidRPr="00B675E7">
        <w:rPr>
          <w:lang w:val="mk-MK"/>
        </w:rPr>
        <w:t xml:space="preserve"> конечна трансформација. Тој отвора нов правец во развојот на македонското корпоративно право, но сè уште не ја реализира целосно идејата за вработените како активни корпоративни чинители</w:t>
      </w:r>
      <w:r w:rsidR="008C0940">
        <w:rPr>
          <w:lang w:val="mk-MK"/>
        </w:rPr>
        <w:t xml:space="preserve"> наместо само</w:t>
      </w:r>
      <w:r w:rsidRPr="00B675E7">
        <w:rPr>
          <w:lang w:val="mk-MK"/>
        </w:rPr>
        <w:t xml:space="preserve"> како носители на трудов ангажман.</w:t>
      </w:r>
      <w:r w:rsidR="005521EB">
        <w:rPr>
          <w:lang w:val="en-US"/>
        </w:rPr>
        <w:t xml:space="preserve"> </w:t>
      </w:r>
      <w:r w:rsidR="005521EB">
        <w:rPr>
          <w:lang w:val="mk-MK"/>
        </w:rPr>
        <w:t>Од друга страна, к</w:t>
      </w:r>
      <w:r w:rsidR="005521EB" w:rsidRPr="005521EB">
        <w:rPr>
          <w:lang w:val="mk-MK"/>
        </w:rPr>
        <w:t>омпаративната анализа на доктринарните развојни текови во различните правни системи открива длабока и симптоматична тензија во современото корпоративно управување</w:t>
      </w:r>
      <w:r w:rsidR="00E9146E">
        <w:rPr>
          <w:lang w:val="mk-MK"/>
        </w:rPr>
        <w:t>.</w:t>
      </w:r>
      <w:r w:rsidR="005521EB" w:rsidRPr="005521EB">
        <w:rPr>
          <w:lang w:val="mk-MK"/>
        </w:rPr>
        <w:t xml:space="preserve"> </w:t>
      </w:r>
      <w:r w:rsidR="00E9146E">
        <w:rPr>
          <w:lang w:val="mk-MK"/>
        </w:rPr>
        <w:t>Д</w:t>
      </w:r>
      <w:r w:rsidR="005521EB" w:rsidRPr="005521EB">
        <w:rPr>
          <w:lang w:val="mk-MK"/>
        </w:rPr>
        <w:t>одека правните системи на водечките стопанства со забележителна брзина развиваат нормативни одговори на предизвиците на алгоритамското управување и автоматизираното одлучување, прашањето за учеството на вработените</w:t>
      </w:r>
      <w:r w:rsidR="00E9146E">
        <w:rPr>
          <w:lang w:val="mk-MK"/>
        </w:rPr>
        <w:t>,</w:t>
      </w:r>
      <w:r w:rsidR="005521EB" w:rsidRPr="005521EB">
        <w:rPr>
          <w:lang w:val="mk-MK"/>
        </w:rPr>
        <w:t xml:space="preserve"> кое е концептуално постаро, теоретски поразработено и практично поитно</w:t>
      </w:r>
      <w:r w:rsidR="00E9146E">
        <w:rPr>
          <w:lang w:val="mk-MK"/>
        </w:rPr>
        <w:t>,</w:t>
      </w:r>
      <w:r w:rsidR="005521EB" w:rsidRPr="005521EB">
        <w:rPr>
          <w:lang w:val="mk-MK"/>
        </w:rPr>
        <w:t xml:space="preserve"> продолжува да се движи со значително побавн</w:t>
      </w:r>
      <w:r w:rsidR="00E9146E">
        <w:rPr>
          <w:lang w:val="mk-MK"/>
        </w:rPr>
        <w:t>о</w:t>
      </w:r>
      <w:r w:rsidR="005521EB" w:rsidRPr="005521EB">
        <w:rPr>
          <w:lang w:val="mk-MK"/>
        </w:rPr>
        <w:t xml:space="preserve"> законодавн</w:t>
      </w:r>
      <w:r w:rsidR="00E9146E">
        <w:rPr>
          <w:lang w:val="mk-MK"/>
        </w:rPr>
        <w:t>о</w:t>
      </w:r>
      <w:r w:rsidR="005521EB" w:rsidRPr="005521EB">
        <w:rPr>
          <w:lang w:val="mk-MK"/>
        </w:rPr>
        <w:t xml:space="preserve"> темпо. </w:t>
      </w:r>
    </w:p>
    <w:p w14:paraId="6A3BA8DE" w14:textId="77777777" w:rsidR="00BB1CBB" w:rsidRDefault="005521EB" w:rsidP="00DF3CB1">
      <w:pPr>
        <w:pStyle w:val="BodyText"/>
        <w:spacing w:before="240"/>
        <w:ind w:firstLine="720"/>
        <w:jc w:val="both"/>
        <w:rPr>
          <w:lang w:val="mk-MK"/>
        </w:rPr>
      </w:pPr>
      <w:r w:rsidRPr="005521EB">
        <w:rPr>
          <w:lang w:val="mk-MK"/>
        </w:rPr>
        <w:t>Оваа асиметрија не е случајна</w:t>
      </w:r>
      <w:r w:rsidR="00E9146E">
        <w:rPr>
          <w:lang w:val="mk-MK"/>
        </w:rPr>
        <w:t xml:space="preserve"> затоа што</w:t>
      </w:r>
      <w:r w:rsidRPr="005521EB">
        <w:rPr>
          <w:lang w:val="mk-MK"/>
        </w:rPr>
        <w:t xml:space="preserve"> е одраз на длабоко вкоренетите идеолошки поделби помеѓу акционерскиот и стејкхолдерскиот модел на корпоративно управување, поделби кои ниту половин век академска расправа, ниту повеќе од три децении европски законодавни напори не успеаја целосно да ги надминат.</w:t>
      </w:r>
      <w:r w:rsidR="00012086" w:rsidRPr="00012086">
        <w:t xml:space="preserve"> </w:t>
      </w:r>
      <w:r w:rsidR="00012086" w:rsidRPr="00012086">
        <w:rPr>
          <w:lang w:val="mk-MK"/>
        </w:rPr>
        <w:t>Теоретските рамки за учество на вработените</w:t>
      </w:r>
      <w:r w:rsidR="00012086">
        <w:rPr>
          <w:lang w:val="mk-MK"/>
        </w:rPr>
        <w:t xml:space="preserve">, </w:t>
      </w:r>
      <w:r w:rsidR="00012086" w:rsidRPr="00012086">
        <w:rPr>
          <w:lang w:val="mk-MK"/>
        </w:rPr>
        <w:t>плуралистичката, комунитарната, фидуцијарната и теоријата на човечки капитал</w:t>
      </w:r>
      <w:r w:rsidR="00012086">
        <w:rPr>
          <w:lang w:val="mk-MK"/>
        </w:rPr>
        <w:t>,</w:t>
      </w:r>
      <w:r w:rsidR="00012086" w:rsidRPr="00012086">
        <w:rPr>
          <w:lang w:val="mk-MK"/>
        </w:rPr>
        <w:t xml:space="preserve"> го документираат богатството на аналитичките пристапи кон оваа проблематика. Секоја од нив идентификува различен аспект на легитимноста </w:t>
      </w:r>
      <w:r w:rsidR="00012086" w:rsidRPr="00012086">
        <w:rPr>
          <w:lang w:val="mk-MK"/>
        </w:rPr>
        <w:lastRenderedPageBreak/>
        <w:t>на работничкото учество</w:t>
      </w:r>
      <w:r w:rsidR="00012086">
        <w:rPr>
          <w:lang w:val="mk-MK"/>
        </w:rPr>
        <w:t xml:space="preserve"> како</w:t>
      </w:r>
      <w:r w:rsidR="00012086" w:rsidRPr="00012086">
        <w:rPr>
          <w:lang w:val="mk-MK"/>
        </w:rPr>
        <w:t xml:space="preserve"> распределбата на моќта </w:t>
      </w:r>
      <w:r w:rsidR="00BB1CBB">
        <w:rPr>
          <w:lang w:val="mk-MK"/>
        </w:rPr>
        <w:t>по</w:t>
      </w:r>
      <w:r w:rsidR="00012086" w:rsidRPr="00012086">
        <w:rPr>
          <w:lang w:val="mk-MK"/>
        </w:rPr>
        <w:t xml:space="preserve">меѓу повеќе групи, долгорочното вложување во човечки капитал, фидуцијарната заштита на послабата страна, или интеграцијата на вработените во корпоративните структури. </w:t>
      </w:r>
    </w:p>
    <w:p w14:paraId="2C8A4348" w14:textId="77777777" w:rsidR="007D07FF" w:rsidRDefault="00BB1CBB" w:rsidP="00DF3CB1">
      <w:pPr>
        <w:pStyle w:val="BodyText"/>
        <w:spacing w:before="240"/>
        <w:ind w:firstLine="720"/>
        <w:jc w:val="both"/>
        <w:rPr>
          <w:lang w:val="mk-MK"/>
        </w:rPr>
      </w:pPr>
      <w:r>
        <w:rPr>
          <w:lang w:val="mk-MK"/>
        </w:rPr>
        <w:t xml:space="preserve">Сепак и </w:t>
      </w:r>
      <w:r w:rsidR="00012086" w:rsidRPr="00012086">
        <w:rPr>
          <w:lang w:val="mk-MK"/>
        </w:rPr>
        <w:t>покрај оваа теоретска плодност, практичното институционализирање на учеството на вработените останува географски нерамномерно и политички контестирано</w:t>
      </w:r>
      <w:r w:rsidR="00631201">
        <w:rPr>
          <w:lang w:val="mk-MK"/>
        </w:rPr>
        <w:t xml:space="preserve">, </w:t>
      </w:r>
      <w:r w:rsidR="00012086" w:rsidRPr="00012086">
        <w:rPr>
          <w:lang w:val="mk-MK"/>
        </w:rPr>
        <w:t>особено во системите во кои доминира англо-американскиот модел на корпоративно управување, каде директорите и менаџерите традиционално одговараат исклучиво пред акционерите.</w:t>
      </w:r>
      <w:r w:rsidR="00EE2F0D">
        <w:rPr>
          <w:lang w:val="mk-MK"/>
        </w:rPr>
        <w:t xml:space="preserve"> </w:t>
      </w:r>
      <w:r w:rsidR="00EE2F0D" w:rsidRPr="00EE2F0D">
        <w:rPr>
          <w:lang w:val="mk-MK"/>
        </w:rPr>
        <w:t>Европскиот пат кон работничката ко-детерминација е сам по себе илустративен за оваа противречност. Повлекувањето на Петтата директива во 2001 година, по скоро три децении неуспешни преговори, не ја затвори расправата</w:t>
      </w:r>
      <w:r w:rsidR="00EE2F0D">
        <w:rPr>
          <w:lang w:val="mk-MK"/>
        </w:rPr>
        <w:t>,</w:t>
      </w:r>
      <w:r w:rsidR="00EE2F0D" w:rsidRPr="00EE2F0D">
        <w:rPr>
          <w:lang w:val="mk-MK"/>
        </w:rPr>
        <w:t xml:space="preserve"> туку ја преориентира</w:t>
      </w:r>
      <w:r w:rsidR="00EE2F0D">
        <w:rPr>
          <w:lang w:val="mk-MK"/>
        </w:rPr>
        <w:t>ше</w:t>
      </w:r>
      <w:r w:rsidR="00EE2F0D" w:rsidRPr="00EE2F0D">
        <w:rPr>
          <w:lang w:val="mk-MK"/>
        </w:rPr>
        <w:t xml:space="preserve"> кон посупсидијарни и поволунтаристички инструменти</w:t>
      </w:r>
      <w:r w:rsidR="00EE2F0D">
        <w:rPr>
          <w:lang w:val="mk-MK"/>
        </w:rPr>
        <w:t xml:space="preserve"> како</w:t>
      </w:r>
      <w:r w:rsidR="00EE2F0D" w:rsidRPr="00EE2F0D">
        <w:rPr>
          <w:lang w:val="mk-MK"/>
        </w:rPr>
        <w:t xml:space="preserve"> Директивата за европски работнички совети, рамката за Европско трговско друштво, Директивата 2017/1132 и нефинансиското известување. </w:t>
      </w:r>
    </w:p>
    <w:p w14:paraId="7CAA2194" w14:textId="77777777" w:rsidR="00396816" w:rsidRDefault="00EE2F0D" w:rsidP="00DF3CB1">
      <w:pPr>
        <w:pStyle w:val="BodyText"/>
        <w:spacing w:before="240"/>
        <w:ind w:firstLine="720"/>
        <w:jc w:val="both"/>
        <w:rPr>
          <w:lang w:val="mk-MK"/>
        </w:rPr>
      </w:pPr>
      <w:r w:rsidRPr="00EE2F0D">
        <w:rPr>
          <w:lang w:val="mk-MK"/>
        </w:rPr>
        <w:t>Секој од овие инструменти претставува делумен одговор, но ниту еден</w:t>
      </w:r>
      <w:r w:rsidR="007D07FF">
        <w:rPr>
          <w:lang w:val="mk-MK"/>
        </w:rPr>
        <w:t xml:space="preserve"> од нив</w:t>
      </w:r>
      <w:r w:rsidRPr="00EE2F0D">
        <w:rPr>
          <w:lang w:val="mk-MK"/>
        </w:rPr>
        <w:t xml:space="preserve"> не нуди систематска, универзална гаранција за учество на вработените во стратешкото одлучување. Критиките за потенцијалното штетно влијание врз малцинските акционери и зголемените трошоци за управување, иако не се без основа, честопати служат како аргументи за одложување наместо за усовршување на системот и во таа смисла </w:t>
      </w:r>
      <w:r w:rsidR="003D028D">
        <w:rPr>
          <w:lang w:val="mk-MK"/>
        </w:rPr>
        <w:t>го</w:t>
      </w:r>
      <w:r w:rsidRPr="00EE2F0D">
        <w:rPr>
          <w:lang w:val="mk-MK"/>
        </w:rPr>
        <w:t xml:space="preserve"> рефлектираат поширокото структурно </w:t>
      </w:r>
      <w:r w:rsidR="003D028D">
        <w:rPr>
          <w:lang w:val="mk-MK"/>
        </w:rPr>
        <w:t>пружање отпор</w:t>
      </w:r>
      <w:r w:rsidRPr="00EE2F0D">
        <w:rPr>
          <w:lang w:val="mk-MK"/>
        </w:rPr>
        <w:t xml:space="preserve"> кон промена на воспоставените рамнотежи на корпоративна моќ.</w:t>
      </w:r>
      <w:r w:rsidR="003D028D">
        <w:rPr>
          <w:lang w:val="mk-MK"/>
        </w:rPr>
        <w:t xml:space="preserve"> </w:t>
      </w:r>
      <w:r w:rsidR="003D028D" w:rsidRPr="003D028D">
        <w:rPr>
          <w:lang w:val="mk-MK"/>
        </w:rPr>
        <w:t>Од сето погоре изложено произлегува еден клучен заклучок со директно значење за предметот на овој труд</w:t>
      </w:r>
      <w:r w:rsidR="003D028D">
        <w:rPr>
          <w:lang w:val="mk-MK"/>
        </w:rPr>
        <w:t>, а тоа е дека</w:t>
      </w:r>
      <w:r w:rsidR="003D028D" w:rsidRPr="003D028D">
        <w:rPr>
          <w:lang w:val="mk-MK"/>
        </w:rPr>
        <w:t xml:space="preserve"> учеството на вработените во корпоративното управување не е прашање кое чека на своето теоретско оправдување</w:t>
      </w:r>
      <w:r w:rsidR="003D028D">
        <w:rPr>
          <w:lang w:val="mk-MK"/>
        </w:rPr>
        <w:t>,</w:t>
      </w:r>
      <w:r w:rsidR="003D028D" w:rsidRPr="003D028D">
        <w:rPr>
          <w:lang w:val="mk-MK"/>
        </w:rPr>
        <w:t xml:space="preserve"> тоа оправдување постои, разработено, нијансирано и мултидисциплинарно. Она кое недостасува е политичката и институционалната волја за негова конзистентна операционализација. </w:t>
      </w:r>
    </w:p>
    <w:p w14:paraId="7E7D859E" w14:textId="09CAE37F" w:rsidR="00B675E7" w:rsidRDefault="003D028D" w:rsidP="00DF3CB1">
      <w:pPr>
        <w:pStyle w:val="BodyText"/>
        <w:spacing w:before="240"/>
        <w:ind w:firstLine="720"/>
        <w:jc w:val="both"/>
        <w:rPr>
          <w:lang w:val="mk-MK"/>
        </w:rPr>
      </w:pPr>
      <w:r w:rsidRPr="003D028D">
        <w:rPr>
          <w:lang w:val="mk-MK"/>
        </w:rPr>
        <w:t>Во услови кога правните системи покажуваат поголема отвореност кон интеграцијата на автоматизирани алгоритми во корпоративното одлучување отколку кон формализираното учество на луѓето кои ја создаваат вредноста на компанијата, прашањето за легитимноста и правдата на корпоративниот поредок станува неизбежно и во академска и во политичка смисла.</w:t>
      </w:r>
      <w:r w:rsidR="004875C0">
        <w:rPr>
          <w:lang w:val="mk-MK"/>
        </w:rPr>
        <w:t xml:space="preserve"> А</w:t>
      </w:r>
      <w:r w:rsidR="004875C0" w:rsidRPr="004875C0">
        <w:rPr>
          <w:lang w:val="mk-MK"/>
        </w:rPr>
        <w:t xml:space="preserve">лгоритамските системи денес функционираат како </w:t>
      </w:r>
      <w:r w:rsidR="004875C0" w:rsidRPr="004875C0">
        <w:rPr>
          <w:i/>
          <w:iCs/>
          <w:lang w:val="mk-MK"/>
        </w:rPr>
        <w:t>de facto</w:t>
      </w:r>
      <w:r w:rsidR="004875C0" w:rsidRPr="004875C0">
        <w:rPr>
          <w:lang w:val="mk-MK"/>
        </w:rPr>
        <w:t xml:space="preserve"> корпоративни актери, обликувајќи исходи преку нетранспарентни архитектури што се спротивставуваат на традиционалното припишување одговорност. </w:t>
      </w:r>
      <w:r w:rsidR="0025279D">
        <w:rPr>
          <w:lang w:val="mk-MK"/>
        </w:rPr>
        <w:t>Оваа</w:t>
      </w:r>
      <w:r w:rsidR="004875C0" w:rsidRPr="004875C0">
        <w:rPr>
          <w:lang w:val="mk-MK"/>
        </w:rPr>
        <w:t xml:space="preserve"> промена создава притисок врз фидуцијарните должности на директорите</w:t>
      </w:r>
      <w:r w:rsidR="0025279D">
        <w:rPr>
          <w:lang w:val="mk-MK"/>
        </w:rPr>
        <w:t xml:space="preserve"> и</w:t>
      </w:r>
      <w:r w:rsidR="004875C0" w:rsidRPr="004875C0">
        <w:rPr>
          <w:lang w:val="mk-MK"/>
        </w:rPr>
        <w:t xml:space="preserve"> особено должностите на внимание, лојалност и надзор, кои претпоставуваат човечко расудување, делиберација и </w:t>
      </w:r>
      <w:r w:rsidR="0025279D">
        <w:rPr>
          <w:lang w:val="mk-MK"/>
        </w:rPr>
        <w:t>елаборација.</w:t>
      </w:r>
      <w:r w:rsidR="004875C0" w:rsidRPr="004875C0">
        <w:rPr>
          <w:lang w:val="mk-MK"/>
        </w:rPr>
        <w:t xml:space="preserve"> Како што алгоритамските алатки сè повеќе посредуваат во проценката на ризици, усогласеноста и стратегијата, правната фикција дека директорите „одлучуваат“ станува сè повеќе одвоена од емпириската реалност.</w:t>
      </w:r>
    </w:p>
    <w:p w14:paraId="36A93964" w14:textId="6A83FCC9" w:rsidR="007E6DBD" w:rsidRDefault="00A67742" w:rsidP="00DF3CB1">
      <w:pPr>
        <w:pStyle w:val="BodyText"/>
        <w:spacing w:before="240"/>
        <w:ind w:firstLine="720"/>
        <w:jc w:val="both"/>
        <w:rPr>
          <w:lang w:val="mk-MK"/>
        </w:rPr>
      </w:pPr>
      <w:r>
        <w:rPr>
          <w:lang w:val="mk-MK"/>
        </w:rPr>
        <w:t>К</w:t>
      </w:r>
      <w:r w:rsidRPr="007E6DBD">
        <w:rPr>
          <w:lang w:val="mk-MK"/>
        </w:rPr>
        <w:t>ако</w:t>
      </w:r>
      <w:r>
        <w:rPr>
          <w:lang w:val="mk-MK"/>
        </w:rPr>
        <w:t xml:space="preserve"> што беше прикажано</w:t>
      </w:r>
      <w:r>
        <w:rPr>
          <w:lang w:val="mk-MK"/>
        </w:rPr>
        <w:t>, о</w:t>
      </w:r>
      <w:r w:rsidR="007E6DBD">
        <w:rPr>
          <w:lang w:val="mk-MK"/>
        </w:rPr>
        <w:t>ваа загриженост може да се прошири</w:t>
      </w:r>
      <w:r w:rsidR="007E6DBD" w:rsidRPr="007E6DBD">
        <w:rPr>
          <w:lang w:val="mk-MK"/>
        </w:rPr>
        <w:t xml:space="preserve"> и на акционерските права</w:t>
      </w:r>
      <w:r>
        <w:rPr>
          <w:lang w:val="mk-MK"/>
        </w:rPr>
        <w:t xml:space="preserve"> затоа што</w:t>
      </w:r>
      <w:r w:rsidR="007E6DBD" w:rsidRPr="007E6DBD">
        <w:rPr>
          <w:lang w:val="mk-MK"/>
        </w:rPr>
        <w:t xml:space="preserve"> гласањето и ангажманот се филтрираат преку институционални и алгоритамски посредници, трансформирајќи го формалното учество во управување водено од модели со ограничена транспарентност и можност за оспорување. </w:t>
      </w:r>
      <w:r w:rsidR="00340D67">
        <w:rPr>
          <w:lang w:val="mk-MK"/>
        </w:rPr>
        <w:t>П</w:t>
      </w:r>
      <w:r w:rsidR="007E6DBD" w:rsidRPr="007E6DBD">
        <w:rPr>
          <w:lang w:val="mk-MK"/>
        </w:rPr>
        <w:t>одлабок</w:t>
      </w:r>
      <w:r w:rsidR="00340D67">
        <w:rPr>
          <w:lang w:val="mk-MK"/>
        </w:rPr>
        <w:t>иот</w:t>
      </w:r>
      <w:r w:rsidR="007E6DBD" w:rsidRPr="007E6DBD">
        <w:rPr>
          <w:lang w:val="mk-MK"/>
        </w:rPr>
        <w:t xml:space="preserve"> регулаторен парадокс </w:t>
      </w:r>
      <w:r w:rsidR="00340D67">
        <w:rPr>
          <w:lang w:val="mk-MK"/>
        </w:rPr>
        <w:t>е тоа што</w:t>
      </w:r>
      <w:r w:rsidR="007E6DBD" w:rsidRPr="007E6DBD">
        <w:rPr>
          <w:lang w:val="mk-MK"/>
        </w:rPr>
        <w:t xml:space="preserve"> креаторите на политики го забрзуваат воведувањето на вештачката интелигенција во корпоративното управување, додека најдемократски заснованиот механизам на управување, учеството на работниците, останува маргинален или отсутен.</w:t>
      </w:r>
    </w:p>
    <w:p w14:paraId="74AAD689" w14:textId="7EA01A9F" w:rsidR="00340D67" w:rsidRDefault="006F6A49" w:rsidP="00DF3CB1">
      <w:pPr>
        <w:pStyle w:val="BodyText"/>
        <w:spacing w:before="240"/>
        <w:ind w:firstLine="720"/>
        <w:jc w:val="both"/>
        <w:rPr>
          <w:lang w:val="mk-MK"/>
        </w:rPr>
      </w:pPr>
      <w:r w:rsidRPr="006F6A49">
        <w:rPr>
          <w:lang w:val="mk-MK"/>
        </w:rPr>
        <w:lastRenderedPageBreak/>
        <w:t>Земени заедно, овие динамики бараат нормативна интервенција, а не понатамошно дескриптивно прилагодување. Корпоративното право не може да продолжи да ги третира алгоритмите како неутрални инструменти без да ја еродира сопствената легитимност. Ако моќта на управување се остварува преку алгоритамски системи, тогаш одговорноста мора да се поврзе со нивниот дизајн, примена и ефекти. Тоа подразбира реинтерпретација на фидуцијарните должности така што ќе вклучуваат обврски за алгоритамска писменост, објаснивост и можност за оспорување</w:t>
      </w:r>
      <w:r w:rsidR="00A8365B">
        <w:rPr>
          <w:lang w:val="mk-MK"/>
        </w:rPr>
        <w:t>,</w:t>
      </w:r>
      <w:r w:rsidRPr="006F6A49">
        <w:rPr>
          <w:lang w:val="mk-MK"/>
        </w:rPr>
        <w:t xml:space="preserve"> проширување на режимите на обелоденување и надзор надвор од реториката за управување со ризици и повторно вградување на човечките чинители, особено работниците, во процесите на одлучување пред автономијата да им биде препуштена на машините.</w:t>
      </w:r>
    </w:p>
    <w:p w14:paraId="67447C58" w14:textId="77777777" w:rsidR="002D4EF5" w:rsidRDefault="006F6A49" w:rsidP="006F6A49">
      <w:pPr>
        <w:pStyle w:val="BodyText"/>
        <w:spacing w:before="240"/>
        <w:ind w:firstLine="720"/>
        <w:jc w:val="both"/>
        <w:rPr>
          <w:lang w:val="mk-MK"/>
        </w:rPr>
      </w:pPr>
      <w:r w:rsidRPr="006F6A49">
        <w:rPr>
          <w:lang w:val="mk-MK"/>
        </w:rPr>
        <w:t xml:space="preserve">За да се одговори на овие доктринарни и регулаторни предизвици, управните одбори мора да ги адаптираат постојните структури на управување. </w:t>
      </w:r>
      <w:r w:rsidR="00A8365B">
        <w:rPr>
          <w:lang w:val="mk-MK"/>
        </w:rPr>
        <w:t>Тука с</w:t>
      </w:r>
      <w:r w:rsidRPr="006F6A49">
        <w:rPr>
          <w:lang w:val="mk-MK"/>
        </w:rPr>
        <w:t xml:space="preserve">е издвојуваат неколку принципи. Прво, алгоритамска писменост. Одборите треба да обезбедат барем дел од членовите да поседуваат доволно разбирање за алгоритамската логика и нејзините ограничувања, било преку обука или преку независни експертски советници. Второ, објаснивост и документација. Одборите треба да бараат документација за моделите што ги опфаќа претпоставките, изворите на податоци за обука, варијаблите и познатите ограничувања. Регулаторните насоки од Актот на ЕУ за вештачка интелигенција и сличните рамки обезбедуваат почетна основа за таква документација. </w:t>
      </w:r>
    </w:p>
    <w:p w14:paraId="29771E99" w14:textId="529CDFD9" w:rsidR="00D723E7" w:rsidRDefault="006F6A49" w:rsidP="006F6A49">
      <w:pPr>
        <w:pStyle w:val="BodyText"/>
        <w:spacing w:before="240"/>
        <w:ind w:firstLine="720"/>
        <w:jc w:val="both"/>
        <w:rPr>
          <w:lang w:val="mk-MK"/>
        </w:rPr>
      </w:pPr>
      <w:r w:rsidRPr="006F6A49">
        <w:rPr>
          <w:lang w:val="mk-MK"/>
        </w:rPr>
        <w:t>Трето, независни ревизии. Исто како што ревизорите ги проверуваат финансиските контроли, алгоритамските системи треба да бидат предмет на периодичен независен преглед со цел да се оцени пристрасноста, отпорноста и усогласеноста со корпоративните цели. Четврто, човечка интервенција. Управувачките структури треба да зачуваат човечка дискреција при критични одлуки, обезбедувајќи алгоритамските резултати да информираат, но да не ги диктираат исходите.</w:t>
      </w:r>
    </w:p>
    <w:p w14:paraId="1B1C55F0" w14:textId="12273002" w:rsidR="00D723E7" w:rsidRDefault="006F6A49" w:rsidP="006F6A49">
      <w:pPr>
        <w:pStyle w:val="BodyText"/>
        <w:spacing w:before="240"/>
        <w:ind w:firstLine="720"/>
        <w:jc w:val="both"/>
        <w:rPr>
          <w:lang w:val="mk-MK"/>
        </w:rPr>
      </w:pPr>
      <w:r w:rsidRPr="006F6A49">
        <w:rPr>
          <w:lang w:val="mk-MK"/>
        </w:rPr>
        <w:t>Заедно, овие принципи нудат патека за усогласување на алгоритамското управување со доктринарните барања на фидуцијарното право и регулаторните очекувања. На тој начин, тие го зачувуваат човечкото јадро на одговорноста, признавајќи дека корпоративното управување во дигиталната ера не може да го игнорира структурното влијание на алгоритамските системи. Оттука, изборот не е помеѓу иновација и регулација, туку помеѓу одговорно управување и постепено лизгање кон автоматизирана власт без одговорност. Затоа</w:t>
      </w:r>
      <w:r w:rsidR="00C56553">
        <w:rPr>
          <w:lang w:val="mk-MK"/>
        </w:rPr>
        <w:t>,</w:t>
      </w:r>
      <w:r w:rsidRPr="006F6A49">
        <w:rPr>
          <w:lang w:val="mk-MK"/>
        </w:rPr>
        <w:t xml:space="preserve"> </w:t>
      </w:r>
      <w:r w:rsidR="00C56553">
        <w:rPr>
          <w:lang w:val="mk-MK"/>
        </w:rPr>
        <w:t xml:space="preserve">деловното </w:t>
      </w:r>
      <w:r w:rsidRPr="006F6A49">
        <w:rPr>
          <w:lang w:val="mk-MK"/>
        </w:rPr>
        <w:t>право мора повторно да го преземе своето нормативно јадро, инсистирајќи дека ниту еден систем, без оглед на неговата ефикасност, не смее да управува без јасно утврдена човечка одговорност.</w:t>
      </w:r>
    </w:p>
    <w:p w14:paraId="55C796A4" w14:textId="77777777" w:rsidR="00D723E7" w:rsidRDefault="00D723E7" w:rsidP="0016587F">
      <w:pPr>
        <w:pStyle w:val="BodyText"/>
        <w:spacing w:before="240"/>
        <w:jc w:val="both"/>
        <w:rPr>
          <w:lang w:val="mk-MK"/>
        </w:rPr>
      </w:pPr>
    </w:p>
    <w:p w14:paraId="2683B4F2" w14:textId="77777777" w:rsidR="00D723E7" w:rsidRDefault="00D723E7" w:rsidP="0016587F">
      <w:pPr>
        <w:pStyle w:val="BodyText"/>
        <w:spacing w:before="240"/>
        <w:jc w:val="both"/>
        <w:rPr>
          <w:lang w:val="mk-MK"/>
        </w:rPr>
      </w:pPr>
    </w:p>
    <w:p w14:paraId="093D1614" w14:textId="77777777" w:rsidR="00D723E7" w:rsidRDefault="00D723E7" w:rsidP="0016587F">
      <w:pPr>
        <w:pStyle w:val="BodyText"/>
        <w:spacing w:before="240"/>
        <w:jc w:val="both"/>
        <w:rPr>
          <w:lang w:val="mk-MK"/>
        </w:rPr>
      </w:pPr>
    </w:p>
    <w:p w14:paraId="06807197" w14:textId="77777777" w:rsidR="00D723E7" w:rsidRDefault="00D723E7" w:rsidP="0016587F">
      <w:pPr>
        <w:pStyle w:val="BodyText"/>
        <w:spacing w:before="240"/>
        <w:jc w:val="both"/>
        <w:rPr>
          <w:lang w:val="mk-MK"/>
        </w:rPr>
      </w:pPr>
    </w:p>
    <w:p w14:paraId="0C78408D" w14:textId="77777777" w:rsidR="00D723E7" w:rsidRDefault="00D723E7" w:rsidP="0016587F">
      <w:pPr>
        <w:pStyle w:val="BodyText"/>
        <w:spacing w:before="240"/>
        <w:jc w:val="both"/>
        <w:rPr>
          <w:lang w:val="mk-MK"/>
        </w:rPr>
      </w:pPr>
    </w:p>
    <w:p w14:paraId="52AEF077" w14:textId="77777777" w:rsidR="006F6A49" w:rsidRDefault="006F6A49" w:rsidP="006F6A49">
      <w:pPr>
        <w:pStyle w:val="BodyText"/>
        <w:jc w:val="both"/>
        <w:rPr>
          <w:lang w:val="mk-MK"/>
        </w:rPr>
      </w:pPr>
    </w:p>
    <w:p w14:paraId="62C39CE0" w14:textId="77777777" w:rsidR="00367006" w:rsidRDefault="00367006" w:rsidP="006F6A49">
      <w:pPr>
        <w:pStyle w:val="BodyText"/>
        <w:jc w:val="both"/>
        <w:rPr>
          <w:lang w:val="mk-MK"/>
        </w:rPr>
      </w:pPr>
    </w:p>
    <w:p w14:paraId="524E26F7" w14:textId="286CD9D0" w:rsidR="00FC3F8A" w:rsidRPr="00F53881" w:rsidRDefault="00D40764" w:rsidP="00367006">
      <w:pPr>
        <w:pStyle w:val="Heading1"/>
        <w:spacing w:before="0"/>
        <w:jc w:val="center"/>
        <w:rPr>
          <w:lang w:val="mk-MK"/>
        </w:rPr>
      </w:pPr>
      <w:bookmarkStart w:id="132" w:name="_Toc230523985"/>
      <w:r>
        <w:rPr>
          <w:lang w:val="mk-MK"/>
        </w:rPr>
        <w:lastRenderedPageBreak/>
        <w:t>З</w:t>
      </w:r>
      <w:r w:rsidR="004D7543">
        <w:rPr>
          <w:lang w:val="mk-MK"/>
        </w:rPr>
        <w:t>аклучоци</w:t>
      </w:r>
      <w:bookmarkEnd w:id="132"/>
    </w:p>
    <w:p w14:paraId="5CB31D75" w14:textId="7D0E76F2" w:rsidR="000D7EC8" w:rsidRDefault="002135D0" w:rsidP="002135D0">
      <w:pPr>
        <w:pStyle w:val="BodyText"/>
        <w:spacing w:before="240" w:after="240"/>
        <w:ind w:firstLine="720"/>
        <w:jc w:val="both"/>
        <w:rPr>
          <w:lang w:val="mk-MK"/>
        </w:rPr>
      </w:pPr>
      <w:r w:rsidRPr="002135D0">
        <w:rPr>
          <w:lang w:val="mk-MK"/>
        </w:rPr>
        <w:t xml:space="preserve">Оваа докторска дисертација тргнува од основната претпоставка дека корпоративното управување повеќе не може да се </w:t>
      </w:r>
      <w:r w:rsidR="00E4463C">
        <w:rPr>
          <w:lang w:val="mk-MK"/>
        </w:rPr>
        <w:t>толкува</w:t>
      </w:r>
      <w:r w:rsidRPr="002135D0">
        <w:rPr>
          <w:lang w:val="mk-MK"/>
        </w:rPr>
        <w:t xml:space="preserve"> исклучиво како систем на односи помеѓу акционерите, управата и капиталот, туку како поширока институционална рамка во која вработените претставуваат суштински чинител на создавањето вредност, стабилноста на друштвото и долгорочната одржливост на економскиот развој. Во тој контекст, централното истражувачко прашање беше дали и преку кои модели трговските друштва можат да овозможат реална, функционална и правно одржлива вклученост на вработените, особено преку учество во органите на друштвото и преку распределба на акции</w:t>
      </w:r>
      <w:r w:rsidR="000F1127">
        <w:rPr>
          <w:lang w:val="mk-MK"/>
        </w:rPr>
        <w:t xml:space="preserve"> и колку придобивки носи таавклученост за трговските друштва и за вработените</w:t>
      </w:r>
      <w:r w:rsidRPr="002135D0">
        <w:rPr>
          <w:lang w:val="mk-MK"/>
        </w:rPr>
        <w:t>.</w:t>
      </w:r>
    </w:p>
    <w:p w14:paraId="3176C271" w14:textId="6841F0B9" w:rsidR="000F1127" w:rsidRDefault="002223B4" w:rsidP="002135D0">
      <w:pPr>
        <w:pStyle w:val="BodyText"/>
        <w:spacing w:before="240" w:after="240"/>
        <w:ind w:firstLine="720"/>
        <w:jc w:val="both"/>
        <w:rPr>
          <w:lang w:val="mk-MK"/>
        </w:rPr>
      </w:pPr>
      <w:r w:rsidRPr="002223B4">
        <w:rPr>
          <w:lang w:val="mk-MK"/>
        </w:rPr>
        <w:t>Истражувањето покажа дека моделите на вклученост на вработените глобално се развивале во две доминантни насоки. Првата е институционалното учество преку претставеност во органите на управување и надзор, најизразено во континенталните европски системи</w:t>
      </w:r>
      <w:r w:rsidR="009821B9">
        <w:rPr>
          <w:lang w:val="mk-MK"/>
        </w:rPr>
        <w:t xml:space="preserve"> и</w:t>
      </w:r>
      <w:r w:rsidRPr="002223B4">
        <w:rPr>
          <w:lang w:val="mk-MK"/>
        </w:rPr>
        <w:t xml:space="preserve"> особено германскиот модел на кодетерминација. Втората е финансиската партиципација преку сопственичко учество, карактеристична за англосаксонските системи</w:t>
      </w:r>
      <w:r w:rsidR="00E07C7E">
        <w:rPr>
          <w:lang w:val="mk-MK"/>
        </w:rPr>
        <w:t xml:space="preserve"> и</w:t>
      </w:r>
      <w:r w:rsidRPr="002223B4">
        <w:rPr>
          <w:lang w:val="mk-MK"/>
        </w:rPr>
        <w:t xml:space="preserve"> особено преку американските модели на работничко акционерство. Дисертацијата утврди дека ниту еден од овие модели сам по себе не претставува универзално решение. Првиот обезбедува институционален глас, но не секогаш и економски стимул</w:t>
      </w:r>
      <w:r w:rsidR="00E07C7E">
        <w:rPr>
          <w:lang w:val="mk-MK"/>
        </w:rPr>
        <w:t>, додека в</w:t>
      </w:r>
      <w:r w:rsidRPr="002223B4">
        <w:rPr>
          <w:lang w:val="mk-MK"/>
        </w:rPr>
        <w:t>ториот создава сопственички интерес, но без гарантиран глас во процесот на одлучување. Оттука, најфункционални се хибридните модели кои комбинираат елементи на двата пристапа.</w:t>
      </w:r>
    </w:p>
    <w:p w14:paraId="1B877305" w14:textId="75E9C53B" w:rsidR="00E07C7E" w:rsidRDefault="00581E06" w:rsidP="002135D0">
      <w:pPr>
        <w:pStyle w:val="BodyText"/>
        <w:spacing w:before="240" w:after="240"/>
        <w:ind w:firstLine="720"/>
        <w:jc w:val="both"/>
        <w:rPr>
          <w:lang w:val="mk-MK"/>
        </w:rPr>
      </w:pPr>
      <w:r w:rsidRPr="00581E06">
        <w:rPr>
          <w:lang w:val="mk-MK"/>
        </w:rPr>
        <w:t xml:space="preserve">Компаративната анализа на </w:t>
      </w:r>
      <w:r w:rsidR="00005FFB">
        <w:rPr>
          <w:lang w:val="mk-MK"/>
        </w:rPr>
        <w:t xml:space="preserve">Србија, БиХ, </w:t>
      </w:r>
      <w:r w:rsidR="00CA4BF8">
        <w:rPr>
          <w:lang w:val="mk-MK"/>
        </w:rPr>
        <w:t xml:space="preserve">Хрватска, Словенија, </w:t>
      </w:r>
      <w:r w:rsidRPr="00581E06">
        <w:rPr>
          <w:lang w:val="mk-MK"/>
        </w:rPr>
        <w:t>Германија,</w:t>
      </w:r>
      <w:r w:rsidR="00CA4BF8">
        <w:rPr>
          <w:lang w:val="mk-MK"/>
        </w:rPr>
        <w:t xml:space="preserve"> Холандија, Италија, </w:t>
      </w:r>
      <w:r w:rsidRPr="00581E06">
        <w:rPr>
          <w:lang w:val="mk-MK"/>
        </w:rPr>
        <w:t>Полска, Обединетото Кралство, САД, Јапонија и Кина покажа дека степенот на учество на вработените директно зависи од историската еволуција на институциите, силата на синдикалното организирање, политичката култура, структурата на економијата и квалитетот на владеењето на правото. Таму каде што учеството на вработените е интегрирано во корпоративната архитектура, корпоративното управување е поотпорно, социјално побалансирано и повеќе ориентирано кон долгорочна вредност. Таму каде што доминира апсолутниот примат на акционерите, се јавуваат поголеми нееднаквости, краткорочни стратегии и послаб социјален легитимитет на корпоративните одлуки.</w:t>
      </w:r>
      <w:r w:rsidR="00A21E38">
        <w:rPr>
          <w:rStyle w:val="FootnoteReference"/>
          <w:lang w:val="mk-MK"/>
        </w:rPr>
        <w:footnoteReference w:id="951"/>
      </w:r>
    </w:p>
    <w:p w14:paraId="62517D03" w14:textId="0DE453E6" w:rsidR="00050298" w:rsidRDefault="00050298" w:rsidP="002135D0">
      <w:pPr>
        <w:pStyle w:val="BodyText"/>
        <w:spacing w:before="240" w:after="240"/>
        <w:ind w:firstLine="720"/>
        <w:jc w:val="both"/>
        <w:rPr>
          <w:lang w:val="mk-MK"/>
        </w:rPr>
      </w:pPr>
      <w:r w:rsidRPr="00050298">
        <w:rPr>
          <w:lang w:val="mk-MK"/>
        </w:rPr>
        <w:t xml:space="preserve">Истражувањето потврди дека меѓународните стандарди постепено го напуштаат традиционалниот тесен </w:t>
      </w:r>
      <w:r w:rsidRPr="00A120CA">
        <w:rPr>
          <w:i/>
          <w:iCs/>
          <w:lang w:val="mk-MK"/>
        </w:rPr>
        <w:t>shareholder модел</w:t>
      </w:r>
      <w:r w:rsidRPr="00050298">
        <w:rPr>
          <w:lang w:val="mk-MK"/>
        </w:rPr>
        <w:t xml:space="preserve"> и се движат кон </w:t>
      </w:r>
      <w:r w:rsidRPr="00A120CA">
        <w:rPr>
          <w:i/>
          <w:iCs/>
          <w:lang w:val="mk-MK"/>
        </w:rPr>
        <w:t>stakeholder пристап</w:t>
      </w:r>
      <w:r w:rsidRPr="00050298">
        <w:rPr>
          <w:lang w:val="mk-MK"/>
        </w:rPr>
        <w:t>. Конвенциите и препораките на Меѓународната организација на трудот, принципите на ОЕЦД, инструментите на Советот на Европа, правото на Европската унија и водечките принципи на Обединетите Нации создаваат нормативна насока во која транспарентноста, одговорноста, социјалниот дијалог, одржливоста и учеството на засегнатите страни стануваат составен дел од современото корпоративно право. Иако овие инструменти ретко наметнуваат единствен модел, тие јасно охрабруваат поголема улога на вработените во корпоративното одлучување.</w:t>
      </w:r>
    </w:p>
    <w:p w14:paraId="5140436E" w14:textId="4C3DE53F" w:rsidR="001E4D02" w:rsidRDefault="00141AD3" w:rsidP="002135D0">
      <w:pPr>
        <w:pStyle w:val="BodyText"/>
        <w:spacing w:before="240" w:after="240"/>
        <w:ind w:firstLine="720"/>
        <w:jc w:val="both"/>
        <w:rPr>
          <w:lang w:val="mk-MK"/>
        </w:rPr>
      </w:pPr>
      <w:r w:rsidRPr="00141AD3">
        <w:rPr>
          <w:lang w:val="mk-MK"/>
        </w:rPr>
        <w:t xml:space="preserve">Во однос на Македонија, дисертацијата утврди дека правниот систем сè уште останува доминантно поставен врз класичен капитален модел на трговски друштва, со </w:t>
      </w:r>
      <w:r w:rsidRPr="00141AD3">
        <w:rPr>
          <w:lang w:val="mk-MK"/>
        </w:rPr>
        <w:lastRenderedPageBreak/>
        <w:t xml:space="preserve">ограничени и фрагментарни механизми за учество на вработените. Постојат одредени норми што индиректно отвораат простор за финансиска партиципација, информирање или претставување, но не постои конзистентен и системски модел кој би овозможил вработените да бидат препознаени како институционални актери во корпоративното управување. Разликата помеѓу формалните норми и реалната практика останува </w:t>
      </w:r>
      <w:r w:rsidR="007A083E">
        <w:rPr>
          <w:lang w:val="mk-MK"/>
        </w:rPr>
        <w:t>преголема</w:t>
      </w:r>
      <w:r w:rsidRPr="00141AD3">
        <w:rPr>
          <w:lang w:val="mk-MK"/>
        </w:rPr>
        <w:t>, особено поради слабата корпоративна култура, ниското ниво на доверба, ограничениот пазар на капитал и недоволниот административен капацитет за спроведување на реформите.</w:t>
      </w:r>
    </w:p>
    <w:p w14:paraId="072B28A4" w14:textId="1C067C92" w:rsidR="0017479D" w:rsidRDefault="0017479D" w:rsidP="002135D0">
      <w:pPr>
        <w:pStyle w:val="BodyText"/>
        <w:spacing w:before="240" w:after="240"/>
        <w:ind w:firstLine="720"/>
        <w:jc w:val="both"/>
        <w:rPr>
          <w:lang w:val="mk-MK"/>
        </w:rPr>
      </w:pPr>
      <w:r w:rsidRPr="0017479D">
        <w:rPr>
          <w:lang w:val="mk-MK"/>
        </w:rPr>
        <w:t>Анализата на новиот Предлог закон за трговски друштва покажа дека се направени извесни чекори кон модернизација на правната рамка.</w:t>
      </w:r>
      <w:r>
        <w:rPr>
          <w:rStyle w:val="FootnoteReference"/>
          <w:lang w:val="mk-MK"/>
        </w:rPr>
        <w:footnoteReference w:id="952"/>
      </w:r>
      <w:r w:rsidRPr="0017479D">
        <w:rPr>
          <w:lang w:val="mk-MK"/>
        </w:rPr>
        <w:t xml:space="preserve"> Особено релевантни се одредбите што овозможуваат распределба на акции на вработени, стекнување сопствени акции за таа цел, условно зголемување на основната главнина и поголема транспарентност во известувањето. Сепак, овие измени не се доволни за да се констатира воспоставување на целосен модел на работничко акционерство, ниту пак создавање реална кодетерминација. Недостасуваат задолжителни или поттикнувачки механизми за претставеност на вработените во надзорните или управните органи, јасни правила за колективни </w:t>
      </w:r>
      <w:r w:rsidRPr="001D533D">
        <w:rPr>
          <w:i/>
          <w:iCs/>
          <w:lang w:val="mk-MK"/>
        </w:rPr>
        <w:t>employee share schemes</w:t>
      </w:r>
      <w:r w:rsidRPr="0017479D">
        <w:rPr>
          <w:lang w:val="mk-MK"/>
        </w:rPr>
        <w:t>, даночни поттикнувања, заштитни механизми и институционална инфраструктура за имплементација.</w:t>
      </w:r>
    </w:p>
    <w:p w14:paraId="07428FAC" w14:textId="45EEC15F" w:rsidR="001D533D" w:rsidRDefault="001D533D" w:rsidP="002135D0">
      <w:pPr>
        <w:pStyle w:val="BodyText"/>
        <w:spacing w:before="240" w:after="240"/>
        <w:ind w:firstLine="720"/>
        <w:jc w:val="both"/>
        <w:rPr>
          <w:lang w:val="mk-MK"/>
        </w:rPr>
      </w:pPr>
      <w:r w:rsidRPr="001D533D">
        <w:rPr>
          <w:lang w:val="mk-MK"/>
        </w:rPr>
        <w:t xml:space="preserve">Од аспект на јавните политики, дисертацијата покажа дека реформата на корпоративното управување во Македонија не е само правно прашање, туку процес на институционална промена обременет со инерција, вето точки, распределба на интереси и ограничени реформски капацитети. Теориите на policy feedback, veto players и постепена институционална трансформација покажуваат дека брза и радикална трансплантација на странски модели би имала ограничени </w:t>
      </w:r>
      <w:r w:rsidR="008F1FE6">
        <w:rPr>
          <w:lang w:val="mk-MK"/>
        </w:rPr>
        <w:t xml:space="preserve">до никакви </w:t>
      </w:r>
      <w:r w:rsidRPr="001D533D">
        <w:rPr>
          <w:lang w:val="mk-MK"/>
        </w:rPr>
        <w:t>шанси за успех. Поради тоа, најсоодветен пристап е постепено, фазно и селективно воведување на механизми за учество на вработените</w:t>
      </w:r>
      <w:r w:rsidR="008F1FE6">
        <w:rPr>
          <w:lang w:val="mk-MK"/>
        </w:rPr>
        <w:t xml:space="preserve"> како што е објаснето во поглавјата</w:t>
      </w:r>
      <w:r w:rsidRPr="001D533D">
        <w:rPr>
          <w:lang w:val="mk-MK"/>
        </w:rPr>
        <w:t>.</w:t>
      </w:r>
    </w:p>
    <w:p w14:paraId="249AFBB5" w14:textId="3F2898FB" w:rsidR="008F1FE6" w:rsidRDefault="003B790A" w:rsidP="002135D0">
      <w:pPr>
        <w:pStyle w:val="BodyText"/>
        <w:spacing w:before="240" w:after="240"/>
        <w:ind w:firstLine="720"/>
        <w:jc w:val="both"/>
        <w:rPr>
          <w:lang w:val="mk-MK"/>
        </w:rPr>
      </w:pPr>
      <w:r w:rsidRPr="003B790A">
        <w:rPr>
          <w:lang w:val="mk-MK"/>
        </w:rPr>
        <w:t>Како најреалистичен модел за Македонија, дисертацијата предлага хибриден пристап. Тој би опфатил доброволни и поттикнати шеми за распределба на акции на вработени, задолжително информирање и консултирање во поголемите друштва, можност за претставник на вработените во надзорни или советодавни органи кај големи компании, посебни решенија за државни и стратешки друштва, како и постепено усогласување со европските стандарди за одржливост, родова рамнотежа и корпоративна отчетност. Таквиот модел не би бил механичка копија на германскиот или американскиот систем, туку решение прилагодено на македонските институционални услови.</w:t>
      </w:r>
    </w:p>
    <w:p w14:paraId="200C835D" w14:textId="72EE88E6" w:rsidR="007F19C5" w:rsidRDefault="009B65D9" w:rsidP="002135D0">
      <w:pPr>
        <w:pStyle w:val="BodyText"/>
        <w:spacing w:before="240" w:after="240"/>
        <w:ind w:firstLine="720"/>
        <w:jc w:val="both"/>
        <w:rPr>
          <w:lang w:val="mk-MK"/>
        </w:rPr>
      </w:pPr>
      <w:r w:rsidRPr="009B65D9">
        <w:rPr>
          <w:lang w:val="mk-MK"/>
        </w:rPr>
        <w:t>Централната научна констатација на ова истражување е дека вклученоста на вработените не претставува идеолошка отстапка од пазарната економија, туку рационален инструмент за подобро корпоративно управување. Кога е добро дизајнирана, таа може да придонесе за повисока продуктивност, намалени конфликти, поголема лојалност, подобро управување со ризици, поодржливи деловни стратегии и поголем социјален легитимитет на корпоративните одлуки.</w:t>
      </w:r>
    </w:p>
    <w:p w14:paraId="05921017" w14:textId="34C92C1A" w:rsidR="009B65D9" w:rsidRDefault="009B65D9" w:rsidP="002135D0">
      <w:pPr>
        <w:pStyle w:val="BodyText"/>
        <w:spacing w:before="240" w:after="240"/>
        <w:ind w:firstLine="720"/>
        <w:jc w:val="both"/>
        <w:rPr>
          <w:lang w:val="mk-MK"/>
        </w:rPr>
      </w:pPr>
      <w:r w:rsidRPr="009B65D9">
        <w:rPr>
          <w:lang w:val="mk-MK"/>
        </w:rPr>
        <w:t xml:space="preserve">Во нормативна смисла, корпоративното управување станува огледало на </w:t>
      </w:r>
      <w:r w:rsidRPr="009B65D9">
        <w:rPr>
          <w:lang w:val="mk-MK"/>
        </w:rPr>
        <w:lastRenderedPageBreak/>
        <w:t>институционалната зрелост на државата. Во тој поглед, успешната европеизација е мерлива не само преку формално транспонирање на директиви, туку преку способноста правниот систем да создаде функционални механизми на учество, отчетност и доверба. Македонија има можност преку идните реформи да го модернизира своето корпоративно право и истовремено да ја продлабочи економската демократија.</w:t>
      </w:r>
    </w:p>
    <w:p w14:paraId="699A8F97" w14:textId="18424DA3" w:rsidR="00B60311" w:rsidRPr="00BE53E1" w:rsidRDefault="00C36D5A" w:rsidP="009A5802">
      <w:pPr>
        <w:pStyle w:val="BodyText"/>
        <w:spacing w:before="240" w:after="240"/>
        <w:ind w:firstLine="720"/>
        <w:jc w:val="both"/>
        <w:rPr>
          <w:lang w:val="mk-MK"/>
        </w:rPr>
      </w:pPr>
      <w:r w:rsidRPr="00C36D5A">
        <w:rPr>
          <w:lang w:val="mk-MK"/>
        </w:rPr>
        <w:t xml:space="preserve">Конечно, оваа дисертација потврдува дека иднината на корпоративното право нема да се темели исклучиво на прашањето кој го поседува капиталот, туку сè повеќе на прашањето кој учествува во создавањето вредност и кој има право на глас во нејзиното управување. Во тој развој, вработените повеќе не можат да останат периферен фактор, </w:t>
      </w:r>
      <w:r w:rsidR="009A5802">
        <w:rPr>
          <w:lang w:val="mk-MK"/>
        </w:rPr>
        <w:t>туку ќе мора да станат</w:t>
      </w:r>
      <w:r w:rsidRPr="00C36D5A">
        <w:rPr>
          <w:lang w:val="mk-MK"/>
        </w:rPr>
        <w:t xml:space="preserve"> суштински дел од современата корпоративна уставност.</w:t>
      </w:r>
    </w:p>
    <w:p w14:paraId="5E7DE9EB" w14:textId="5E89A4D7" w:rsidR="000D7EC8" w:rsidRDefault="00202226" w:rsidP="00202226">
      <w:pPr>
        <w:pStyle w:val="Heading1"/>
        <w:numPr>
          <w:ilvl w:val="0"/>
          <w:numId w:val="72"/>
        </w:numPr>
        <w:rPr>
          <w:lang w:val="mk-MK"/>
        </w:rPr>
      </w:pPr>
      <w:bookmarkStart w:id="133" w:name="_Toc230523986"/>
      <w:r>
        <w:rPr>
          <w:lang w:val="mk-MK"/>
        </w:rPr>
        <w:t>Сиже на тезата</w:t>
      </w:r>
      <w:bookmarkEnd w:id="133"/>
    </w:p>
    <w:p w14:paraId="40E66902" w14:textId="59A4D0FB" w:rsidR="005A0E45" w:rsidRDefault="005A0E45" w:rsidP="005A0E45">
      <w:pPr>
        <w:pStyle w:val="BodyText"/>
        <w:spacing w:before="240"/>
        <w:ind w:firstLine="720"/>
        <w:jc w:val="both"/>
        <w:rPr>
          <w:lang w:val="mk-MK"/>
        </w:rPr>
      </w:pPr>
      <w:r>
        <w:rPr>
          <w:lang w:val="mk-MK"/>
        </w:rPr>
        <w:t>Оваа д</w:t>
      </w:r>
      <w:r w:rsidRPr="005A0E45">
        <w:rPr>
          <w:lang w:val="mk-MK"/>
        </w:rPr>
        <w:t xml:space="preserve">окторска дисертација претставува интердисциплинарно истражување на пресекот помеѓу </w:t>
      </w:r>
      <w:r w:rsidR="004E1FF2">
        <w:rPr>
          <w:lang w:val="mk-MK"/>
        </w:rPr>
        <w:t>деловното</w:t>
      </w:r>
      <w:r w:rsidRPr="005A0E45">
        <w:rPr>
          <w:lang w:val="mk-MK"/>
        </w:rPr>
        <w:t xml:space="preserve"> право, трудовото право, економската демократија и јавните политики. Нејзината централна цел е да утврди преку кои правни и институционални механизми вработените можат да бидат вклучени во корпоративното управување и дали таквите модели се применливи и одржливи во македонскиот контекст.</w:t>
      </w:r>
      <w:r w:rsidR="00D82DF2">
        <w:rPr>
          <w:rStyle w:val="FootnoteReference"/>
          <w:lang w:val="mk-MK"/>
        </w:rPr>
        <w:footnoteReference w:id="953"/>
      </w:r>
    </w:p>
    <w:p w14:paraId="5B3C9A5B" w14:textId="2C0E28D5" w:rsidR="004E1FF2" w:rsidRDefault="00DF1481" w:rsidP="005A0E45">
      <w:pPr>
        <w:pStyle w:val="BodyText"/>
        <w:spacing w:before="240"/>
        <w:ind w:firstLine="720"/>
        <w:jc w:val="both"/>
        <w:rPr>
          <w:lang w:val="mk-MK"/>
        </w:rPr>
      </w:pPr>
      <w:r>
        <w:rPr>
          <w:lang w:val="mk-MK"/>
        </w:rPr>
        <w:t>Сепак. н</w:t>
      </w:r>
      <w:r w:rsidRPr="00DF1481">
        <w:rPr>
          <w:lang w:val="mk-MK"/>
        </w:rPr>
        <w:t>ајдлабокиот заклучок на целото истражување е дека зад секој успешен модел стои еден предуслов</w:t>
      </w:r>
      <w:r>
        <w:rPr>
          <w:lang w:val="mk-MK"/>
        </w:rPr>
        <w:t>, а тоа е</w:t>
      </w:r>
      <w:r w:rsidRPr="00DF1481">
        <w:rPr>
          <w:lang w:val="mk-MK"/>
        </w:rPr>
        <w:t xml:space="preserve"> довербата. Довербата е невидливата институција без која ниту една норма не функционира. Без доверба во институциите, законите остануваат формални текстови. Без доверба во судството и регулаторите, правата не се остваруваат. Без доверба во капиталниот пазар, акциите не се доживуваат како вредност, туку како ризик или фикција. Без доверба меѓу работодавачите и вработените, учеството во органите на друштвото се сведува на симболика. Без доверба во државата, реформите се гледаат како политички маневар, а не како развоен проект.</w:t>
      </w:r>
    </w:p>
    <w:p w14:paraId="7EC6D6D8" w14:textId="02B312CD" w:rsidR="00DF1481" w:rsidRDefault="007E1CEA" w:rsidP="005A0E45">
      <w:pPr>
        <w:pStyle w:val="BodyText"/>
        <w:spacing w:before="240"/>
        <w:ind w:firstLine="720"/>
        <w:jc w:val="both"/>
        <w:rPr>
          <w:lang w:val="mk-MK"/>
        </w:rPr>
      </w:pPr>
      <w:r w:rsidRPr="007E1CEA">
        <w:rPr>
          <w:lang w:val="mk-MK"/>
        </w:rPr>
        <w:t xml:space="preserve">Токму затоа, дисертацијата покажува дека успешните модели на работничка кодетерминација во Германија, работничко акционерство во САД, хибридните решенија во Словенија или холандските совети на работници не се производ само на добри закони, туку на долгорочно градено институционално </w:t>
      </w:r>
      <w:r>
        <w:rPr>
          <w:lang w:val="mk-MK"/>
        </w:rPr>
        <w:t>доверување</w:t>
      </w:r>
      <w:r w:rsidRPr="007E1CEA">
        <w:rPr>
          <w:lang w:val="mk-MK"/>
        </w:rPr>
        <w:t>. Таму каде што пазарот верува во правилата, работниците веруваат дека нивниот глас има значење, а компаниите веруваат дека вклученоста носи стабилност, моделите преживуваат и се развиваат.</w:t>
      </w:r>
    </w:p>
    <w:p w14:paraId="2B85CAEC" w14:textId="5564B293" w:rsidR="007E1CEA" w:rsidRDefault="007E1CEA" w:rsidP="005A0E45">
      <w:pPr>
        <w:pStyle w:val="BodyText"/>
        <w:spacing w:before="240"/>
        <w:ind w:firstLine="720"/>
        <w:jc w:val="both"/>
        <w:rPr>
          <w:lang w:val="mk-MK"/>
        </w:rPr>
      </w:pPr>
      <w:r w:rsidRPr="007E1CEA">
        <w:rPr>
          <w:lang w:val="mk-MK"/>
        </w:rPr>
        <w:t>Во македонскиот контекст, истражувањето укажува дека главниот предизвик не е недостатокот на можни правни решенија, туку ограниченото ниво на доверба во институциите, ниската култура на корпоративна отчетност, недоволната развиеност на капиталниот пазар и историската дистанца на граѓаните кон сопственичките инструменти. Оттука, прашањето не е само дали може да се воведе работничко акционерство или претставник на вработените во органите на друштвото, туку дали постои средина во која луѓето ќе веруваат дека тоа навистина има вредност.</w:t>
      </w:r>
    </w:p>
    <w:p w14:paraId="358F36F6" w14:textId="508DB393" w:rsidR="00B82397" w:rsidRDefault="0045003B" w:rsidP="005A0E45">
      <w:pPr>
        <w:pStyle w:val="BodyText"/>
        <w:spacing w:before="240"/>
        <w:ind w:firstLine="720"/>
        <w:jc w:val="both"/>
        <w:rPr>
          <w:lang w:val="mk-MK"/>
        </w:rPr>
      </w:pPr>
      <w:r w:rsidRPr="0045003B">
        <w:rPr>
          <w:lang w:val="mk-MK"/>
        </w:rPr>
        <w:t xml:space="preserve">Анализата на новиот Закон за трговски друштва покажува позитивни чекори кон модернизација, особено преку можности за акции на вработени, транспарентност и современи корпоративни механизми. </w:t>
      </w:r>
      <w:r w:rsidR="0080187B">
        <w:rPr>
          <w:lang w:val="mk-MK"/>
        </w:rPr>
        <w:t>Сепак,</w:t>
      </w:r>
      <w:r w:rsidRPr="0045003B">
        <w:rPr>
          <w:lang w:val="mk-MK"/>
        </w:rPr>
        <w:t xml:space="preserve"> без доверба во примената, овие решенија </w:t>
      </w:r>
      <w:r w:rsidRPr="0045003B">
        <w:rPr>
          <w:lang w:val="mk-MK"/>
        </w:rPr>
        <w:lastRenderedPageBreak/>
        <w:t>ризикуваат да останат неискористени. Правото може да создаде форма, но довербата создава живот во таа форма.</w:t>
      </w:r>
    </w:p>
    <w:p w14:paraId="4A9EA3FA" w14:textId="10DE71A8" w:rsidR="005A0E45" w:rsidRDefault="00300C30" w:rsidP="003022EB">
      <w:pPr>
        <w:pStyle w:val="BodyText"/>
        <w:spacing w:before="240" w:after="240"/>
        <w:ind w:firstLine="720"/>
        <w:jc w:val="both"/>
        <w:rPr>
          <w:lang w:val="mk-MK"/>
        </w:rPr>
      </w:pPr>
      <w:r w:rsidRPr="00300C30">
        <w:rPr>
          <w:lang w:val="mk-MK"/>
        </w:rPr>
        <w:t xml:space="preserve">Затоа, клучната порака на оваа докторска дисертација е дека реформата на корпоративното управување не започнува со член од закон, туку со обновување на довербата. Доверба дека институциите се фер. Доверба дека пазарот е реален. Доверба дека акцијата има вредност. Доверба дека вработениот не е трошок, туку партнер. Доверба дека учеството не е закана, туку сила. Во таа смисла, вклученоста на вработените </w:t>
      </w:r>
      <w:r>
        <w:rPr>
          <w:lang w:val="mk-MK"/>
        </w:rPr>
        <w:t>е</w:t>
      </w:r>
      <w:r w:rsidRPr="00300C30">
        <w:rPr>
          <w:lang w:val="mk-MK"/>
        </w:rPr>
        <w:t xml:space="preserve"> тест за зрелоста на едно општество. А таму каде што има доверба, можни се и акции, и партнерство, и модерно корпоративно управување. Таму каде што нема доверба, и најдобриот закон останува само текст на хартија.</w:t>
      </w:r>
    </w:p>
    <w:p w14:paraId="60897795" w14:textId="4699F693" w:rsidR="00202226" w:rsidRDefault="0069658B" w:rsidP="00202226">
      <w:pPr>
        <w:pStyle w:val="Heading1"/>
        <w:numPr>
          <w:ilvl w:val="0"/>
          <w:numId w:val="72"/>
        </w:numPr>
        <w:rPr>
          <w:lang w:val="mk-MK"/>
        </w:rPr>
      </w:pPr>
      <w:bookmarkStart w:id="134" w:name="_Toc230523987"/>
      <w:r>
        <w:rPr>
          <w:lang w:val="mk-MK"/>
        </w:rPr>
        <w:t>Теоретски и практични импликации на докторатот</w:t>
      </w:r>
      <w:bookmarkEnd w:id="134"/>
    </w:p>
    <w:p w14:paraId="2F7D82A0" w14:textId="77777777" w:rsidR="00AD1F61" w:rsidRDefault="00E36ACC" w:rsidP="00E36ACC">
      <w:pPr>
        <w:pStyle w:val="BodyText"/>
        <w:spacing w:before="240"/>
        <w:ind w:firstLine="720"/>
        <w:jc w:val="both"/>
        <w:rPr>
          <w:lang w:val="mk-MK"/>
        </w:rPr>
      </w:pPr>
      <w:r w:rsidRPr="00E36ACC">
        <w:rPr>
          <w:lang w:val="mk-MK"/>
        </w:rPr>
        <w:t xml:space="preserve">Во теоретска смисла, истражувањето придонесува кон надминување на традиционалното сфаќање на </w:t>
      </w:r>
      <w:r w:rsidR="00DC0E43">
        <w:rPr>
          <w:lang w:val="mk-MK"/>
        </w:rPr>
        <w:t xml:space="preserve">деловното и </w:t>
      </w:r>
      <w:r w:rsidRPr="00E36ACC">
        <w:rPr>
          <w:lang w:val="mk-MK"/>
        </w:rPr>
        <w:t xml:space="preserve">корпоративното право како област насочена речиси исклучиво кон односите </w:t>
      </w:r>
      <w:r w:rsidR="00AD1F61">
        <w:rPr>
          <w:lang w:val="mk-MK"/>
        </w:rPr>
        <w:t>по</w:t>
      </w:r>
      <w:r w:rsidRPr="00E36ACC">
        <w:rPr>
          <w:lang w:val="mk-MK"/>
        </w:rPr>
        <w:t>меѓу акционерите, управата и капиталот. Дисертацијата покажува дека современото трговско право мора да се разб</w:t>
      </w:r>
      <w:r w:rsidR="00AD1F61">
        <w:rPr>
          <w:lang w:val="mk-MK"/>
        </w:rPr>
        <w:t>е</w:t>
      </w:r>
      <w:r w:rsidRPr="00E36ACC">
        <w:rPr>
          <w:lang w:val="mk-MK"/>
        </w:rPr>
        <w:t>р</w:t>
      </w:r>
      <w:r w:rsidR="00AD1F61">
        <w:rPr>
          <w:lang w:val="mk-MK"/>
        </w:rPr>
        <w:t>е</w:t>
      </w:r>
      <w:r w:rsidRPr="00E36ACC">
        <w:rPr>
          <w:lang w:val="mk-MK"/>
        </w:rPr>
        <w:t xml:space="preserve"> како поширок систем на уредување на интересите на повеќе засегнати страни, каде вработените имаат легитимно место како носители на економски, социјални и институционални интереси. </w:t>
      </w:r>
    </w:p>
    <w:p w14:paraId="0D0DACCA" w14:textId="77777777" w:rsidR="00D2353C" w:rsidRDefault="00E36ACC" w:rsidP="00D2353C">
      <w:pPr>
        <w:pStyle w:val="BodyText"/>
        <w:spacing w:before="240"/>
        <w:ind w:firstLine="720"/>
        <w:jc w:val="both"/>
        <w:rPr>
          <w:lang w:val="mk-MK"/>
        </w:rPr>
      </w:pPr>
      <w:r w:rsidRPr="00E36ACC">
        <w:rPr>
          <w:lang w:val="mk-MK"/>
        </w:rPr>
        <w:t>Посебен теор</w:t>
      </w:r>
      <w:r w:rsidR="00B23BCA">
        <w:rPr>
          <w:lang w:val="mk-MK"/>
        </w:rPr>
        <w:t>иски</w:t>
      </w:r>
      <w:r w:rsidRPr="00E36ACC">
        <w:rPr>
          <w:lang w:val="mk-MK"/>
        </w:rPr>
        <w:t xml:space="preserve"> придонес претставува поврзувањето на </w:t>
      </w:r>
      <w:r w:rsidR="00B23BCA">
        <w:rPr>
          <w:lang w:val="mk-MK"/>
        </w:rPr>
        <w:t>деловното</w:t>
      </w:r>
      <w:r w:rsidRPr="00E36ACC">
        <w:rPr>
          <w:lang w:val="mk-MK"/>
        </w:rPr>
        <w:t xml:space="preserve"> право со трудовото право, политичката економија и теоријата на институционални промени. На тој начин, дисертацијата го позиционира прашањето на учеството на вработените како техничко корпоративно прашање, </w:t>
      </w:r>
      <w:r w:rsidR="00B23BCA">
        <w:rPr>
          <w:lang w:val="mk-MK"/>
        </w:rPr>
        <w:t>но и</w:t>
      </w:r>
      <w:r w:rsidRPr="00E36ACC">
        <w:rPr>
          <w:lang w:val="mk-MK"/>
        </w:rPr>
        <w:t xml:space="preserve"> како дел од пошироката дебата за демократијата на работното место, распределбата на економската моќ и легитимитетот на приватната власт во компаниите.</w:t>
      </w:r>
      <w:r w:rsidR="00DA24BF">
        <w:rPr>
          <w:rStyle w:val="FootnoteReference"/>
          <w:lang w:val="mk-MK"/>
        </w:rPr>
        <w:footnoteReference w:id="954"/>
      </w:r>
      <w:r w:rsidRPr="00E36ACC">
        <w:rPr>
          <w:lang w:val="mk-MK"/>
        </w:rPr>
        <w:t xml:space="preserve"> Истражувањето исто така ја потврдува тезата дека не постои универзален модел на корпоративно управување. Наместо тоа, правните решенија зависат од националниот институционален контекст, историскиот развој, структурата на економијата и степенот на доверба во институциите. </w:t>
      </w:r>
    </w:p>
    <w:p w14:paraId="389F1999" w14:textId="77777777" w:rsidR="003832F0" w:rsidRDefault="00E36ACC" w:rsidP="00D2353C">
      <w:pPr>
        <w:pStyle w:val="BodyText"/>
        <w:spacing w:before="240"/>
        <w:ind w:firstLine="720"/>
        <w:jc w:val="both"/>
        <w:rPr>
          <w:lang w:val="mk-MK"/>
        </w:rPr>
      </w:pPr>
      <w:r w:rsidRPr="00E36ACC">
        <w:rPr>
          <w:lang w:val="mk-MK"/>
        </w:rPr>
        <w:t xml:space="preserve">Со тоа, дисертацијата дава аргументи против механичко преземање на странски модели и во прилог на контекстуално прилагодени хибридни решенија. Дополнително, </w:t>
      </w:r>
      <w:r w:rsidR="00D2353C">
        <w:rPr>
          <w:lang w:val="mk-MK"/>
        </w:rPr>
        <w:t>д</w:t>
      </w:r>
      <w:r w:rsidR="003832F0">
        <w:rPr>
          <w:lang w:val="mk-MK"/>
        </w:rPr>
        <w:t>окторатот</w:t>
      </w:r>
      <w:r w:rsidRPr="00E36ACC">
        <w:rPr>
          <w:lang w:val="mk-MK"/>
        </w:rPr>
        <w:t xml:space="preserve"> го отвора прашањето на довербата како правно релевантна категорија. Довербата не е само социолошки феномен, туку предуслов за функционалност на корпоративните институции, капиталниот пазар, акционерските механизми и социјалниот дијалог. Во таа смисла, дисертацијата предлага пошироко теоретско разбирање на корпоративното управување како комбинација од формални норми и неформални институционални односи. </w:t>
      </w:r>
    </w:p>
    <w:p w14:paraId="178EA470" w14:textId="77777777" w:rsidR="003E45EA" w:rsidRDefault="00E36ACC" w:rsidP="00D2353C">
      <w:pPr>
        <w:pStyle w:val="BodyText"/>
        <w:spacing w:before="240"/>
        <w:ind w:firstLine="720"/>
        <w:jc w:val="both"/>
        <w:rPr>
          <w:lang w:val="mk-MK"/>
        </w:rPr>
      </w:pPr>
      <w:r w:rsidRPr="00E36ACC">
        <w:rPr>
          <w:lang w:val="mk-MK"/>
        </w:rPr>
        <w:t xml:space="preserve">Во практична смисла, дисертацијата нуди конкретна основа за идни реформи на македонското корпоративно законодавство. Таа покажува дека постојната рамка може да се модернизира преку постепено воведување механизми за вклученост на вработените без нарушување на пазарната логика или правната сигурност. За законодавецот, трудот нуди насоки за развој на решенија како доброволни и поттикнати шеми за работничко акционерство, можност за претставници на вработените во одредени органи на друштвото, подобрени правила за информирање и консултирање, како и даночни и </w:t>
      </w:r>
      <w:r w:rsidRPr="00E36ACC">
        <w:rPr>
          <w:lang w:val="mk-MK"/>
        </w:rPr>
        <w:lastRenderedPageBreak/>
        <w:t xml:space="preserve">регулаторни поттикнувања за компании што применуваат инклузивни модели. </w:t>
      </w:r>
    </w:p>
    <w:p w14:paraId="73D5FBB1" w14:textId="77777777" w:rsidR="00022A6E" w:rsidRDefault="00E36ACC" w:rsidP="00D2353C">
      <w:pPr>
        <w:pStyle w:val="BodyText"/>
        <w:spacing w:before="240"/>
        <w:ind w:firstLine="720"/>
        <w:jc w:val="both"/>
        <w:rPr>
          <w:lang w:val="mk-MK"/>
        </w:rPr>
      </w:pPr>
      <w:r w:rsidRPr="00E36ACC">
        <w:rPr>
          <w:lang w:val="mk-MK"/>
        </w:rPr>
        <w:t xml:space="preserve">За </w:t>
      </w:r>
      <w:r w:rsidR="003B684F">
        <w:rPr>
          <w:lang w:val="mk-MK"/>
        </w:rPr>
        <w:t>трговските друштва</w:t>
      </w:r>
      <w:r w:rsidRPr="00E36ACC">
        <w:rPr>
          <w:lang w:val="mk-MK"/>
        </w:rPr>
        <w:t xml:space="preserve">, дисертацијата покажува дека учеството на вработените не е административен товар, туку инструмент за подобро управување. </w:t>
      </w:r>
      <w:r w:rsidR="00022A6E">
        <w:rPr>
          <w:lang w:val="mk-MK"/>
        </w:rPr>
        <w:t>Друштвата</w:t>
      </w:r>
      <w:r w:rsidRPr="00E36ACC">
        <w:rPr>
          <w:lang w:val="mk-MK"/>
        </w:rPr>
        <w:t xml:space="preserve"> што создаваат канали за внатрешен глас, споделување на вредноста и поголема транспарентност имаат потенцијал за повисока продуктивност, пониска флуктуација, подобро управување со ризици и посилен организациски легитимитет. За синдикатите и организациите на работници, трудот укажува дека иднината на работничкото влијание не лежи само во класичните модели на колективно договарање, туку и во учество во корпоративната структура, финансиска партиципација и стратешко вклучување во корпоративните процеси. За регулаторите и институциите, истражувањето нагласува дека секоја реформа ќе зависи од капацитетот за спроведување, надзор и создавање доверба. Без ефикасни институции, и најдобрите норми ќе останат формални. Затоа, практичната импликација е дека реформата на корпоративното управување мора да оди паралелно со зајакнување на владеењето на правото, транспарентноста и институционалната кредибилност. </w:t>
      </w:r>
    </w:p>
    <w:p w14:paraId="3741606D" w14:textId="77777777" w:rsidR="00A80C28" w:rsidRDefault="00E36ACC" w:rsidP="00D04A85">
      <w:pPr>
        <w:pStyle w:val="BodyText"/>
        <w:spacing w:before="240" w:after="240"/>
        <w:ind w:firstLine="720"/>
        <w:jc w:val="both"/>
        <w:rPr>
          <w:lang w:val="mk-MK"/>
        </w:rPr>
      </w:pPr>
      <w:r w:rsidRPr="00E36ACC">
        <w:rPr>
          <w:lang w:val="mk-MK"/>
        </w:rPr>
        <w:t xml:space="preserve">Дисертацијата има значење и за пошироката дебата за економскиот развој во Македонија. Таа покажува дека модерната економија не се гради само со инвестиции и капитал, туку и со институции што создаваат чувство на фер учество, правичност и заеднички интерес. Вклученоста на вработените може да биде механизам за намалување на конфликтите, задржување на талентот, подобрување на социјалната кохезија и развој на посилна корпоративна култура. Во тој поглед, практичната вредност на ова истражување е што нуди модел преку кој корпоративното право може да стане инструмент на економска ефикасност и на демократска стабилност. </w:t>
      </w:r>
    </w:p>
    <w:p w14:paraId="7B8ACBAF" w14:textId="2F3B249B" w:rsidR="00BA1652" w:rsidRDefault="00E36ACC" w:rsidP="00D04A85">
      <w:pPr>
        <w:pStyle w:val="BodyText"/>
        <w:spacing w:before="240" w:after="240"/>
        <w:ind w:firstLine="720"/>
        <w:jc w:val="both"/>
        <w:rPr>
          <w:lang w:val="mk-MK"/>
        </w:rPr>
      </w:pPr>
      <w:r w:rsidRPr="00E36ACC">
        <w:rPr>
          <w:lang w:val="mk-MK"/>
        </w:rPr>
        <w:t xml:space="preserve">Сумирано, теоретската вредност на докторатот е во редефинирање на корпоративното управување како инклузивен институционален систем, а практичната вредност е во понудата на реални, постепени и применливи решенија за Македонија. Најважната импликација е дека идните реформи нема да зависат само од тоа што ќе пишува во законот, туку од тоа дали државата, </w:t>
      </w:r>
      <w:r w:rsidR="00626E8E">
        <w:rPr>
          <w:lang w:val="mk-MK"/>
        </w:rPr>
        <w:t>друштвата</w:t>
      </w:r>
      <w:r w:rsidRPr="00E36ACC">
        <w:rPr>
          <w:lang w:val="mk-MK"/>
        </w:rPr>
        <w:t xml:space="preserve"> и граѓаните ќе изградат доволно доверба за тие правила навистина да функционираат.</w:t>
      </w:r>
    </w:p>
    <w:p w14:paraId="4A59E028" w14:textId="7C1E1182" w:rsidR="0069658B" w:rsidRDefault="0069658B" w:rsidP="00202226">
      <w:pPr>
        <w:pStyle w:val="Heading1"/>
        <w:numPr>
          <w:ilvl w:val="0"/>
          <w:numId w:val="72"/>
        </w:numPr>
        <w:rPr>
          <w:lang w:val="mk-MK"/>
        </w:rPr>
      </w:pPr>
      <w:bookmarkStart w:id="135" w:name="_Toc230523988"/>
      <w:r>
        <w:rPr>
          <w:lang w:val="mk-MK"/>
        </w:rPr>
        <w:t xml:space="preserve">Потенцијал за прогрес преку </w:t>
      </w:r>
      <w:r w:rsidR="000B57A6">
        <w:rPr>
          <w:lang w:val="mk-MK"/>
        </w:rPr>
        <w:t>судската јуриспруденција</w:t>
      </w:r>
      <w:r w:rsidR="003A64E3">
        <w:rPr>
          <w:lang w:val="mk-MK"/>
        </w:rPr>
        <w:t xml:space="preserve"> доколку нема законски реформи</w:t>
      </w:r>
      <w:bookmarkEnd w:id="135"/>
    </w:p>
    <w:p w14:paraId="634268C1" w14:textId="77777777" w:rsidR="00BA1652" w:rsidRPr="00BA1652" w:rsidRDefault="00BA1652" w:rsidP="00BA1652">
      <w:pPr>
        <w:pStyle w:val="ListParagraph"/>
        <w:jc w:val="both"/>
        <w:rPr>
          <w:sz w:val="24"/>
          <w:szCs w:val="24"/>
          <w:lang w:val="mk-MK"/>
        </w:rPr>
      </w:pPr>
    </w:p>
    <w:p w14:paraId="3F17708A" w14:textId="77777777" w:rsidR="00E62C0B" w:rsidRDefault="00F33634" w:rsidP="00E62C0B">
      <w:pPr>
        <w:pStyle w:val="BodyText"/>
        <w:ind w:firstLine="720"/>
        <w:jc w:val="both"/>
        <w:rPr>
          <w:lang w:val="mk-MK"/>
        </w:rPr>
      </w:pPr>
      <w:r w:rsidRPr="00F33634">
        <w:rPr>
          <w:lang w:val="mk-MK"/>
        </w:rPr>
        <w:t>Доколку законодавните реформи во областа на корпоративното управување и вклученоста на вработените изостанат или се одложуваат,</w:t>
      </w:r>
      <w:r w:rsidR="00217C0A">
        <w:rPr>
          <w:rStyle w:val="FootnoteReference"/>
          <w:lang w:val="mk-MK"/>
        </w:rPr>
        <w:footnoteReference w:id="955"/>
      </w:r>
      <w:r w:rsidRPr="00F33634">
        <w:rPr>
          <w:lang w:val="mk-MK"/>
        </w:rPr>
        <w:t xml:space="preserve"> значаен простор за постепен прогрес останува </w:t>
      </w:r>
      <w:r w:rsidR="00217C0A">
        <w:rPr>
          <w:lang w:val="mk-MK"/>
        </w:rPr>
        <w:t xml:space="preserve">само </w:t>
      </w:r>
      <w:r w:rsidRPr="00F33634">
        <w:rPr>
          <w:lang w:val="mk-MK"/>
        </w:rPr>
        <w:t xml:space="preserve">преку судската јуриспруденција. Во современите правни системи, судовите </w:t>
      </w:r>
      <w:r w:rsidR="00D723E7">
        <w:rPr>
          <w:lang w:val="mk-MK"/>
        </w:rPr>
        <w:t>се</w:t>
      </w:r>
      <w:r w:rsidRPr="00F33634">
        <w:rPr>
          <w:lang w:val="mk-MK"/>
        </w:rPr>
        <w:t xml:space="preserve"> институции што преку толкување, пополнување на правни празнини и развивање на стандарди придонесуваат кон еволуцијата на правниот поредок. Особено во области каде економските односи се развиваат побрзо од законодавството, јуриспруденцијата може да стане клучен двигател на промени.</w:t>
      </w:r>
    </w:p>
    <w:p w14:paraId="313B1CCB" w14:textId="13A24472" w:rsidR="00315483" w:rsidRDefault="00E62C0B" w:rsidP="00E62C0B">
      <w:pPr>
        <w:pStyle w:val="BodyText"/>
        <w:spacing w:before="240"/>
        <w:ind w:firstLine="720"/>
        <w:jc w:val="both"/>
        <w:rPr>
          <w:lang w:val="mk-MK"/>
        </w:rPr>
      </w:pPr>
      <w:r w:rsidRPr="00E62C0B">
        <w:rPr>
          <w:lang w:val="mk-MK"/>
        </w:rPr>
        <w:t>Во македонскиот контекст,</w:t>
      </w:r>
      <w:r>
        <w:rPr>
          <w:lang w:val="mk-MK"/>
        </w:rPr>
        <w:t xml:space="preserve"> доколку остане неизменет,</w:t>
      </w:r>
      <w:r w:rsidRPr="00E62C0B">
        <w:rPr>
          <w:lang w:val="mk-MK"/>
        </w:rPr>
        <w:t xml:space="preserve"> каде формалните механизми за учество на вработените во трговските друштва се ограничени, судската пракса би можела да придонесе преку пошироко и современо толкување на постојните </w:t>
      </w:r>
      <w:r w:rsidRPr="00E62C0B">
        <w:rPr>
          <w:lang w:val="mk-MK"/>
        </w:rPr>
        <w:lastRenderedPageBreak/>
        <w:t>норми од трговското, трудовото, облигационото и уставното право. Начелата на совесност и чесност, еднаквост, забрана на злоупотреба на право, заштита на легитимни очекувања и добросовесно управување можат да бидат правна основа за посилна заштита на вработените во корпоративните односи.</w:t>
      </w:r>
    </w:p>
    <w:p w14:paraId="0D1BDDF9" w14:textId="2C3F9329" w:rsidR="00104D9E" w:rsidRDefault="00104D9E" w:rsidP="00E62C0B">
      <w:pPr>
        <w:pStyle w:val="BodyText"/>
        <w:spacing w:before="240"/>
        <w:ind w:firstLine="720"/>
        <w:jc w:val="both"/>
        <w:rPr>
          <w:lang w:val="mk-MK"/>
        </w:rPr>
      </w:pPr>
      <w:r w:rsidRPr="00104D9E">
        <w:rPr>
          <w:lang w:val="mk-MK"/>
        </w:rPr>
        <w:t>Еден можен правец на развој е јакнење на стандардите за должност на органите на друштвото да постапуваат не само во тесен интерес на краткорочен профит, туку и со разумно внимание кон долгорочната стабилност на друштвото, човечкиот капитал и внатрешната одржливост. Судовите би можеле постепено да препознаат дека игнорирањето на очигледните интереси на вработените во одредени ситуации може да биде индикатор за несовесно управување или повреда на должности</w:t>
      </w:r>
      <w:r w:rsidR="003E7430">
        <w:rPr>
          <w:lang w:val="mk-MK"/>
        </w:rPr>
        <w:t>те на грижа</w:t>
      </w:r>
      <w:r w:rsidRPr="00104D9E">
        <w:rPr>
          <w:lang w:val="mk-MK"/>
        </w:rPr>
        <w:t>.</w:t>
      </w:r>
      <w:r w:rsidR="003E7430">
        <w:rPr>
          <w:rStyle w:val="FootnoteReference"/>
          <w:lang w:val="mk-MK"/>
        </w:rPr>
        <w:footnoteReference w:id="956"/>
      </w:r>
    </w:p>
    <w:p w14:paraId="6493A2FE" w14:textId="65499088" w:rsidR="00797E7C" w:rsidRDefault="00E70A79" w:rsidP="00E62C0B">
      <w:pPr>
        <w:pStyle w:val="BodyText"/>
        <w:spacing w:before="240"/>
        <w:ind w:firstLine="720"/>
        <w:jc w:val="both"/>
        <w:rPr>
          <w:lang w:val="mk-MK"/>
        </w:rPr>
      </w:pPr>
      <w:r w:rsidRPr="00E70A79">
        <w:rPr>
          <w:lang w:val="mk-MK"/>
        </w:rPr>
        <w:t>Втор значаен правец е развојот на судска пракса поврзана со правото на информирање, консултирање и еднаков третман. Дури и без експлицитна кодетерминација, судовите можат да поставуваат повисоки стандарди за транспарентност при реструктурирања, масовни отпуштања, продажба на друштва, прекугранични операции или политики што суштински ги засегаат вработените. Со тоа, индиректно се создава простор за реално учество.</w:t>
      </w:r>
    </w:p>
    <w:p w14:paraId="13F61781" w14:textId="5873D5FC" w:rsidR="00E70A79" w:rsidRDefault="003170DF" w:rsidP="00E62C0B">
      <w:pPr>
        <w:pStyle w:val="BodyText"/>
        <w:spacing w:before="240"/>
        <w:ind w:firstLine="720"/>
        <w:jc w:val="both"/>
        <w:rPr>
          <w:lang w:val="mk-MK"/>
        </w:rPr>
      </w:pPr>
      <w:r w:rsidRPr="003170DF">
        <w:rPr>
          <w:lang w:val="mk-MK"/>
        </w:rPr>
        <w:t xml:space="preserve">Трето, судската јуриспруденција може да биде особено релевантна во случаи поврзани со акции на вработени, бонус шеми, </w:t>
      </w:r>
      <w:r w:rsidRPr="003170DF">
        <w:rPr>
          <w:i/>
          <w:iCs/>
          <w:lang w:val="mk-MK"/>
        </w:rPr>
        <w:t>stock option</w:t>
      </w:r>
      <w:r w:rsidRPr="003170DF">
        <w:rPr>
          <w:lang w:val="mk-MK"/>
        </w:rPr>
        <w:t xml:space="preserve"> програми и стекнати права. Кога законодавството е недоволно детално, судовите преку конкретни спорови можат да изградат правила за заштита од произволно одземање права, дискриминација, нетранспарентни критериуми или манипулативно вреднување на уделите. Така се создава доверба во самите механизми на финансиска партиципација.</w:t>
      </w:r>
    </w:p>
    <w:p w14:paraId="0CF24F53" w14:textId="438DCAA9" w:rsidR="003170DF" w:rsidRDefault="003170DF" w:rsidP="00E62C0B">
      <w:pPr>
        <w:pStyle w:val="BodyText"/>
        <w:spacing w:before="240"/>
        <w:ind w:firstLine="720"/>
        <w:jc w:val="both"/>
        <w:rPr>
          <w:lang w:val="mk-MK"/>
        </w:rPr>
      </w:pPr>
      <w:r w:rsidRPr="003170DF">
        <w:rPr>
          <w:lang w:val="mk-MK"/>
        </w:rPr>
        <w:t>Дополнителен потенцијал постои преку примената на меѓународните стандарди. Домашните судови можат да се повикуваат на практиката на Европскиот суд за човекови права, Судот на правдата на Европската унија, инструментите на Меѓународната организација на трудот и принципите на ОЕЦД како ориентациски извори при толкување на домашното право. Особено релевантни се правото на здружување, заштитата на сопственоста, забраната на дискриминација, фер постапката и правото на ефективен правен лек.</w:t>
      </w:r>
    </w:p>
    <w:p w14:paraId="46CB89AA" w14:textId="096D2557" w:rsidR="009A3EAD" w:rsidRDefault="00DC36B7" w:rsidP="00E62C0B">
      <w:pPr>
        <w:pStyle w:val="BodyText"/>
        <w:spacing w:before="240"/>
        <w:ind w:firstLine="720"/>
        <w:jc w:val="both"/>
        <w:rPr>
          <w:lang w:val="mk-MK"/>
        </w:rPr>
      </w:pPr>
      <w:r w:rsidRPr="00DC36B7">
        <w:rPr>
          <w:lang w:val="mk-MK"/>
        </w:rPr>
        <w:t>Сепак, јуриспруденцијата има и јасни ограничувања. Судовите решаваат конкретни спорови и не можат целосно да ја заменат законодавната политика. Тие не можат сами да создадат сеопфатен модел на работничка кодетерминација, даночни поттикнувања за работничко акционерство или институционална инфраструктура за корпоративна демократизација. Нивната улога е корективна и еволутивна, а не конститутивна во целост. Поради тоа, најреалистичната оценка е дека во отсуство на законски реформи, судската јуриспруденција може да обезбеди инкрементален прогрес.</w:t>
      </w:r>
      <w:r w:rsidR="009A3EAD">
        <w:rPr>
          <w:rStyle w:val="FootnoteReference"/>
          <w:lang w:val="mk-MK"/>
        </w:rPr>
        <w:footnoteReference w:id="957"/>
      </w:r>
      <w:r w:rsidRPr="00DC36B7">
        <w:rPr>
          <w:lang w:val="mk-MK"/>
        </w:rPr>
        <w:t xml:space="preserve"> </w:t>
      </w:r>
    </w:p>
    <w:p w14:paraId="0E907791" w14:textId="499D7007" w:rsidR="00F33634" w:rsidRDefault="00B658CD" w:rsidP="004E7963">
      <w:pPr>
        <w:pStyle w:val="BodyText"/>
        <w:spacing w:before="240" w:after="240"/>
        <w:ind w:firstLine="720"/>
        <w:jc w:val="both"/>
        <w:rPr>
          <w:lang w:val="mk-MK"/>
        </w:rPr>
      </w:pPr>
      <w:r>
        <w:rPr>
          <w:lang w:val="mk-MK"/>
        </w:rPr>
        <w:t>Јуриспруденцијата</w:t>
      </w:r>
      <w:r w:rsidR="00DC36B7" w:rsidRPr="00DC36B7">
        <w:rPr>
          <w:lang w:val="mk-MK"/>
        </w:rPr>
        <w:t xml:space="preserve"> може да ги намали најострите празнини во системот, да воспостави стандарди на фер однесување, да ги заштити легитимните очекувања на вработените и да создаде постепена правна култура на одговорно корпоративно </w:t>
      </w:r>
      <w:r w:rsidR="00DC36B7" w:rsidRPr="00DC36B7">
        <w:rPr>
          <w:lang w:val="mk-MK"/>
        </w:rPr>
        <w:lastRenderedPageBreak/>
        <w:t xml:space="preserve">управување. На крај, таму каде што законодавецот доцни, судовите можат да ја одржат динамиката на правниот развој. </w:t>
      </w:r>
      <w:r>
        <w:rPr>
          <w:lang w:val="mk-MK"/>
        </w:rPr>
        <w:t>Сепак,</w:t>
      </w:r>
      <w:r w:rsidR="00DC36B7" w:rsidRPr="00DC36B7">
        <w:rPr>
          <w:lang w:val="mk-MK"/>
        </w:rPr>
        <w:t xml:space="preserve"> </w:t>
      </w:r>
      <w:r w:rsidR="004E7963">
        <w:rPr>
          <w:lang w:val="mk-MK"/>
        </w:rPr>
        <w:t xml:space="preserve">за </w:t>
      </w:r>
      <w:r w:rsidR="00DC36B7" w:rsidRPr="00DC36B7">
        <w:rPr>
          <w:lang w:val="mk-MK"/>
        </w:rPr>
        <w:t xml:space="preserve">трајна и системска промена </w:t>
      </w:r>
      <w:r w:rsidR="004E7963">
        <w:rPr>
          <w:lang w:val="mk-MK"/>
        </w:rPr>
        <w:t>неопходна е</w:t>
      </w:r>
      <w:r w:rsidR="00DC36B7" w:rsidRPr="00DC36B7">
        <w:rPr>
          <w:lang w:val="mk-MK"/>
        </w:rPr>
        <w:t xml:space="preserve"> нормативна реформа. Јуриспруденцијата може да го отвори патот, да ја подготви територијата и да изгради доверба, но не може сама да ја заврши реформата.</w:t>
      </w:r>
    </w:p>
    <w:p w14:paraId="023C10E6" w14:textId="0A078E41" w:rsidR="000B57A6" w:rsidRPr="00F53881" w:rsidRDefault="000B57A6" w:rsidP="00202226">
      <w:pPr>
        <w:pStyle w:val="Heading1"/>
        <w:numPr>
          <w:ilvl w:val="0"/>
          <w:numId w:val="72"/>
        </w:numPr>
        <w:rPr>
          <w:lang w:val="mk-MK"/>
        </w:rPr>
      </w:pPr>
      <w:bookmarkStart w:id="136" w:name="_Toc230523989"/>
      <w:r>
        <w:rPr>
          <w:lang w:val="mk-MK"/>
        </w:rPr>
        <w:t>Можноста за конструктивна интеракција помеѓу правните системи</w:t>
      </w:r>
      <w:bookmarkEnd w:id="136"/>
    </w:p>
    <w:p w14:paraId="5D0C4105" w14:textId="5C0B6DCC" w:rsidR="00D93A94" w:rsidRDefault="00B7782B" w:rsidP="00B7782B">
      <w:pPr>
        <w:pStyle w:val="BodyText"/>
        <w:spacing w:before="240"/>
        <w:ind w:firstLine="720"/>
        <w:jc w:val="both"/>
        <w:rPr>
          <w:lang w:val="mk-MK"/>
        </w:rPr>
      </w:pPr>
      <w:r>
        <w:rPr>
          <w:lang w:val="mk-MK"/>
        </w:rPr>
        <w:t>Заклучно, с</w:t>
      </w:r>
      <w:r w:rsidRPr="00B7782B">
        <w:rPr>
          <w:lang w:val="mk-MK"/>
        </w:rPr>
        <w:t>овременото корпоративно право сè помалку се развива во рамки на затворени национални системи, а сè повеќе преку постојана интеракција помеѓу различни правни традиции, институции и наднационални стандарди. Прашањето на вклученоста на вработените во трговските друштва е особено погодна област за таква конструктивна интеракција бидејќи ниту еден правен систем нема монопол врз оптималното решение, а речиси секој систем развил одредени механизми од кои може да се учи.</w:t>
      </w:r>
    </w:p>
    <w:p w14:paraId="1708B0A8" w14:textId="5B92B7C9" w:rsidR="00B7782B" w:rsidRDefault="006A2FA7" w:rsidP="00B7782B">
      <w:pPr>
        <w:pStyle w:val="BodyText"/>
        <w:spacing w:before="240"/>
        <w:ind w:firstLine="720"/>
        <w:jc w:val="both"/>
        <w:rPr>
          <w:lang w:val="mk-MK"/>
        </w:rPr>
      </w:pPr>
      <w:r w:rsidRPr="006A2FA7">
        <w:rPr>
          <w:lang w:val="mk-MK"/>
        </w:rPr>
        <w:t xml:space="preserve">Компаративната анализа покажува дека континенталните европски системи развиле силни модели на институционално учество на вработените, особено преку надзорни одбори, работнички совети и процедури на консултација. Од друга страна, англосаксонските системи покажуваат поголема флексибилност во развојот на финансиска партиципација, </w:t>
      </w:r>
      <w:r w:rsidRPr="00711F7F">
        <w:rPr>
          <w:i/>
          <w:iCs/>
          <w:lang w:val="mk-MK"/>
        </w:rPr>
        <w:t>employee share ownership</w:t>
      </w:r>
      <w:r w:rsidRPr="006A2FA7">
        <w:rPr>
          <w:lang w:val="mk-MK"/>
        </w:rPr>
        <w:t xml:space="preserve"> модели, </w:t>
      </w:r>
      <w:r w:rsidRPr="00711F7F">
        <w:rPr>
          <w:i/>
          <w:iCs/>
          <w:lang w:val="mk-MK"/>
        </w:rPr>
        <w:t>incentive</w:t>
      </w:r>
      <w:r w:rsidRPr="006A2FA7">
        <w:rPr>
          <w:lang w:val="mk-MK"/>
        </w:rPr>
        <w:t xml:space="preserve"> програми и пазарни инструменти за вклучување на вработените. Азиските системи, пак, често нудат примери на прагматична адаптација, каде правото комбинира формални правила со деловна практика и долгорочна стратегиска координација. Токму во оваа разновидност лежи потенцијалот за конструктивен дијалог </w:t>
      </w:r>
      <w:r w:rsidR="00C461FF">
        <w:rPr>
          <w:lang w:val="mk-MK"/>
        </w:rPr>
        <w:t>по</w:t>
      </w:r>
      <w:r w:rsidRPr="006A2FA7">
        <w:rPr>
          <w:lang w:val="mk-MK"/>
        </w:rPr>
        <w:t>меѓу правните системи.</w:t>
      </w:r>
    </w:p>
    <w:p w14:paraId="70C503BE" w14:textId="73B647A1" w:rsidR="00C461FF" w:rsidRDefault="00C461FF" w:rsidP="00B7782B">
      <w:pPr>
        <w:pStyle w:val="BodyText"/>
        <w:spacing w:before="240"/>
        <w:ind w:firstLine="720"/>
        <w:jc w:val="both"/>
        <w:rPr>
          <w:lang w:val="mk-MK"/>
        </w:rPr>
      </w:pPr>
      <w:r w:rsidRPr="00C461FF">
        <w:rPr>
          <w:lang w:val="mk-MK"/>
        </w:rPr>
        <w:t>Конструктивната интеракција не подразбира механичко преземање на туѓи решенија. Правните транспланти што не го земаат предвид домашниот контекст често остануваат</w:t>
      </w:r>
      <w:r>
        <w:rPr>
          <w:lang w:val="mk-MK"/>
        </w:rPr>
        <w:t xml:space="preserve"> чисто</w:t>
      </w:r>
      <w:r w:rsidRPr="00C461FF">
        <w:rPr>
          <w:lang w:val="mk-MK"/>
        </w:rPr>
        <w:t xml:space="preserve"> формални или нефункционални. Наместо тоа, суштината е во селективно преземање на институти, адаптација на добри практики и нивно усогласување со локалната правна култура, економска структура и институционален капацитет. Во таа смисла, успешната реформа не е копирање, туку преведување на компаративното искуство во домашен нормативен јазик.</w:t>
      </w:r>
    </w:p>
    <w:p w14:paraId="15F38F8E" w14:textId="4031839D" w:rsidR="004B5D06" w:rsidRDefault="004B5D06" w:rsidP="00B7782B">
      <w:pPr>
        <w:pStyle w:val="BodyText"/>
        <w:spacing w:before="240"/>
        <w:ind w:firstLine="720"/>
        <w:jc w:val="both"/>
        <w:rPr>
          <w:lang w:val="mk-MK"/>
        </w:rPr>
      </w:pPr>
      <w:r w:rsidRPr="004B5D06">
        <w:rPr>
          <w:lang w:val="mk-MK"/>
        </w:rPr>
        <w:t>За Македонија, ова значи дека идниот развој на корпоративното право може да се потпира врз повеќе извори истовремено.</w:t>
      </w:r>
      <w:r>
        <w:rPr>
          <w:rStyle w:val="FootnoteReference"/>
          <w:lang w:val="mk-MK"/>
        </w:rPr>
        <w:footnoteReference w:id="958"/>
      </w:r>
      <w:r w:rsidRPr="004B5D06">
        <w:rPr>
          <w:lang w:val="mk-MK"/>
        </w:rPr>
        <w:t xml:space="preserve"> Од германскиот модел може да се преземе логиката на претставеност и соодлучување во поголемите друштва. Од американските искуства може да се преземат стимули за работничко акционерство и поширока култура на сопственичко учество. Од словенечките и хрватските решенија може да се извлечат лекции за постсоцијалистички транзиции и регионална применливост. Од правото на Европската унија може да се преземат стандарди за транспарентност, одржливост, информирање и корпоративна отчетност. Од меѓународните инструменти на Меѓународната организација на трудот и Советот на Европа може да се црпи вредносната рамка на достоинство, дијалог и заштита на правата.</w:t>
      </w:r>
    </w:p>
    <w:p w14:paraId="0026CB32" w14:textId="007F048F" w:rsidR="00207B34" w:rsidRDefault="001261CF" w:rsidP="00B7782B">
      <w:pPr>
        <w:pStyle w:val="BodyText"/>
        <w:spacing w:before="240"/>
        <w:ind w:firstLine="720"/>
        <w:jc w:val="both"/>
        <w:rPr>
          <w:lang w:val="mk-MK"/>
        </w:rPr>
      </w:pPr>
      <w:r w:rsidRPr="001261CF">
        <w:rPr>
          <w:lang w:val="mk-MK"/>
        </w:rPr>
        <w:t xml:space="preserve">Особено значајна е интеракцијата помеѓу судската практика и компаративното право. Домашните судови, академската заедница, регулаторите и законодавецот можат да користат странска јуриспруденција и меѓународни стандарди како убедливи извори </w:t>
      </w:r>
      <w:r w:rsidRPr="001261CF">
        <w:rPr>
          <w:lang w:val="mk-MK"/>
        </w:rPr>
        <w:lastRenderedPageBreak/>
        <w:t>при толкување и развој на домашното право. Таквиот пристап не ја намалува правната сувереност, туку ја збогатува домашната правна аргументација и го забрзува институционалното учење.</w:t>
      </w:r>
    </w:p>
    <w:p w14:paraId="385BF541" w14:textId="2DD56363" w:rsidR="00096D77" w:rsidRDefault="005A1688" w:rsidP="00B7782B">
      <w:pPr>
        <w:pStyle w:val="BodyText"/>
        <w:spacing w:before="240"/>
        <w:ind w:firstLine="720"/>
        <w:jc w:val="both"/>
        <w:rPr>
          <w:lang w:val="mk-MK"/>
        </w:rPr>
      </w:pPr>
      <w:r w:rsidRPr="005A1688">
        <w:rPr>
          <w:lang w:val="mk-MK"/>
        </w:rPr>
        <w:t>Конструктивната интеракција има и поширока економска вредност. Во глобализирана економија, инвеститорите, работниците и деловните субјекти сè повеќе очекуваат предвидливи и модерни правила што се разбирливи и компатибилни со меѓународните стандарди. Систем што учи од другите, но останува верен на сопствениот контекст, создава поголема правна сигурност и поголема доверба.</w:t>
      </w:r>
      <w:r w:rsidR="00EB5DE6">
        <w:rPr>
          <w:rStyle w:val="FootnoteReference"/>
          <w:lang w:val="mk-MK"/>
        </w:rPr>
        <w:footnoteReference w:id="959"/>
      </w:r>
    </w:p>
    <w:p w14:paraId="21BC585D" w14:textId="3C7463C4" w:rsidR="00D43054" w:rsidRDefault="00D43054" w:rsidP="00B7782B">
      <w:pPr>
        <w:pStyle w:val="BodyText"/>
        <w:spacing w:before="240"/>
        <w:ind w:firstLine="720"/>
        <w:jc w:val="both"/>
        <w:rPr>
          <w:lang w:val="mk-MK"/>
        </w:rPr>
      </w:pPr>
      <w:r w:rsidRPr="00D43054">
        <w:rPr>
          <w:lang w:val="mk-MK"/>
        </w:rPr>
        <w:t xml:space="preserve">Клучниот заклучок е дека иднината на корпоративното право не лежи во изолација на националните системи, туку во нивната способност за интелигентна комуникација. Таму каде што правните системи учат едни од други, се создава простор за подобри институции, порамнотежени односи </w:t>
      </w:r>
      <w:r w:rsidR="002432CE">
        <w:rPr>
          <w:lang w:val="mk-MK"/>
        </w:rPr>
        <w:t>по</w:t>
      </w:r>
      <w:r w:rsidRPr="00D43054">
        <w:rPr>
          <w:lang w:val="mk-MK"/>
        </w:rPr>
        <w:t>меѓу капиталот и трудот и посовремени модели на корпоративно управување. За Македонија, токму таквата отворена, селективна и самоуверена интеракција претставува најреален пат кон успешна модернизација на правната рамка.</w:t>
      </w:r>
    </w:p>
    <w:p w14:paraId="777DBD55" w14:textId="77777777" w:rsidR="00EB5DE6" w:rsidRDefault="00EB5DE6" w:rsidP="00B7782B">
      <w:pPr>
        <w:pStyle w:val="BodyText"/>
        <w:spacing w:before="240"/>
        <w:ind w:firstLine="720"/>
        <w:jc w:val="both"/>
        <w:rPr>
          <w:lang w:val="mk-MK"/>
        </w:rPr>
      </w:pPr>
    </w:p>
    <w:p w14:paraId="1264E349" w14:textId="77777777" w:rsidR="00D93A94" w:rsidRDefault="00D93A94" w:rsidP="000A5384">
      <w:pPr>
        <w:pStyle w:val="BodyText"/>
        <w:spacing w:before="240"/>
        <w:jc w:val="both"/>
        <w:rPr>
          <w:lang w:val="mk-MK"/>
        </w:rPr>
      </w:pPr>
    </w:p>
    <w:p w14:paraId="525D98F4" w14:textId="77777777" w:rsidR="000E3A7D" w:rsidRDefault="000E3A7D" w:rsidP="000A5384">
      <w:pPr>
        <w:pStyle w:val="BodyText"/>
        <w:spacing w:before="240"/>
        <w:jc w:val="both"/>
        <w:rPr>
          <w:lang w:val="mk-MK"/>
        </w:rPr>
      </w:pPr>
    </w:p>
    <w:p w14:paraId="79F5183D" w14:textId="77777777" w:rsidR="000E3A7D" w:rsidRDefault="000E3A7D" w:rsidP="000A5384">
      <w:pPr>
        <w:pStyle w:val="BodyText"/>
        <w:spacing w:before="240"/>
        <w:jc w:val="both"/>
        <w:rPr>
          <w:lang w:val="mk-MK"/>
        </w:rPr>
      </w:pPr>
    </w:p>
    <w:p w14:paraId="582427D7" w14:textId="77777777" w:rsidR="000E3A7D" w:rsidRDefault="000E3A7D" w:rsidP="000A5384">
      <w:pPr>
        <w:pStyle w:val="BodyText"/>
        <w:spacing w:before="240"/>
        <w:jc w:val="both"/>
        <w:rPr>
          <w:lang w:val="mk-MK"/>
        </w:rPr>
      </w:pPr>
    </w:p>
    <w:p w14:paraId="2BD0643B" w14:textId="77777777" w:rsidR="000E3A7D" w:rsidRDefault="000E3A7D" w:rsidP="000A5384">
      <w:pPr>
        <w:pStyle w:val="BodyText"/>
        <w:spacing w:before="240"/>
        <w:jc w:val="both"/>
        <w:rPr>
          <w:lang w:val="mk-MK"/>
        </w:rPr>
      </w:pPr>
    </w:p>
    <w:p w14:paraId="046C7A3B" w14:textId="77777777" w:rsidR="000E3A7D" w:rsidRDefault="000E3A7D" w:rsidP="000A5384">
      <w:pPr>
        <w:pStyle w:val="BodyText"/>
        <w:spacing w:before="240"/>
        <w:jc w:val="both"/>
        <w:rPr>
          <w:lang w:val="mk-MK"/>
        </w:rPr>
      </w:pPr>
    </w:p>
    <w:p w14:paraId="37F0BD02" w14:textId="77777777" w:rsidR="000E3A7D" w:rsidRDefault="000E3A7D" w:rsidP="000A5384">
      <w:pPr>
        <w:pStyle w:val="BodyText"/>
        <w:spacing w:before="240"/>
        <w:jc w:val="both"/>
        <w:rPr>
          <w:lang w:val="mk-MK"/>
        </w:rPr>
      </w:pPr>
    </w:p>
    <w:p w14:paraId="0E1D73B6" w14:textId="77777777" w:rsidR="000E3A7D" w:rsidRDefault="000E3A7D" w:rsidP="000A5384">
      <w:pPr>
        <w:pStyle w:val="BodyText"/>
        <w:spacing w:before="240"/>
        <w:jc w:val="both"/>
        <w:rPr>
          <w:lang w:val="mk-MK"/>
        </w:rPr>
      </w:pPr>
    </w:p>
    <w:p w14:paraId="097CC3AF" w14:textId="77777777" w:rsidR="000E3A7D" w:rsidRDefault="000E3A7D" w:rsidP="000A5384">
      <w:pPr>
        <w:pStyle w:val="BodyText"/>
        <w:spacing w:before="240"/>
        <w:jc w:val="both"/>
        <w:rPr>
          <w:lang w:val="mk-MK"/>
        </w:rPr>
      </w:pPr>
    </w:p>
    <w:p w14:paraId="4D6F1FD2" w14:textId="77777777" w:rsidR="000E3A7D" w:rsidRDefault="000E3A7D" w:rsidP="000A5384">
      <w:pPr>
        <w:pStyle w:val="BodyText"/>
        <w:spacing w:before="240"/>
        <w:jc w:val="both"/>
        <w:rPr>
          <w:lang w:val="mk-MK"/>
        </w:rPr>
      </w:pPr>
    </w:p>
    <w:p w14:paraId="08CCBE62" w14:textId="77777777" w:rsidR="000E3A7D" w:rsidRDefault="000E3A7D" w:rsidP="000A5384">
      <w:pPr>
        <w:pStyle w:val="BodyText"/>
        <w:spacing w:before="240"/>
        <w:jc w:val="both"/>
        <w:rPr>
          <w:lang w:val="mk-MK"/>
        </w:rPr>
      </w:pPr>
    </w:p>
    <w:p w14:paraId="58D5A943" w14:textId="77777777" w:rsidR="000E3A7D" w:rsidRDefault="000E3A7D" w:rsidP="000A5384">
      <w:pPr>
        <w:pStyle w:val="BodyText"/>
        <w:spacing w:before="240"/>
        <w:jc w:val="both"/>
        <w:rPr>
          <w:lang w:val="mk-MK"/>
        </w:rPr>
      </w:pPr>
    </w:p>
    <w:p w14:paraId="6F699CDC" w14:textId="77777777" w:rsidR="000E3A7D" w:rsidRPr="00D93A94" w:rsidRDefault="000E3A7D" w:rsidP="000A5384">
      <w:pPr>
        <w:pStyle w:val="BodyText"/>
        <w:spacing w:before="240"/>
        <w:jc w:val="both"/>
        <w:rPr>
          <w:lang w:val="mk-MK"/>
        </w:rPr>
      </w:pPr>
    </w:p>
    <w:p w14:paraId="52F510ED" w14:textId="77777777" w:rsidR="000A5384" w:rsidRPr="005B6149" w:rsidRDefault="000A5384" w:rsidP="000A5384">
      <w:pPr>
        <w:pStyle w:val="BodyText"/>
        <w:spacing w:before="240"/>
        <w:jc w:val="both"/>
        <w:rPr>
          <w:lang w:val="en-US"/>
        </w:rPr>
      </w:pPr>
    </w:p>
    <w:p w14:paraId="54049784" w14:textId="77777777" w:rsidR="00ED2B59" w:rsidRPr="00F53881" w:rsidRDefault="00ED2B59" w:rsidP="00ED2B59">
      <w:pPr>
        <w:pBdr>
          <w:top w:val="nil"/>
          <w:left w:val="nil"/>
          <w:bottom w:val="nil"/>
          <w:right w:val="nil"/>
          <w:between w:val="nil"/>
          <w:bar w:val="nil"/>
        </w:pBdr>
        <w:spacing w:before="240"/>
        <w:ind w:right="-970"/>
        <w:rPr>
          <w:rFonts w:eastAsia="Calibri"/>
          <w:b/>
          <w:bCs/>
          <w:sz w:val="24"/>
          <w:szCs w:val="24"/>
          <w:lang w:val="mk-MK"/>
        </w:rPr>
      </w:pPr>
    </w:p>
    <w:p w14:paraId="4F357659" w14:textId="77777777" w:rsidR="00ED2B59" w:rsidRPr="00F53881" w:rsidRDefault="00ED2B59" w:rsidP="000B2834">
      <w:pPr>
        <w:pStyle w:val="Heading1"/>
        <w:ind w:left="0"/>
      </w:pPr>
      <w:bookmarkStart w:id="137" w:name="_Toc230523990"/>
      <w:r w:rsidRPr="00F53881">
        <w:rPr>
          <w:lang w:val="mk-MK"/>
        </w:rPr>
        <w:lastRenderedPageBreak/>
        <w:t>Користена литература и други извори</w:t>
      </w:r>
      <w:bookmarkEnd w:id="137"/>
    </w:p>
    <w:p w14:paraId="510A148A" w14:textId="77777777" w:rsidR="00ED2B59" w:rsidRPr="00F53881" w:rsidRDefault="00ED2B59" w:rsidP="00ED2B59">
      <w:pPr>
        <w:adjustRightInd w:val="0"/>
        <w:jc w:val="both"/>
        <w:rPr>
          <w:b/>
          <w:sz w:val="24"/>
          <w:szCs w:val="24"/>
          <w:lang w:val="mk-MK"/>
        </w:rPr>
      </w:pPr>
    </w:p>
    <w:p w14:paraId="0AC2D4AB" w14:textId="77777777" w:rsidR="00ED2B59" w:rsidRPr="00F53881" w:rsidRDefault="00ED2B59" w:rsidP="00ED2B59">
      <w:pPr>
        <w:adjustRightInd w:val="0"/>
        <w:jc w:val="both"/>
        <w:rPr>
          <w:b/>
          <w:sz w:val="24"/>
          <w:szCs w:val="24"/>
          <w:lang w:val="mk-MK"/>
        </w:rPr>
      </w:pPr>
      <w:r w:rsidRPr="00F53881">
        <w:rPr>
          <w:b/>
          <w:sz w:val="24"/>
          <w:szCs w:val="24"/>
          <w:lang w:val="mk-MK"/>
        </w:rPr>
        <w:t>Книги, поглавја, монографии, публикации и прирачници:</w:t>
      </w:r>
    </w:p>
    <w:p w14:paraId="6F655220"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Adler, P. S., &amp; Cole, R. E. (1993). Designed for learning: A tale of two auto plants. Sloan Management Review, 34(3), 85–94. </w:t>
      </w:r>
    </w:p>
    <w:p w14:paraId="1D0C83B2" w14:textId="269EFCDD"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Addison J. </w:t>
      </w:r>
      <w:r w:rsidR="00514C62">
        <w:rPr>
          <w:bCs/>
          <w:sz w:val="24"/>
          <w:szCs w:val="24"/>
          <w:lang w:val="en-US"/>
        </w:rPr>
        <w:t>(</w:t>
      </w:r>
      <w:r w:rsidRPr="00F53881">
        <w:rPr>
          <w:bCs/>
          <w:sz w:val="24"/>
          <w:szCs w:val="24"/>
          <w:lang w:val="mk-MK"/>
        </w:rPr>
        <w:t>2009</w:t>
      </w:r>
      <w:r w:rsidR="00514C62">
        <w:rPr>
          <w:bCs/>
          <w:sz w:val="24"/>
          <w:szCs w:val="24"/>
          <w:lang w:val="en-US"/>
        </w:rPr>
        <w:t>)</w:t>
      </w:r>
      <w:r w:rsidRPr="00F53881">
        <w:rPr>
          <w:bCs/>
          <w:sz w:val="24"/>
          <w:szCs w:val="24"/>
          <w:lang w:val="mk-MK"/>
        </w:rPr>
        <w:t xml:space="preserve">. The Economics of Codetermination: Lessons from the German Experience. Palgrave Macmillan. </w:t>
      </w:r>
    </w:p>
    <w:p w14:paraId="04251710"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Addison, John, Paulino Teixeira, and Andre Pahnke. 2017. “The Demise of a Model? The State of Collective Bargaining and Worker Representation in Germany.” 38 Economic and Industrial Democracy 193. </w:t>
      </w:r>
      <w:hyperlink r:id="rId22" w:history="1">
        <w:r w:rsidRPr="00F53881">
          <w:rPr>
            <w:rStyle w:val="Hyperlink"/>
            <w:bCs/>
            <w:sz w:val="24"/>
            <w:szCs w:val="24"/>
            <w:lang w:val="mk-MK"/>
          </w:rPr>
          <w:t>https://doi.org/10.1177/0143831X14559784</w:t>
        </w:r>
      </w:hyperlink>
      <w:r w:rsidRPr="00F53881">
        <w:rPr>
          <w:bCs/>
          <w:sz w:val="24"/>
          <w:szCs w:val="24"/>
          <w:lang w:val="mk-MK"/>
        </w:rPr>
        <w:t xml:space="preserve">. </w:t>
      </w:r>
    </w:p>
    <w:p w14:paraId="3EDE88BF" w14:textId="0A6BDF44" w:rsidR="00B95C63" w:rsidRPr="00B95C63" w:rsidRDefault="00B95C63" w:rsidP="00ED2B59">
      <w:pPr>
        <w:adjustRightInd w:val="0"/>
        <w:spacing w:after="240"/>
        <w:jc w:val="both"/>
        <w:rPr>
          <w:bCs/>
          <w:sz w:val="24"/>
          <w:szCs w:val="24"/>
          <w:lang w:val="en-US"/>
        </w:rPr>
      </w:pPr>
      <w:r w:rsidRPr="00B95C63">
        <w:rPr>
          <w:bCs/>
          <w:sz w:val="24"/>
          <w:szCs w:val="24"/>
          <w:lang w:val="en-US"/>
        </w:rPr>
        <w:t>Aguilera, R. V., &amp; Cuervo‐Cazurra, A. (2009). Codes of good governance. Corporate governance: an international review, 17(3), 376-387.</w:t>
      </w:r>
    </w:p>
    <w:p w14:paraId="1DF27AA9"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Aitken, B. J., &amp; Harrison, A. E. (1999). Do domestic firms benefit from direct foreign investment? Evidence from Venezuela. American Economic Review, 89(3), 605– 618. </w:t>
      </w:r>
    </w:p>
    <w:p w14:paraId="7A58618F"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Alchian, Armen A., and Harold Demsetz. 1972. “Production, Information Costs, and Economic Organization.” 62 American Economic Review 777. </w:t>
      </w:r>
      <w:hyperlink r:id="rId23" w:history="1">
        <w:r w:rsidRPr="00F53881">
          <w:rPr>
            <w:rStyle w:val="Hyperlink"/>
            <w:bCs/>
            <w:sz w:val="24"/>
            <w:szCs w:val="24"/>
            <w:lang w:val="mk-MK"/>
          </w:rPr>
          <w:t>https://doi.org/10.1109/emr.1975.4306431</w:t>
        </w:r>
      </w:hyperlink>
      <w:r w:rsidRPr="00F53881">
        <w:rPr>
          <w:bCs/>
          <w:sz w:val="24"/>
          <w:szCs w:val="24"/>
          <w:lang w:val="mk-MK"/>
        </w:rPr>
        <w:t xml:space="preserve">.  </w:t>
      </w:r>
    </w:p>
    <w:p w14:paraId="2BA3A5AF"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Alexander, Frederick. 2017. Benefit Corporation Law and Governance. Berrett-Koehler Publishers. Alexander, Frederick. 2020. “The Benefit Stance: Responsible Ownership in the 21st Century.” 36 Oxford Review of Economic Policy 341. </w:t>
      </w:r>
    </w:p>
    <w:p w14:paraId="3280211A" w14:textId="46426A73" w:rsidR="00C9774C" w:rsidRPr="00C9774C" w:rsidRDefault="00C9774C" w:rsidP="00ED2B59">
      <w:pPr>
        <w:adjustRightInd w:val="0"/>
        <w:spacing w:after="240"/>
        <w:jc w:val="both"/>
        <w:rPr>
          <w:bCs/>
          <w:sz w:val="24"/>
          <w:szCs w:val="24"/>
          <w:lang w:val="en-US"/>
        </w:rPr>
      </w:pPr>
      <w:r w:rsidRPr="00C9774C">
        <w:rPr>
          <w:bCs/>
          <w:sz w:val="24"/>
          <w:szCs w:val="24"/>
          <w:lang w:val="en-US"/>
        </w:rPr>
        <w:t>Amable, B. (2003). The Diversity of Modern Capitalism. Oxford: Oxford University Press.</w:t>
      </w:r>
    </w:p>
    <w:p w14:paraId="72D5C718" w14:textId="51D0217F" w:rsidR="00DB7C5F" w:rsidRPr="00DB7C5F" w:rsidRDefault="00DB7C5F" w:rsidP="00ED2B59">
      <w:pPr>
        <w:adjustRightInd w:val="0"/>
        <w:spacing w:after="240"/>
        <w:jc w:val="both"/>
        <w:rPr>
          <w:bCs/>
          <w:sz w:val="24"/>
          <w:szCs w:val="24"/>
          <w:lang w:val="en-US"/>
        </w:rPr>
      </w:pPr>
      <w:r w:rsidRPr="00DB7C5F">
        <w:rPr>
          <w:bCs/>
          <w:sz w:val="24"/>
          <w:szCs w:val="24"/>
          <w:lang w:val="en-US"/>
        </w:rPr>
        <w:t>Amatori, F., &amp; Colli, A. (2008). European corporations: Ownership, governance, strategies and structures. A review of five countries: United Kingdom, Germany, France, Italy and Spain. The European enterprise: Historical investigation into a future species, 23-36. Springer.</w:t>
      </w:r>
    </w:p>
    <w:p w14:paraId="4017F26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Anand, B. N., &amp; Khanna, T. (2000). Do firms learn to create value? The case of alliances. Strategic Management Journal, 21(3), 295–315. </w:t>
      </w:r>
    </w:p>
    <w:p w14:paraId="71BC4737"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Anand, J., &amp; Delios, A. (1997). Location specificity and the transferability of downstream assets to foreign subsidiaries. Journal of International Business Studies, 28(3), 579 – 603. </w:t>
      </w:r>
    </w:p>
    <w:p w14:paraId="5F050057"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Anderson, E. (1990). Two firms, one frontier: On assessing joint venture performance. Sloan Management Review, 31(2), 19 –30. </w:t>
      </w:r>
    </w:p>
    <w:p w14:paraId="5DEAF114" w14:textId="77777777" w:rsidR="00ED2B59" w:rsidRDefault="00ED2B59" w:rsidP="00ED2B59">
      <w:pPr>
        <w:adjustRightInd w:val="0"/>
        <w:spacing w:after="240"/>
        <w:jc w:val="both"/>
        <w:rPr>
          <w:bCs/>
          <w:sz w:val="24"/>
          <w:szCs w:val="24"/>
          <w:lang w:val="mk-MK"/>
        </w:rPr>
      </w:pPr>
      <w:r w:rsidRPr="00F53881">
        <w:rPr>
          <w:bCs/>
          <w:sz w:val="24"/>
          <w:szCs w:val="24"/>
          <w:lang w:val="mk-MK"/>
        </w:rPr>
        <w:t xml:space="preserve">Andrei Shleifer, Robert W. Wishny (1997). Survey of Corporate Governance, The Journal of Finance, Junе 1997. </w:t>
      </w:r>
    </w:p>
    <w:p w14:paraId="669528B6" w14:textId="7A1F6EEB" w:rsidR="0022202C" w:rsidRDefault="0022202C" w:rsidP="00ED2B59">
      <w:pPr>
        <w:adjustRightInd w:val="0"/>
        <w:spacing w:after="240"/>
        <w:jc w:val="both"/>
        <w:rPr>
          <w:bCs/>
          <w:sz w:val="24"/>
          <w:szCs w:val="24"/>
          <w:lang w:val="mk-MK"/>
        </w:rPr>
      </w:pPr>
      <w:r w:rsidRPr="0022202C">
        <w:rPr>
          <w:bCs/>
          <w:sz w:val="24"/>
          <w:szCs w:val="24"/>
          <w:lang w:val="mk-MK"/>
        </w:rPr>
        <w:t>Anheier, H. K., &amp; Baums, T. (Eds.). (2020). Advances in corporate governance: Comparative perspectives. Oxford University Press.</w:t>
      </w:r>
    </w:p>
    <w:p w14:paraId="4682465F" w14:textId="28D53FA3" w:rsidR="00786249" w:rsidRDefault="00786249" w:rsidP="00ED2B59">
      <w:pPr>
        <w:adjustRightInd w:val="0"/>
        <w:spacing w:after="240"/>
        <w:jc w:val="both"/>
        <w:rPr>
          <w:bCs/>
          <w:sz w:val="24"/>
          <w:szCs w:val="24"/>
          <w:lang w:val="mk-MK"/>
        </w:rPr>
      </w:pPr>
      <w:r w:rsidRPr="00786249">
        <w:rPr>
          <w:bCs/>
          <w:sz w:val="24"/>
          <w:szCs w:val="24"/>
          <w:lang w:val="mk-MK"/>
        </w:rPr>
        <w:t>Apostolov, M. (2014). Governance and enterprise restructuring: the case of Macedonia. International Journal of Emerging Markets, 9(1), 147-156.</w:t>
      </w:r>
    </w:p>
    <w:p w14:paraId="3B815D50" w14:textId="2A555D65" w:rsidR="0048655E" w:rsidRDefault="00901ECC" w:rsidP="00ED2B59">
      <w:pPr>
        <w:adjustRightInd w:val="0"/>
        <w:spacing w:after="240"/>
        <w:jc w:val="both"/>
        <w:rPr>
          <w:bCs/>
          <w:sz w:val="24"/>
          <w:szCs w:val="24"/>
          <w:lang w:val="mk-MK"/>
        </w:rPr>
      </w:pPr>
      <w:r w:rsidRPr="00901ECC">
        <w:rPr>
          <w:bCs/>
          <w:sz w:val="24"/>
          <w:szCs w:val="24"/>
          <w:lang w:val="mk-MK"/>
        </w:rPr>
        <w:lastRenderedPageBreak/>
        <w:t>Arabadjieva, K. (2019). A framework for interpreting the right to freedom of association of workers and trade unions in European human rights law (Doctoral thesis, University of Oxford, Magdalen College). University of Oxford.</w:t>
      </w:r>
    </w:p>
    <w:p w14:paraId="40B64BD7" w14:textId="2368D097" w:rsidR="00901ECC" w:rsidRDefault="00901ECC" w:rsidP="00ED2B59">
      <w:pPr>
        <w:adjustRightInd w:val="0"/>
        <w:spacing w:after="240"/>
        <w:jc w:val="both"/>
        <w:rPr>
          <w:bCs/>
          <w:sz w:val="24"/>
          <w:szCs w:val="24"/>
          <w:lang w:val="mk-MK"/>
        </w:rPr>
      </w:pPr>
      <w:r w:rsidRPr="00901ECC">
        <w:rPr>
          <w:bCs/>
          <w:sz w:val="24"/>
          <w:szCs w:val="24"/>
          <w:lang w:val="mk-MK"/>
        </w:rPr>
        <w:t>Arabadjieva, K., Bugada, A., Chacartegui, C., Tomassetti, P., &amp; Zbyszewska, A. (2023). Introduction: The labour-environment nexus-Exploring new frontiers in labour law. International Journal of Comparative Labour Law and Industrial Relations, 39(3/4).</w:t>
      </w:r>
    </w:p>
    <w:p w14:paraId="193BD4C3" w14:textId="7F99B2AE" w:rsidR="00901ECC" w:rsidRPr="00F53881" w:rsidRDefault="00901ECC" w:rsidP="00ED2B59">
      <w:pPr>
        <w:adjustRightInd w:val="0"/>
        <w:spacing w:after="240"/>
        <w:jc w:val="both"/>
        <w:rPr>
          <w:bCs/>
          <w:sz w:val="24"/>
          <w:szCs w:val="24"/>
          <w:lang w:val="mk-MK"/>
        </w:rPr>
      </w:pPr>
      <w:r w:rsidRPr="00901ECC">
        <w:rPr>
          <w:bCs/>
          <w:sz w:val="24"/>
          <w:szCs w:val="24"/>
          <w:lang w:val="mk-MK"/>
        </w:rPr>
        <w:t>Arabadjieva, K., &amp; Bogojević, S. (2024). The European Green Deal: climate action, social impacts and just transition safeguards. Yearbook of European Law, 43, 34-55.</w:t>
      </w:r>
    </w:p>
    <w:p w14:paraId="192F868D"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Arin˜o, A. (2003). Measures of strategic alliance performance: An analysis of construct validity. Journal of International Business Studies, 34(1), 66 –79. </w:t>
      </w:r>
    </w:p>
    <w:p w14:paraId="4F49937B"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Arin˜o, A., &amp; de la Torre, J. (1998). Learning from failure: Towards an evolutionary model of collaborative ventures. Organization Science, 9(3), 306 –325. </w:t>
      </w:r>
    </w:p>
    <w:p w14:paraId="54ABC1BB" w14:textId="77777777" w:rsidR="00ED2B59" w:rsidRDefault="00ED2B59" w:rsidP="00ED2B59">
      <w:pPr>
        <w:adjustRightInd w:val="0"/>
        <w:spacing w:after="240"/>
        <w:jc w:val="both"/>
        <w:rPr>
          <w:bCs/>
          <w:sz w:val="24"/>
          <w:szCs w:val="24"/>
          <w:lang w:val="mk-MK"/>
        </w:rPr>
      </w:pPr>
      <w:r w:rsidRPr="00F53881">
        <w:rPr>
          <w:bCs/>
          <w:sz w:val="24"/>
          <w:szCs w:val="24"/>
          <w:lang w:val="mk-MK"/>
        </w:rPr>
        <w:t xml:space="preserve">Ayuso, Silviam, and Antonio Argandoña. 2009. “Responsible Corporate Governance: Towards a Stakeholder Board of Directors?” 6 Corporate Ownership &amp; Control 9. </w:t>
      </w:r>
      <w:hyperlink r:id="rId24" w:history="1">
        <w:r w:rsidRPr="00F53881">
          <w:rPr>
            <w:rStyle w:val="Hyperlink"/>
            <w:bCs/>
            <w:sz w:val="24"/>
            <w:szCs w:val="24"/>
            <w:lang w:val="mk-MK"/>
          </w:rPr>
          <w:t>https://doi.org/10.22495/cocv6i4p1</w:t>
        </w:r>
      </w:hyperlink>
      <w:r w:rsidRPr="00F53881">
        <w:rPr>
          <w:bCs/>
          <w:sz w:val="24"/>
          <w:szCs w:val="24"/>
          <w:lang w:val="mk-MK"/>
        </w:rPr>
        <w:t xml:space="preserve">. </w:t>
      </w:r>
    </w:p>
    <w:p w14:paraId="5C1A21D6" w14:textId="070CA92B" w:rsidR="003B7D05" w:rsidRPr="00F53881" w:rsidRDefault="003B7D05" w:rsidP="00ED2B59">
      <w:pPr>
        <w:adjustRightInd w:val="0"/>
        <w:spacing w:after="240"/>
        <w:jc w:val="both"/>
        <w:rPr>
          <w:bCs/>
          <w:sz w:val="24"/>
          <w:szCs w:val="24"/>
          <w:lang w:val="mk-MK"/>
        </w:rPr>
      </w:pPr>
      <w:r w:rsidRPr="003B7D05">
        <w:rPr>
          <w:bCs/>
          <w:sz w:val="24"/>
          <w:szCs w:val="24"/>
          <w:lang w:val="mk-MK"/>
        </w:rPr>
        <w:t>Aziri, B., Veseli, N., &amp; Veseli, T. (2014, April). Corporate Governance in the Republic of Macedonia. In International OFEL Conference on Governance, Management and Entrepreneurship (p. 316). Centar za istrazivanje i razvoj upravljanja doo.</w:t>
      </w:r>
    </w:p>
    <w:p w14:paraId="5D5E662E" w14:textId="3925E1B0" w:rsidR="00637448" w:rsidRDefault="00637448" w:rsidP="00ED2B59">
      <w:pPr>
        <w:adjustRightInd w:val="0"/>
        <w:spacing w:after="240"/>
        <w:jc w:val="both"/>
        <w:rPr>
          <w:bCs/>
          <w:sz w:val="24"/>
          <w:szCs w:val="24"/>
          <w:lang w:val="mk-MK"/>
        </w:rPr>
      </w:pPr>
      <w:r w:rsidRPr="00637448">
        <w:rPr>
          <w:bCs/>
          <w:sz w:val="24"/>
          <w:szCs w:val="24"/>
          <w:lang w:val="mk-MK"/>
        </w:rPr>
        <w:t>Bajgorić, A., Elsaman, H., &amp; Gernal, L. (2021). Contribution Of the Supervisory Board as Corporate Governance Body in The Development of The Company Strategy of State-Owned Enterprises in Bosnia and Herzegovina. Journal of Positive Psychology and Wellbeing, 5(3), 345-357.</w:t>
      </w:r>
    </w:p>
    <w:p w14:paraId="5107CE84" w14:textId="508A1BEE"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Barkema, H. G., Bell, J. H. J., &amp; Pennings, J. M. (1996). Foreign entry, cultural barriers, and learning. Strategic Management Journal, 17(2), 151–166. </w:t>
      </w:r>
    </w:p>
    <w:p w14:paraId="338A7A7E"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Barkema, H. G., Shenkar, O., Vermeulen, F., &amp; Bell, J. H. J. (1997). Working abroad, working with others: How firms learn to operate international joint ventures. Academy of Management Journal, 40(2), 426 – 442. </w:t>
      </w:r>
    </w:p>
    <w:p w14:paraId="15F036F1" w14:textId="550D8622" w:rsidR="003B0424" w:rsidRPr="003B0424" w:rsidRDefault="003B0424" w:rsidP="00ED2B59">
      <w:pPr>
        <w:adjustRightInd w:val="0"/>
        <w:spacing w:after="240"/>
        <w:jc w:val="both"/>
        <w:rPr>
          <w:bCs/>
          <w:sz w:val="24"/>
          <w:szCs w:val="24"/>
          <w:lang w:val="en-US"/>
        </w:rPr>
      </w:pPr>
      <w:r w:rsidRPr="003B0424">
        <w:rPr>
          <w:bCs/>
          <w:sz w:val="24"/>
          <w:szCs w:val="24"/>
          <w:lang w:val="en-US"/>
        </w:rPr>
        <w:t>Barnard, C., &amp; Deakin, S. (2003). Reinventing the European corporation? Corporate governance, social policy and the single market. Corporate Governance, Social Policy and the Single Market.</w:t>
      </w:r>
    </w:p>
    <w:p w14:paraId="6289F3C3"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Barradas, Ricardo. 2019. “Financialization and Neoliberalism and the Fall in the Labor Share: A Panel Data Econometric Analysis for the European Union Countries.” 51 Review of Radical Political Economics 383. </w:t>
      </w:r>
      <w:hyperlink r:id="rId25" w:history="1">
        <w:r w:rsidRPr="00F53881">
          <w:rPr>
            <w:rStyle w:val="Hyperlink"/>
            <w:bCs/>
            <w:sz w:val="24"/>
            <w:szCs w:val="24"/>
            <w:lang w:val="mk-MK"/>
          </w:rPr>
          <w:t>https://doi.org/10.1177/0486613418807286</w:t>
        </w:r>
      </w:hyperlink>
      <w:r w:rsidRPr="00F53881">
        <w:rPr>
          <w:bCs/>
          <w:sz w:val="24"/>
          <w:szCs w:val="24"/>
          <w:lang w:val="mk-MK"/>
        </w:rPr>
        <w:t xml:space="preserve">. </w:t>
      </w:r>
    </w:p>
    <w:p w14:paraId="19802C75" w14:textId="567AA037" w:rsidR="00D53325" w:rsidRPr="00D53325" w:rsidRDefault="00D53325" w:rsidP="00ED2B59">
      <w:pPr>
        <w:adjustRightInd w:val="0"/>
        <w:spacing w:after="240"/>
        <w:jc w:val="both"/>
        <w:rPr>
          <w:bCs/>
          <w:sz w:val="24"/>
          <w:szCs w:val="24"/>
          <w:lang w:val="en-US"/>
        </w:rPr>
      </w:pPr>
      <w:r w:rsidRPr="00D53325">
        <w:rPr>
          <w:bCs/>
          <w:sz w:val="24"/>
          <w:szCs w:val="24"/>
          <w:lang w:val="en-US"/>
        </w:rPr>
        <w:t>Bartosch, J., Nicklich, M., &amp; Jackson, G. (2025). Employee voice and corporate governance: power and engagement for the environment. ILR Review, 00197939251351678.</w:t>
      </w:r>
    </w:p>
    <w:p w14:paraId="61595E53"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Beamish, P. W., &amp; Killing, J. P. (Eds.). (1997). Cooperative strategies: Asian Pacific perspectives. San Francisco: New Lexington Press. </w:t>
      </w:r>
    </w:p>
    <w:p w14:paraId="3C8471DD"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lastRenderedPageBreak/>
        <w:t xml:space="preserve">Beamish, P. W., &amp; Killing, J. P. (Eds.). (1997). Cooperative strategies: European perspectives. San Francisco: New Lexington Press. </w:t>
      </w:r>
    </w:p>
    <w:p w14:paraId="401111B6"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Beamish, P. W., &amp; Killing, J. P. (Eds.). (1997). Cooperative 90 Academy of Management Perspectives May strategies: North American perspectives. San Francisco: New Lexington Press. </w:t>
      </w:r>
    </w:p>
    <w:p w14:paraId="69E15891" w14:textId="77777777" w:rsidR="00ED2B59" w:rsidRPr="00F53881" w:rsidRDefault="00ED2B59" w:rsidP="00ED2B59">
      <w:pPr>
        <w:adjustRightInd w:val="0"/>
        <w:spacing w:after="240"/>
        <w:jc w:val="both"/>
        <w:rPr>
          <w:bCs/>
          <w:sz w:val="24"/>
          <w:szCs w:val="24"/>
          <w:lang w:val="mk-MK"/>
        </w:rPr>
      </w:pPr>
      <w:r w:rsidRPr="00F53881">
        <w:rPr>
          <w:bCs/>
          <w:sz w:val="24"/>
          <w:szCs w:val="24"/>
          <w:lang w:val="en-US"/>
        </w:rPr>
        <w:t>Berle, Adolph, and Gardiner Means. (1932) 1991. The Modern Corporation and Private Property. Routledge.</w:t>
      </w:r>
    </w:p>
    <w:p w14:paraId="050FB0A2"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Biondi, Yuri, Arnaldo Canziani, and Thierry Kirat. 2007. The Firm as an Entity. Routledge.</w:t>
      </w:r>
    </w:p>
    <w:p w14:paraId="45F7F74A"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Blair, Margaret, and Lynn Stout. 1999. “A Team Production Theory of Corporate Law.” 85 Virginia Law Review 247.</w:t>
      </w:r>
    </w:p>
    <w:p w14:paraId="54D6B3D0" w14:textId="77777777" w:rsidR="00ED2B59" w:rsidRDefault="00ED2B59" w:rsidP="00ED2B59">
      <w:pPr>
        <w:adjustRightInd w:val="0"/>
        <w:spacing w:after="240"/>
        <w:jc w:val="both"/>
        <w:rPr>
          <w:bCs/>
          <w:sz w:val="24"/>
          <w:szCs w:val="24"/>
          <w:lang w:val="mk-MK"/>
        </w:rPr>
      </w:pPr>
      <w:r w:rsidRPr="00F53881">
        <w:rPr>
          <w:bCs/>
          <w:sz w:val="24"/>
          <w:szCs w:val="24"/>
          <w:lang w:val="mk-MK"/>
        </w:rPr>
        <w:t>Blasi, Joseph, Douglas Kruse, and Richard Freeman. 2013. The Citizen’s Share. Yale University Press.</w:t>
      </w:r>
    </w:p>
    <w:p w14:paraId="2E896B7B" w14:textId="14BBB3FD" w:rsidR="00B849D4" w:rsidRPr="00F53881" w:rsidRDefault="00B849D4" w:rsidP="00ED2B59">
      <w:pPr>
        <w:adjustRightInd w:val="0"/>
        <w:spacing w:after="240"/>
        <w:jc w:val="both"/>
        <w:rPr>
          <w:bCs/>
          <w:sz w:val="24"/>
          <w:szCs w:val="24"/>
          <w:lang w:val="mk-MK"/>
        </w:rPr>
      </w:pPr>
      <w:r w:rsidRPr="00B849D4">
        <w:rPr>
          <w:bCs/>
          <w:sz w:val="24"/>
          <w:szCs w:val="24"/>
          <w:lang w:val="mk-MK"/>
        </w:rPr>
        <w:t>Blasi, J., Scharf, A., &amp; Kruse, D. (2024). Employee ownership in the US: Some issues on ESOPs–overcoming the barriers to further development. Journal of Participation and Employee Ownership, 7(1), 26-45.</w:t>
      </w:r>
    </w:p>
    <w:p w14:paraId="4BBD1BE9"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Bleeke, J., &amp; Ernst, D. (1993). Collaborating to compete: Using strategic alliances and acquisitions in the global marketplace. New York: Wiley. </w:t>
      </w:r>
    </w:p>
    <w:p w14:paraId="30E4A252"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Blomstro¨m, M., &amp; Sjo¨holm, F. (1999). Technology transfer and spillovers: Does local participation with multinationals matter? European Economic Review, 43(4 – 6), 915–923. </w:t>
      </w:r>
    </w:p>
    <w:p w14:paraId="000F25D6" w14:textId="77777777" w:rsidR="00326CF9" w:rsidRDefault="00ED2B59" w:rsidP="00ED2B59">
      <w:pPr>
        <w:adjustRightInd w:val="0"/>
        <w:spacing w:after="240"/>
        <w:jc w:val="both"/>
        <w:rPr>
          <w:bCs/>
          <w:sz w:val="24"/>
          <w:szCs w:val="24"/>
          <w:lang w:val="mk-MK"/>
        </w:rPr>
      </w:pPr>
      <w:r w:rsidRPr="00F53881">
        <w:rPr>
          <w:bCs/>
          <w:sz w:val="24"/>
          <w:szCs w:val="24"/>
          <w:lang w:val="mk-MK"/>
        </w:rPr>
        <w:t>Bodie, Matt. 2016. “Income Inequality and Corporate Structure.” 45 Stetson Law Review 69.</w:t>
      </w:r>
    </w:p>
    <w:p w14:paraId="4E33F41D" w14:textId="1DC924A2" w:rsidR="00ED2B59" w:rsidRPr="00F53881" w:rsidRDefault="00326CF9" w:rsidP="00ED2B59">
      <w:pPr>
        <w:adjustRightInd w:val="0"/>
        <w:spacing w:after="240"/>
        <w:jc w:val="both"/>
        <w:rPr>
          <w:bCs/>
          <w:sz w:val="24"/>
          <w:szCs w:val="24"/>
          <w:lang w:val="mk-MK"/>
        </w:rPr>
      </w:pPr>
      <w:r w:rsidRPr="00326CF9">
        <w:rPr>
          <w:bCs/>
          <w:sz w:val="24"/>
          <w:szCs w:val="24"/>
        </w:rPr>
        <w:t>Bös, D. (1993). Privatization in Europe: a comparison of approaches. </w:t>
      </w:r>
      <w:r w:rsidRPr="00326CF9">
        <w:rPr>
          <w:bCs/>
          <w:i/>
          <w:iCs/>
          <w:sz w:val="24"/>
          <w:szCs w:val="24"/>
        </w:rPr>
        <w:t>Oxford Review of Economic Policy</w:t>
      </w:r>
      <w:r w:rsidRPr="00326CF9">
        <w:rPr>
          <w:bCs/>
          <w:sz w:val="24"/>
          <w:szCs w:val="24"/>
        </w:rPr>
        <w:t>, </w:t>
      </w:r>
      <w:r w:rsidRPr="00326CF9">
        <w:rPr>
          <w:bCs/>
          <w:i/>
          <w:iCs/>
          <w:sz w:val="24"/>
          <w:szCs w:val="24"/>
        </w:rPr>
        <w:t>9</w:t>
      </w:r>
      <w:r w:rsidRPr="00326CF9">
        <w:rPr>
          <w:bCs/>
          <w:sz w:val="24"/>
          <w:szCs w:val="24"/>
        </w:rPr>
        <w:t>(1), 95-111.</w:t>
      </w:r>
      <w:r w:rsidR="00ED2B59" w:rsidRPr="00F53881">
        <w:rPr>
          <w:bCs/>
          <w:sz w:val="24"/>
          <w:szCs w:val="24"/>
          <w:lang w:val="mk-MK"/>
        </w:rPr>
        <w:t xml:space="preserve"> </w:t>
      </w:r>
    </w:p>
    <w:p w14:paraId="3A28CB96"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Bowles, Samuel, and Robert Boyer. 1988. “Labor Discipline and Aggregate Demand: A Macroeconomic Model.” University of California, Berkeley, Department of Economics Working Paper No. 8875, Berkeley, California, June 1988. </w:t>
      </w:r>
      <w:hyperlink r:id="rId26" w:history="1">
        <w:r w:rsidRPr="00F53881">
          <w:rPr>
            <w:rStyle w:val="Hyperlink"/>
            <w:bCs/>
            <w:sz w:val="24"/>
            <w:szCs w:val="24"/>
            <w:lang w:val="mk-MK"/>
          </w:rPr>
          <w:t>https://escholarship.org/uc/item/8sb2623g</w:t>
        </w:r>
      </w:hyperlink>
      <w:r w:rsidRPr="00F53881">
        <w:rPr>
          <w:bCs/>
          <w:sz w:val="24"/>
          <w:szCs w:val="24"/>
          <w:lang w:val="mk-MK"/>
        </w:rPr>
        <w:t xml:space="preserve">. </w:t>
      </w:r>
    </w:p>
    <w:p w14:paraId="4A17052B"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Brouthers, K. D. (2002). Institutional, cultural and transaction cost influences on entry mode choice and performance. Journal of International Business Studies, 33(2), 203–221. </w:t>
      </w:r>
    </w:p>
    <w:p w14:paraId="702E2DFE" w14:textId="77777777" w:rsidR="00ED2B59" w:rsidRDefault="00ED2B59" w:rsidP="00ED2B59">
      <w:pPr>
        <w:adjustRightInd w:val="0"/>
        <w:spacing w:after="240"/>
        <w:jc w:val="both"/>
        <w:rPr>
          <w:bCs/>
          <w:sz w:val="24"/>
          <w:szCs w:val="24"/>
          <w:lang w:val="mk-MK"/>
        </w:rPr>
      </w:pPr>
      <w:r w:rsidRPr="00F53881">
        <w:rPr>
          <w:bCs/>
          <w:sz w:val="24"/>
          <w:szCs w:val="24"/>
          <w:lang w:val="mk-MK"/>
        </w:rPr>
        <w:t xml:space="preserve">Brouthers, K. D., &amp; Bamossy, G. J. (1997). The role of key stakeholders in international </w:t>
      </w:r>
      <w:r w:rsidRPr="00F53881">
        <w:rPr>
          <w:bCs/>
          <w:sz w:val="24"/>
          <w:szCs w:val="24"/>
          <w:lang w:val="en-US"/>
        </w:rPr>
        <w:t xml:space="preserve">participation </w:t>
      </w:r>
      <w:r w:rsidRPr="00F53881">
        <w:rPr>
          <w:bCs/>
          <w:sz w:val="24"/>
          <w:szCs w:val="24"/>
          <w:lang w:val="mk-MK"/>
        </w:rPr>
        <w:t xml:space="preserve">negotiations: Case studies from Eastern Europe. Journal of International Business Studies, 28(2), 285–308. </w:t>
      </w:r>
    </w:p>
    <w:p w14:paraId="03F8A02B" w14:textId="0DAA3DF9" w:rsidR="00464557" w:rsidRPr="00F53881" w:rsidRDefault="00464557" w:rsidP="00ED2B59">
      <w:pPr>
        <w:adjustRightInd w:val="0"/>
        <w:spacing w:after="240"/>
        <w:jc w:val="both"/>
        <w:rPr>
          <w:bCs/>
          <w:sz w:val="24"/>
          <w:szCs w:val="24"/>
          <w:lang w:val="en-US"/>
        </w:rPr>
      </w:pPr>
      <w:r w:rsidRPr="00464557">
        <w:rPr>
          <w:bCs/>
          <w:sz w:val="24"/>
          <w:szCs w:val="24"/>
          <w:lang w:val="en-US"/>
        </w:rPr>
        <w:t>Buchanan, J. (2022). Japan’s Corporate Governance Code 2015–2021: Legitimacy and the Transition from Principles to Prescription. Zeitschrift für Japanisches Recht, 27(53), 19-44.</w:t>
      </w:r>
    </w:p>
    <w:p w14:paraId="36A74E47"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Bureau of Labor Statistics. 2021. “Union Members – 2020.” News release USDL-21-0081, January 22, 2021. </w:t>
      </w:r>
      <w:hyperlink r:id="rId27" w:history="1">
        <w:r w:rsidRPr="00F53881">
          <w:rPr>
            <w:rStyle w:val="Hyperlink"/>
            <w:bCs/>
            <w:sz w:val="24"/>
            <w:szCs w:val="24"/>
            <w:lang w:val="en-US"/>
          </w:rPr>
          <w:t>https://www.bls.gov/news.release/pdf/union2.pdf</w:t>
        </w:r>
      </w:hyperlink>
      <w:r w:rsidRPr="00F53881">
        <w:rPr>
          <w:bCs/>
          <w:sz w:val="24"/>
          <w:szCs w:val="24"/>
          <w:lang w:val="en-US"/>
        </w:rPr>
        <w:t xml:space="preserve">. </w:t>
      </w:r>
    </w:p>
    <w:p w14:paraId="4B72CDF0" w14:textId="7A385EEC" w:rsidR="00ED2B59" w:rsidRDefault="00ED2B59" w:rsidP="00ED2B59">
      <w:pPr>
        <w:adjustRightInd w:val="0"/>
        <w:spacing w:after="240"/>
        <w:jc w:val="both"/>
        <w:rPr>
          <w:bCs/>
          <w:sz w:val="24"/>
          <w:szCs w:val="24"/>
          <w:lang w:val="en-US"/>
        </w:rPr>
      </w:pPr>
      <w:r w:rsidRPr="00F53881">
        <w:rPr>
          <w:bCs/>
          <w:sz w:val="24"/>
          <w:szCs w:val="24"/>
          <w:lang w:val="en-US"/>
        </w:rPr>
        <w:lastRenderedPageBreak/>
        <w:t xml:space="preserve">Business Roundtable. 2019. “Business Roundtable Redefines the Purpose of a Corporation to Promote ‘An Economy That Serves All Americans.” Business Roundtable, August 19, 2019. </w:t>
      </w:r>
      <w:hyperlink r:id="rId28" w:history="1">
        <w:r w:rsidRPr="00F53881">
          <w:rPr>
            <w:rStyle w:val="Hyperlink"/>
            <w:bCs/>
            <w:sz w:val="24"/>
            <w:szCs w:val="24"/>
            <w:lang w:val="en-US"/>
          </w:rPr>
          <w:t>https://www.businessroundtable.org/</w:t>
        </w:r>
      </w:hyperlink>
      <w:r w:rsidRPr="00F53881">
        <w:rPr>
          <w:bCs/>
          <w:sz w:val="24"/>
          <w:szCs w:val="24"/>
          <w:lang w:val="en-US"/>
        </w:rPr>
        <w:t xml:space="preserve">.  </w:t>
      </w:r>
    </w:p>
    <w:p w14:paraId="3E371E3B" w14:textId="4142C7CB" w:rsidR="00BD7537" w:rsidRDefault="00BD7537" w:rsidP="00ED2B59">
      <w:pPr>
        <w:adjustRightInd w:val="0"/>
        <w:spacing w:after="240"/>
        <w:jc w:val="both"/>
        <w:rPr>
          <w:bCs/>
          <w:sz w:val="24"/>
          <w:szCs w:val="24"/>
          <w:lang w:val="mk-MK"/>
        </w:rPr>
      </w:pPr>
      <w:r w:rsidRPr="00BD7537">
        <w:rPr>
          <w:bCs/>
          <w:sz w:val="24"/>
          <w:szCs w:val="24"/>
          <w:lang w:val="mk-MK"/>
        </w:rPr>
        <w:t>Bruun, N., Lörcher, K., Schömann, I., &amp; Clauwaert, S. (Eds.). (2017). The European Social Charter and the employment relation. Bloomsbury Publishing.</w:t>
      </w:r>
    </w:p>
    <w:p w14:paraId="3AA09AB0" w14:textId="5CFD2AFB" w:rsidR="00221A61" w:rsidRPr="00F53881" w:rsidRDefault="00221A61" w:rsidP="00ED2B59">
      <w:pPr>
        <w:adjustRightInd w:val="0"/>
        <w:spacing w:after="240"/>
        <w:jc w:val="both"/>
        <w:rPr>
          <w:bCs/>
          <w:sz w:val="24"/>
          <w:szCs w:val="24"/>
          <w:lang w:val="mk-MK"/>
        </w:rPr>
      </w:pPr>
      <w:r w:rsidRPr="00221A61">
        <w:rPr>
          <w:bCs/>
          <w:sz w:val="24"/>
          <w:szCs w:val="24"/>
          <w:lang w:val="mk-MK"/>
        </w:rPr>
        <w:t>Brodeur, G. L. (2016). Shareholders as stakeholders: a future paradigm for institutional activism in Japan. Duke J. Comp. &amp; Int'l L., 27, 291.</w:t>
      </w:r>
    </w:p>
    <w:p w14:paraId="195DF713" w14:textId="1D688FB4" w:rsidR="00A354EB" w:rsidRPr="00A354EB" w:rsidRDefault="00A354EB" w:rsidP="00ED2B59">
      <w:pPr>
        <w:adjustRightInd w:val="0"/>
        <w:spacing w:after="240"/>
        <w:jc w:val="both"/>
        <w:rPr>
          <w:bCs/>
          <w:sz w:val="24"/>
          <w:szCs w:val="24"/>
          <w:lang w:val="en-US"/>
        </w:rPr>
      </w:pPr>
      <w:r w:rsidRPr="00A354EB">
        <w:rPr>
          <w:bCs/>
          <w:sz w:val="24"/>
          <w:szCs w:val="24"/>
          <w:lang w:val="en-US"/>
        </w:rPr>
        <w:t>Challoumis, C. (2022). Structure of the economy. Actual Problems of Economics, 247(1).</w:t>
      </w:r>
    </w:p>
    <w:p w14:paraId="6912F3D7" w14:textId="71D1A3FC" w:rsidR="006236C6" w:rsidRDefault="006236C6" w:rsidP="00ED2B59">
      <w:pPr>
        <w:adjustRightInd w:val="0"/>
        <w:spacing w:after="240"/>
        <w:jc w:val="both"/>
        <w:rPr>
          <w:bCs/>
          <w:sz w:val="24"/>
          <w:szCs w:val="24"/>
          <w:lang w:val="en-US"/>
        </w:rPr>
      </w:pPr>
      <w:r w:rsidRPr="006236C6">
        <w:rPr>
          <w:bCs/>
          <w:sz w:val="24"/>
          <w:szCs w:val="24"/>
          <w:lang w:val="mk-MK"/>
        </w:rPr>
        <w:t>Cioffi, J. W., &amp; Höpner, M. (2006). Das parteipolitische Paradox des Finanzmarktkapitalismus. Aktionärsorientierte Reformen in Deutschland, Frankreich, Italien und den USA. Politische Vierteljahresschrift, 47(3), 419-440.</w:t>
      </w:r>
    </w:p>
    <w:p w14:paraId="67367C30" w14:textId="70B038C3" w:rsidR="00B112B1" w:rsidRDefault="00B112B1" w:rsidP="00ED2B59">
      <w:pPr>
        <w:adjustRightInd w:val="0"/>
        <w:spacing w:after="240"/>
        <w:jc w:val="both"/>
        <w:rPr>
          <w:bCs/>
          <w:sz w:val="24"/>
          <w:szCs w:val="24"/>
          <w:lang w:val="mk-MK"/>
        </w:rPr>
      </w:pPr>
      <w:r w:rsidRPr="00B112B1">
        <w:rPr>
          <w:bCs/>
          <w:sz w:val="24"/>
          <w:szCs w:val="24"/>
          <w:lang w:val="en-US"/>
        </w:rPr>
        <w:t>Clarke, D. C. (2003). Corporate governance in China: An overview. China economic review, 14(4), 494-507.</w:t>
      </w:r>
    </w:p>
    <w:p w14:paraId="1E7D4A18" w14:textId="670BC2CB" w:rsidR="00921261" w:rsidRPr="00921261" w:rsidRDefault="00921261" w:rsidP="00ED2B59">
      <w:pPr>
        <w:adjustRightInd w:val="0"/>
        <w:spacing w:after="240"/>
        <w:jc w:val="both"/>
        <w:rPr>
          <w:bCs/>
          <w:sz w:val="24"/>
          <w:szCs w:val="24"/>
          <w:lang w:val="mk-MK"/>
        </w:rPr>
      </w:pPr>
      <w:r w:rsidRPr="00F53881">
        <w:rPr>
          <w:bCs/>
          <w:sz w:val="24"/>
          <w:szCs w:val="24"/>
          <w:lang w:val="mk-MK"/>
        </w:rPr>
        <w:t>Colin</w:t>
      </w:r>
      <w:r>
        <w:rPr>
          <w:bCs/>
          <w:sz w:val="24"/>
          <w:szCs w:val="24"/>
          <w:lang w:val="mk-MK"/>
        </w:rPr>
        <w:t xml:space="preserve"> М.</w:t>
      </w:r>
      <w:r w:rsidRPr="00F53881">
        <w:rPr>
          <w:bCs/>
          <w:sz w:val="24"/>
          <w:szCs w:val="24"/>
          <w:lang w:val="mk-MK"/>
        </w:rPr>
        <w:t>, New Issues in Corporate Finance” 32 European Economic Review, 1988.</w:t>
      </w:r>
    </w:p>
    <w:p w14:paraId="2C31E161"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 xml:space="preserve">Contractor, F. J., &amp; Lorange, P. (Eds.). (1988). Cooperative strategies in international business. Lexington, MA: Lexington Books. </w:t>
      </w:r>
    </w:p>
    <w:p w14:paraId="10A01E5B"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Crotty, James. 2003 “The Neoliberal Paradox: The Impact of Destructive Product Market Competition and Impatient Finance on Nonfinancial Corporations in the Neoliberal Era.” 35 Review of Radical Political Economics 271.</w:t>
      </w:r>
    </w:p>
    <w:p w14:paraId="69B953E9" w14:textId="391F841F" w:rsidR="00ED2B59" w:rsidRDefault="00ED2B59" w:rsidP="00ED2B59">
      <w:pPr>
        <w:adjustRightInd w:val="0"/>
        <w:spacing w:after="240"/>
        <w:jc w:val="both"/>
        <w:rPr>
          <w:bCs/>
          <w:sz w:val="24"/>
          <w:szCs w:val="24"/>
          <w:lang w:val="mk-MK"/>
        </w:rPr>
      </w:pPr>
      <w:r w:rsidRPr="00F53881">
        <w:rPr>
          <w:bCs/>
          <w:sz w:val="24"/>
          <w:szCs w:val="24"/>
          <w:lang w:val="mk-MK"/>
        </w:rPr>
        <w:t>D Tsuk Corporations Without Labour: The Politics of Progressive Corporate Law, University of Pennsylvania Law Review, Volume 151, Issue 6, 2003.</w:t>
      </w:r>
    </w:p>
    <w:p w14:paraId="25834613" w14:textId="22EF9793" w:rsidR="008240D4" w:rsidRPr="00F53881" w:rsidRDefault="008240D4" w:rsidP="00ED2B59">
      <w:pPr>
        <w:adjustRightInd w:val="0"/>
        <w:spacing w:after="240"/>
        <w:jc w:val="both"/>
        <w:rPr>
          <w:bCs/>
          <w:sz w:val="24"/>
          <w:szCs w:val="24"/>
          <w:lang w:val="mk-MK"/>
        </w:rPr>
      </w:pPr>
      <w:r w:rsidRPr="008240D4">
        <w:rPr>
          <w:bCs/>
          <w:sz w:val="24"/>
          <w:szCs w:val="24"/>
        </w:rPr>
        <w:t>De Schutter, O., &amp; Sant'Ana, M. (2012). The European Committee of Social Rights (the ECSR). In </w:t>
      </w:r>
      <w:r w:rsidRPr="008240D4">
        <w:rPr>
          <w:bCs/>
          <w:i/>
          <w:iCs/>
          <w:sz w:val="24"/>
          <w:szCs w:val="24"/>
        </w:rPr>
        <w:t>Human Rights Monitoring Mechanisms of the Council of Europe</w:t>
      </w:r>
      <w:r w:rsidRPr="008240D4">
        <w:rPr>
          <w:bCs/>
          <w:sz w:val="24"/>
          <w:szCs w:val="24"/>
        </w:rPr>
        <w:t> (pp. 71-99). Routledge.</w:t>
      </w:r>
    </w:p>
    <w:p w14:paraId="05D4FD18"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Dammann, J., &amp; Eidenmuller, H. (2020). Codetermination: a poor fit for US corporations. Colum. Bus. L. Rev., 870.</w:t>
      </w:r>
    </w:p>
    <w:p w14:paraId="56FE4753"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Das, T. K., &amp; Teng, S. B. (1996). Risk types and inter-firm alliance structures. Journal of Management Studies, 33(6), 827– 843. </w:t>
      </w:r>
    </w:p>
    <w:p w14:paraId="005CBF1A" w14:textId="13091801" w:rsidR="00D361B6" w:rsidRDefault="00D361B6" w:rsidP="00ED2B59">
      <w:pPr>
        <w:adjustRightInd w:val="0"/>
        <w:spacing w:after="240"/>
        <w:jc w:val="both"/>
        <w:rPr>
          <w:bCs/>
          <w:sz w:val="24"/>
          <w:szCs w:val="24"/>
          <w:lang w:val="mk-MK"/>
        </w:rPr>
      </w:pPr>
      <w:r w:rsidRPr="00F53881">
        <w:rPr>
          <w:bCs/>
          <w:sz w:val="24"/>
          <w:szCs w:val="24"/>
          <w:lang w:val="mk-MK"/>
        </w:rPr>
        <w:t>David</w:t>
      </w:r>
      <w:r>
        <w:rPr>
          <w:bCs/>
          <w:sz w:val="24"/>
          <w:szCs w:val="24"/>
          <w:lang w:val="en-US"/>
        </w:rPr>
        <w:t xml:space="preserve"> C.</w:t>
      </w:r>
      <w:r w:rsidRPr="00F53881">
        <w:rPr>
          <w:bCs/>
          <w:sz w:val="24"/>
          <w:szCs w:val="24"/>
          <w:lang w:val="mk-MK"/>
        </w:rPr>
        <w:t>, Workers and Corporate Governance, во Blair M. M. and M. J. Roe edition, „Employees and Corporate Governance”, Brookings Institution Press, Washington D.C. 1999.</w:t>
      </w:r>
    </w:p>
    <w:p w14:paraId="153D28CB" w14:textId="4D5921EF" w:rsidR="00014B9A" w:rsidRPr="00D361B6" w:rsidRDefault="00014B9A" w:rsidP="00ED2B59">
      <w:pPr>
        <w:adjustRightInd w:val="0"/>
        <w:spacing w:after="240"/>
        <w:jc w:val="both"/>
        <w:rPr>
          <w:bCs/>
          <w:sz w:val="24"/>
          <w:szCs w:val="24"/>
          <w:lang w:val="en-US"/>
        </w:rPr>
      </w:pPr>
      <w:r w:rsidRPr="00014B9A">
        <w:rPr>
          <w:bCs/>
          <w:sz w:val="24"/>
          <w:szCs w:val="24"/>
          <w:lang w:val="en-US"/>
        </w:rPr>
        <w:t>Davis, A. Y. (2016). Freedom is a constant struggle: Ferguson, Palestine, and the foundations of a movement (F. Barat, Ed.). Haymarket Books.</w:t>
      </w:r>
    </w:p>
    <w:p w14:paraId="4FAEB0A8" w14:textId="512E2321" w:rsidR="00B112B1" w:rsidRPr="00F53881" w:rsidRDefault="00ED2B59" w:rsidP="00ED2B59">
      <w:pPr>
        <w:adjustRightInd w:val="0"/>
        <w:spacing w:after="240"/>
        <w:jc w:val="both"/>
        <w:rPr>
          <w:bCs/>
          <w:sz w:val="24"/>
          <w:szCs w:val="24"/>
          <w:lang w:val="en-US"/>
        </w:rPr>
      </w:pPr>
      <w:r w:rsidRPr="00F53881">
        <w:rPr>
          <w:bCs/>
          <w:sz w:val="24"/>
          <w:szCs w:val="24"/>
          <w:lang w:val="en-US"/>
        </w:rPr>
        <w:t>Davies, P. L., &amp; Hopt, K. J. (2013). Corporate boards in Europe—accountability and convergence. The American Journal of Comparative Law, 61(2), 301-376.</w:t>
      </w:r>
    </w:p>
    <w:p w14:paraId="399054AC"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Davis, Gerald. 2008. “A New Finance Capitalism? Mutual Funds and Ownership Re-</w:t>
      </w:r>
      <w:r w:rsidRPr="00F53881">
        <w:rPr>
          <w:bCs/>
          <w:sz w:val="24"/>
          <w:szCs w:val="24"/>
          <w:lang w:val="mk-MK"/>
        </w:rPr>
        <w:lastRenderedPageBreak/>
        <w:t xml:space="preserve">Concentration in the United States.” 5 European Management Review 11. </w:t>
      </w:r>
    </w:p>
    <w:p w14:paraId="710D26B8"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Davis, Gerald. 2009. Managed by the Market: How Finance Re-Shaped America. Oxford University Press.</w:t>
      </w:r>
    </w:p>
    <w:p w14:paraId="209351B0" w14:textId="77777777" w:rsidR="00ED2B59" w:rsidRDefault="00ED2B59" w:rsidP="00ED2B59">
      <w:pPr>
        <w:adjustRightInd w:val="0"/>
        <w:spacing w:after="240"/>
        <w:jc w:val="both"/>
        <w:rPr>
          <w:bCs/>
          <w:sz w:val="24"/>
          <w:szCs w:val="24"/>
          <w:lang w:val="mk-MK"/>
        </w:rPr>
      </w:pPr>
      <w:r w:rsidRPr="00F53881">
        <w:rPr>
          <w:bCs/>
          <w:sz w:val="24"/>
          <w:szCs w:val="24"/>
          <w:lang w:val="mk-MK"/>
        </w:rPr>
        <w:t xml:space="preserve">Delios, A., &amp; Beamish, P. W. (2001). Survival and profitability: The roles of experience and intangible assets in foreign subsidiary performance. Academy of Management Journal, 44(5), 1028 –1038. </w:t>
      </w:r>
    </w:p>
    <w:p w14:paraId="48A2AE01" w14:textId="0E7048F3" w:rsidR="00BF6097" w:rsidRDefault="00BF6097" w:rsidP="00ED2B59">
      <w:pPr>
        <w:adjustRightInd w:val="0"/>
        <w:spacing w:after="240"/>
        <w:jc w:val="both"/>
        <w:rPr>
          <w:sz w:val="24"/>
          <w:szCs w:val="24"/>
          <w:lang w:val="en-US"/>
        </w:rPr>
      </w:pPr>
      <w:r w:rsidRPr="00BF6097">
        <w:rPr>
          <w:bCs/>
          <w:sz w:val="24"/>
          <w:szCs w:val="24"/>
          <w:lang w:val="mk-MK"/>
        </w:rPr>
        <w:t>Delova-Jolevska, E. (2014). Corporate Governance in the Banking Sector of the Republic of Macedonia. In Corporate Governance: An International Perspective (pp. 69-80). Berlin, Heidelberg: Springer Berlin Heidelberg.</w:t>
      </w:r>
    </w:p>
    <w:p w14:paraId="2E91D972" w14:textId="227660F4" w:rsidR="00E17EAB" w:rsidRPr="00E17EAB" w:rsidRDefault="00E17EAB" w:rsidP="00ED2B59">
      <w:pPr>
        <w:adjustRightInd w:val="0"/>
        <w:spacing w:after="240"/>
        <w:jc w:val="both"/>
        <w:rPr>
          <w:bCs/>
          <w:sz w:val="24"/>
          <w:szCs w:val="24"/>
          <w:lang w:val="en-US"/>
        </w:rPr>
      </w:pPr>
      <w:r w:rsidRPr="00E17EAB">
        <w:rPr>
          <w:bCs/>
          <w:sz w:val="24"/>
          <w:szCs w:val="24"/>
          <w:lang w:val="en-US"/>
        </w:rPr>
        <w:t>Deutsch, K. (1963). The Nerves of Government: Models of Political Communication and Control. New York: Free Press</w:t>
      </w:r>
    </w:p>
    <w:p w14:paraId="4EB195B1"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Dhanaraj, C., Lyles, M. A., &amp; Lai, Y. (2007). Innovation without walls: Alliance management at Eli Lilly and Company Inc. (Case #9B07M015). London, ON, Canada: Ivey Publishing.</w:t>
      </w:r>
    </w:p>
    <w:p w14:paraId="0DC88F74"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Dhanaraj, C., Lyles, M. A., Steensma, H. K., &amp; Tihanyi, L. (2004). Managing tacit and explicit knowledge transfer: The role of relational embeddedness and the impact on performance. Journal of International Business Studies, 35(5), 428 – 442.</w:t>
      </w:r>
    </w:p>
    <w:p w14:paraId="62341B0C" w14:textId="77777777" w:rsidR="00ED2B59" w:rsidRDefault="00ED2B59" w:rsidP="00ED2B59">
      <w:pPr>
        <w:adjustRightInd w:val="0"/>
        <w:spacing w:after="240"/>
        <w:jc w:val="both"/>
        <w:rPr>
          <w:bCs/>
          <w:sz w:val="24"/>
          <w:szCs w:val="24"/>
          <w:lang w:val="en-US"/>
        </w:rPr>
      </w:pPr>
      <w:r w:rsidRPr="00F53881">
        <w:rPr>
          <w:bCs/>
          <w:sz w:val="24"/>
          <w:szCs w:val="24"/>
          <w:lang w:val="mk-MK"/>
        </w:rPr>
        <w:t>Djankov, S., &amp; Hoekman, B. (2000). Foreign investment and productivity growth in Czech enterprises. World Bank Economic Review, 14(1), 49 – 64.</w:t>
      </w:r>
    </w:p>
    <w:p w14:paraId="47CB4C9B" w14:textId="6464A9D0" w:rsidR="00016D5C" w:rsidRDefault="00016D5C" w:rsidP="00ED2B59">
      <w:pPr>
        <w:adjustRightInd w:val="0"/>
        <w:spacing w:after="240"/>
        <w:jc w:val="both"/>
        <w:rPr>
          <w:bCs/>
          <w:sz w:val="24"/>
          <w:szCs w:val="24"/>
          <w:lang w:val="en-US"/>
        </w:rPr>
      </w:pPr>
      <w:r w:rsidRPr="00016D5C">
        <w:rPr>
          <w:bCs/>
          <w:sz w:val="24"/>
          <w:szCs w:val="24"/>
          <w:lang w:val="en-US"/>
        </w:rPr>
        <w:t>Djelic, M. L., &amp; Sahlin-Andersson, K. (Eds.). (2006). Transnational governance: Institutional dynamics of regulation. Cambridge University Press.</w:t>
      </w:r>
    </w:p>
    <w:p w14:paraId="38F11B95" w14:textId="52704BF9" w:rsidR="00030953" w:rsidRDefault="00030953" w:rsidP="00ED2B59">
      <w:pPr>
        <w:adjustRightInd w:val="0"/>
        <w:spacing w:after="240"/>
        <w:jc w:val="both"/>
        <w:rPr>
          <w:bCs/>
          <w:sz w:val="24"/>
          <w:szCs w:val="24"/>
          <w:lang w:val="en-US"/>
        </w:rPr>
      </w:pPr>
      <w:r w:rsidRPr="00030953">
        <w:rPr>
          <w:bCs/>
          <w:sz w:val="24"/>
          <w:szCs w:val="24"/>
          <w:lang w:val="en-US"/>
        </w:rPr>
        <w:t xml:space="preserve">Djokić, D., &amp; Duh, M. (2015). Measuring transparency of the corporate governance in Slovenia. In MIC 2015 Management International Conference, Portorož, Slovenia, 28–30 May 2015 (pp. 373–381). University of Primorska &amp; University of Maribor. </w:t>
      </w:r>
      <w:hyperlink r:id="rId29" w:history="1">
        <w:r w:rsidRPr="00637BDF">
          <w:rPr>
            <w:rStyle w:val="Hyperlink"/>
            <w:bCs/>
            <w:sz w:val="24"/>
            <w:szCs w:val="24"/>
            <w:lang w:val="en-US"/>
          </w:rPr>
          <w:t>https://www.hippocampus.si/ISBN/978-961-7023-31-0.pdf</w:t>
        </w:r>
      </w:hyperlink>
      <w:r>
        <w:rPr>
          <w:bCs/>
          <w:sz w:val="24"/>
          <w:szCs w:val="24"/>
          <w:lang w:val="en-US"/>
        </w:rPr>
        <w:t xml:space="preserve">. </w:t>
      </w:r>
    </w:p>
    <w:p w14:paraId="1AD6870C" w14:textId="17D91CA3" w:rsidR="00C22142" w:rsidRDefault="00C22142" w:rsidP="00ED2B59">
      <w:pPr>
        <w:adjustRightInd w:val="0"/>
        <w:spacing w:after="240"/>
        <w:jc w:val="both"/>
        <w:rPr>
          <w:bCs/>
          <w:sz w:val="24"/>
          <w:szCs w:val="24"/>
          <w:lang w:val="en-US"/>
        </w:rPr>
      </w:pPr>
      <w:r w:rsidRPr="00990C79">
        <w:rPr>
          <w:bCs/>
          <w:sz w:val="24"/>
          <w:szCs w:val="24"/>
          <w:lang w:val="en-US"/>
        </w:rPr>
        <w:t xml:space="preserve">Drpljanin, V. </w:t>
      </w:r>
      <w:r>
        <w:rPr>
          <w:bCs/>
          <w:sz w:val="24"/>
          <w:szCs w:val="24"/>
          <w:lang w:val="en-US"/>
        </w:rPr>
        <w:t xml:space="preserve">(2026). </w:t>
      </w:r>
      <w:hyperlink r:id="rId30" w:history="1">
        <w:r w:rsidRPr="006E44F0">
          <w:rPr>
            <w:rStyle w:val="Hyperlink"/>
            <w:bCs/>
            <w:sz w:val="24"/>
            <w:szCs w:val="24"/>
            <w:lang w:val="en-US"/>
          </w:rPr>
          <w:t>A Brief Exploration of Corporate Governance Models</w:t>
        </w:r>
      </w:hyperlink>
      <w:r w:rsidRPr="00C22142">
        <w:rPr>
          <w:bCs/>
          <w:sz w:val="24"/>
          <w:szCs w:val="24"/>
          <w:lang w:val="en-US"/>
        </w:rPr>
        <w:t xml:space="preserve"> [Article] Int. J. of Law &amp; Politics, Vol. 6/1, 2025</w:t>
      </w:r>
      <w:r>
        <w:rPr>
          <w:bCs/>
          <w:sz w:val="24"/>
          <w:szCs w:val="24"/>
          <w:lang w:val="en-US"/>
        </w:rPr>
        <w:t>.</w:t>
      </w:r>
    </w:p>
    <w:p w14:paraId="71E9C838" w14:textId="7FDB4AEE" w:rsidR="004C74AE" w:rsidRPr="00990C79" w:rsidRDefault="00990C79" w:rsidP="00ED2B59">
      <w:pPr>
        <w:adjustRightInd w:val="0"/>
        <w:spacing w:after="240"/>
        <w:jc w:val="both"/>
        <w:rPr>
          <w:bCs/>
          <w:sz w:val="24"/>
          <w:szCs w:val="24"/>
          <w:lang w:val="en-US"/>
        </w:rPr>
      </w:pPr>
      <w:r w:rsidRPr="00990C79">
        <w:rPr>
          <w:bCs/>
          <w:sz w:val="24"/>
          <w:szCs w:val="24"/>
          <w:lang w:val="en-US"/>
        </w:rPr>
        <w:t xml:space="preserve">Drpljanin, V. </w:t>
      </w:r>
      <w:r w:rsidR="00BC0D0A">
        <w:rPr>
          <w:bCs/>
          <w:sz w:val="24"/>
          <w:szCs w:val="24"/>
          <w:lang w:val="en-US"/>
        </w:rPr>
        <w:t xml:space="preserve">(2025). </w:t>
      </w:r>
      <w:hyperlink r:id="rId31" w:history="1">
        <w:r w:rsidRPr="00990C79">
          <w:rPr>
            <w:rStyle w:val="Hyperlink"/>
            <w:sz w:val="24"/>
            <w:szCs w:val="24"/>
            <w:lang w:val="en-GB" w:eastAsia="zh-CN" w:bidi="hi-IN"/>
          </w:rPr>
          <w:t>Rethinking Corporate Governance in Macedonia</w:t>
        </w:r>
      </w:hyperlink>
      <w:r w:rsidRPr="00990C79">
        <w:rPr>
          <w:sz w:val="24"/>
          <w:szCs w:val="24"/>
        </w:rPr>
        <w:t xml:space="preserve"> [Article] XII Int. Conf. Vol. 12 No. 12, 2025.</w:t>
      </w:r>
    </w:p>
    <w:p w14:paraId="03FE8743" w14:textId="77777777" w:rsidR="00ED2B59" w:rsidRDefault="00ED2B59" w:rsidP="00ED2B59">
      <w:pPr>
        <w:adjustRightInd w:val="0"/>
        <w:spacing w:after="240"/>
        <w:jc w:val="both"/>
        <w:rPr>
          <w:bCs/>
          <w:sz w:val="24"/>
          <w:szCs w:val="24"/>
          <w:lang w:val="mk-MK"/>
        </w:rPr>
      </w:pPr>
      <w:r w:rsidRPr="00990C79">
        <w:rPr>
          <w:bCs/>
          <w:sz w:val="24"/>
          <w:szCs w:val="24"/>
          <w:lang w:val="mk-MK"/>
        </w:rPr>
        <w:t>Dussauge, P., &amp; Garrette, B. (1995). Determinants of success in international strategic alliances</w:t>
      </w:r>
      <w:r w:rsidRPr="00F53881">
        <w:rPr>
          <w:bCs/>
          <w:sz w:val="24"/>
          <w:szCs w:val="24"/>
          <w:lang w:val="mk-MK"/>
        </w:rPr>
        <w:t>: Evidence from the global aerospace industry. Journal of International Business Studies, 26(3), 505–530.</w:t>
      </w:r>
    </w:p>
    <w:p w14:paraId="50685809" w14:textId="57FAB832" w:rsidR="007E2E80" w:rsidRDefault="007E2E80" w:rsidP="00ED2B59">
      <w:pPr>
        <w:adjustRightInd w:val="0"/>
        <w:spacing w:after="240"/>
        <w:jc w:val="both"/>
        <w:rPr>
          <w:bCs/>
          <w:sz w:val="24"/>
          <w:szCs w:val="24"/>
          <w:lang w:val="en-US"/>
        </w:rPr>
      </w:pPr>
      <w:r w:rsidRPr="007E2E80">
        <w:rPr>
          <w:bCs/>
          <w:sz w:val="24"/>
          <w:szCs w:val="24"/>
          <w:lang w:val="en-US"/>
        </w:rPr>
        <w:t>Easton, D. (1965). A Systems Analysis of Political Life. New York: Wiley.</w:t>
      </w:r>
    </w:p>
    <w:p w14:paraId="44416A51" w14:textId="169F67C4" w:rsidR="00326CF9" w:rsidRDefault="009E3A8C" w:rsidP="00ED2B59">
      <w:pPr>
        <w:adjustRightInd w:val="0"/>
        <w:spacing w:after="240"/>
        <w:jc w:val="both"/>
        <w:rPr>
          <w:bCs/>
          <w:sz w:val="24"/>
          <w:szCs w:val="24"/>
          <w:lang w:val="en-US"/>
        </w:rPr>
      </w:pPr>
      <w:r w:rsidRPr="00F53881">
        <w:rPr>
          <w:bCs/>
          <w:sz w:val="24"/>
          <w:szCs w:val="24"/>
          <w:lang w:val="mk-MK"/>
        </w:rPr>
        <w:t>Erik</w:t>
      </w:r>
      <w:r>
        <w:rPr>
          <w:bCs/>
          <w:sz w:val="24"/>
          <w:szCs w:val="24"/>
          <w:lang w:val="mk-MK"/>
        </w:rPr>
        <w:t xml:space="preserve"> </w:t>
      </w:r>
      <w:r>
        <w:rPr>
          <w:bCs/>
          <w:sz w:val="24"/>
          <w:szCs w:val="24"/>
          <w:lang w:val="en-US"/>
        </w:rPr>
        <w:t>B.</w:t>
      </w:r>
      <w:r w:rsidRPr="00F53881">
        <w:rPr>
          <w:bCs/>
          <w:sz w:val="24"/>
          <w:szCs w:val="24"/>
          <w:lang w:val="mk-MK"/>
        </w:rPr>
        <w:t xml:space="preserve"> and E. von Thadden, The Changing Corporate Governance Paradigm: Implications for Transition and Developing Countries”, SITE, Stockholm School of Economics and CERP, 1999.</w:t>
      </w:r>
    </w:p>
    <w:p w14:paraId="1089B528" w14:textId="76574584" w:rsidR="00347971" w:rsidRDefault="00347971" w:rsidP="00ED2B59">
      <w:pPr>
        <w:adjustRightInd w:val="0"/>
        <w:spacing w:after="240"/>
        <w:jc w:val="both"/>
        <w:rPr>
          <w:bCs/>
          <w:sz w:val="24"/>
          <w:szCs w:val="24"/>
          <w:lang w:val="en-US"/>
        </w:rPr>
      </w:pPr>
      <w:r w:rsidRPr="00347971">
        <w:rPr>
          <w:bCs/>
          <w:sz w:val="24"/>
          <w:szCs w:val="24"/>
          <w:lang w:val="en-US"/>
        </w:rPr>
        <w:t xml:space="preserve">Eurofound, &amp; Cedefop. (2020). European Company Survey 2019: Workplace practices </w:t>
      </w:r>
      <w:r w:rsidRPr="00347971">
        <w:rPr>
          <w:bCs/>
          <w:sz w:val="24"/>
          <w:szCs w:val="24"/>
          <w:lang w:val="en-US"/>
        </w:rPr>
        <w:lastRenderedPageBreak/>
        <w:t xml:space="preserve">unlocking employee potential. Publications Office of the European Union. </w:t>
      </w:r>
      <w:hyperlink r:id="rId32" w:history="1">
        <w:r w:rsidR="00923A5C" w:rsidRPr="00637BDF">
          <w:rPr>
            <w:rStyle w:val="Hyperlink"/>
            <w:bCs/>
            <w:sz w:val="24"/>
            <w:szCs w:val="24"/>
            <w:lang w:val="en-US"/>
          </w:rPr>
          <w:t>https://doi.org/10.2806/148735</w:t>
        </w:r>
      </w:hyperlink>
      <w:r w:rsidRPr="00347971">
        <w:rPr>
          <w:bCs/>
          <w:sz w:val="24"/>
          <w:szCs w:val="24"/>
          <w:lang w:val="en-US"/>
        </w:rPr>
        <w:t>.</w:t>
      </w:r>
    </w:p>
    <w:p w14:paraId="1C084AE5" w14:textId="7B8D474D" w:rsidR="00923A5C" w:rsidRPr="00347971" w:rsidRDefault="00923A5C" w:rsidP="00ED2B59">
      <w:pPr>
        <w:adjustRightInd w:val="0"/>
        <w:spacing w:after="240"/>
        <w:jc w:val="both"/>
        <w:rPr>
          <w:bCs/>
          <w:sz w:val="24"/>
          <w:szCs w:val="24"/>
          <w:lang w:val="en-US"/>
        </w:rPr>
      </w:pPr>
      <w:r w:rsidRPr="00923A5C">
        <w:rPr>
          <w:bCs/>
          <w:sz w:val="24"/>
          <w:szCs w:val="24"/>
          <w:lang w:val="en-US"/>
        </w:rPr>
        <w:t xml:space="preserve">Eurofound. (2022). Working conditions in the time of COVID-19: Implications for the future. Publications Office of the European Union. </w:t>
      </w:r>
      <w:hyperlink r:id="rId33" w:history="1">
        <w:r w:rsidRPr="00637BDF">
          <w:rPr>
            <w:rStyle w:val="Hyperlink"/>
            <w:bCs/>
            <w:sz w:val="24"/>
            <w:szCs w:val="24"/>
            <w:lang w:val="en-US"/>
          </w:rPr>
          <w:t>https://doi.org/10.2806/522792</w:t>
        </w:r>
      </w:hyperlink>
      <w:r>
        <w:rPr>
          <w:bCs/>
          <w:sz w:val="24"/>
          <w:szCs w:val="24"/>
          <w:lang w:val="en-US"/>
        </w:rPr>
        <w:t xml:space="preserve">. </w:t>
      </w:r>
    </w:p>
    <w:p w14:paraId="083560BE" w14:textId="0CD18BDC" w:rsidR="00B35FCA" w:rsidRDefault="00B35FCA" w:rsidP="00ED2B59">
      <w:pPr>
        <w:adjustRightInd w:val="0"/>
        <w:spacing w:after="240"/>
        <w:jc w:val="both"/>
        <w:rPr>
          <w:bCs/>
          <w:sz w:val="24"/>
          <w:szCs w:val="24"/>
          <w:lang w:val="en-US"/>
        </w:rPr>
      </w:pPr>
      <w:r w:rsidRPr="00B35FCA">
        <w:rPr>
          <w:bCs/>
          <w:sz w:val="24"/>
          <w:szCs w:val="24"/>
          <w:lang w:val="mk-MK"/>
        </w:rPr>
        <w:t>European Parliament (2025) 2023 Communication on EU Enlargement Policy (COM(2023)0690) accompanied by the Commission staff working document North Macedonia 2023 Report (SWD(2023)0693).</w:t>
      </w:r>
    </w:p>
    <w:p w14:paraId="552177B0" w14:textId="1EA934F8" w:rsidR="00F65BEF" w:rsidRPr="00F65BEF" w:rsidRDefault="00F65BEF" w:rsidP="00ED2B59">
      <w:pPr>
        <w:adjustRightInd w:val="0"/>
        <w:spacing w:after="240"/>
        <w:jc w:val="both"/>
        <w:rPr>
          <w:bCs/>
          <w:sz w:val="24"/>
          <w:szCs w:val="24"/>
          <w:lang w:val="en-US"/>
        </w:rPr>
      </w:pPr>
      <w:r w:rsidRPr="00F65BEF">
        <w:rPr>
          <w:bCs/>
          <w:sz w:val="24"/>
          <w:szCs w:val="24"/>
          <w:lang w:val="en-US"/>
        </w:rPr>
        <w:t>Fabbrini, F. (2014). Fundamental rights in Europe. Oxford University Press (UK).</w:t>
      </w:r>
    </w:p>
    <w:p w14:paraId="157BE892"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Fahy, J., Hooley, G., Cox, T., Beracs, J., Fonfara, K., &amp; Snoj, B. (2000). The development and impact of marketing capabilities in central Europe. Journal of International Business Studies, 31(1), 63– 81.</w:t>
      </w:r>
    </w:p>
    <w:p w14:paraId="4D95DE76"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Farber, Henry, Daniel Herbst, Ilyana Kuziemko, and Suresh Naidu. 2018. “Unions and Inequality Over the Twentieth Century: New Evidence from Survey Data.” National Bureau of Economic Research Working Paper No. 24587, Cambridge, Massachusetts, May 2018. </w:t>
      </w:r>
      <w:hyperlink r:id="rId34" w:history="1">
        <w:r w:rsidRPr="00F53881">
          <w:rPr>
            <w:rStyle w:val="Hyperlink"/>
            <w:bCs/>
            <w:sz w:val="24"/>
            <w:szCs w:val="24"/>
            <w:lang w:val="mk-MK"/>
          </w:rPr>
          <w:t>https://doi.org/10.3386/w24587</w:t>
        </w:r>
      </w:hyperlink>
      <w:r w:rsidRPr="00F53881">
        <w:rPr>
          <w:bCs/>
          <w:sz w:val="24"/>
          <w:szCs w:val="24"/>
          <w:lang w:val="mk-MK"/>
        </w:rPr>
        <w:t xml:space="preserve">.  </w:t>
      </w:r>
    </w:p>
    <w:p w14:paraId="09844244"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Fauver, Larry, and Michael Fuerst. 2006. “Does Good Corporate Governance Include Employee Representation? Evidence from German Corporate Boards.” 82 Journal of Financial Economics 673. </w:t>
      </w:r>
      <w:hyperlink r:id="rId35" w:history="1">
        <w:r w:rsidRPr="00F53881">
          <w:rPr>
            <w:rStyle w:val="Hyperlink"/>
            <w:bCs/>
            <w:sz w:val="24"/>
            <w:szCs w:val="24"/>
            <w:lang w:val="mk-MK"/>
          </w:rPr>
          <w:t>https://doi.org/10.1016/j.jfineco.2005.10.005</w:t>
        </w:r>
      </w:hyperlink>
      <w:r w:rsidRPr="00F53881">
        <w:rPr>
          <w:bCs/>
          <w:sz w:val="24"/>
          <w:szCs w:val="24"/>
          <w:lang w:val="mk-MK"/>
        </w:rPr>
        <w:t xml:space="preserve">. </w:t>
      </w:r>
    </w:p>
    <w:p w14:paraId="31EEE5AC"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Federal Reserve. 2020. Distributional Financial Accounts. </w:t>
      </w:r>
      <w:hyperlink r:id="rId36" w:history="1">
        <w:r w:rsidRPr="00F53881">
          <w:rPr>
            <w:rStyle w:val="Hyperlink"/>
            <w:bCs/>
            <w:sz w:val="24"/>
            <w:szCs w:val="24"/>
            <w:lang w:val="mk-MK"/>
          </w:rPr>
          <w:t>https://www.federalreserve.gov/releases/z1/dataviz/dfa/index.html</w:t>
        </w:r>
      </w:hyperlink>
      <w:r w:rsidRPr="00F53881">
        <w:rPr>
          <w:bCs/>
          <w:sz w:val="24"/>
          <w:szCs w:val="24"/>
          <w:lang w:val="mk-MK"/>
        </w:rPr>
        <w:t xml:space="preserve">. </w:t>
      </w:r>
    </w:p>
    <w:p w14:paraId="7D88FDF8" w14:textId="62F6B299" w:rsidR="00216979" w:rsidRPr="00216979" w:rsidRDefault="00216979" w:rsidP="00ED2B59">
      <w:pPr>
        <w:adjustRightInd w:val="0"/>
        <w:spacing w:after="240"/>
        <w:jc w:val="both"/>
        <w:rPr>
          <w:bCs/>
          <w:sz w:val="24"/>
          <w:szCs w:val="24"/>
          <w:lang w:val="en-US"/>
        </w:rPr>
      </w:pPr>
      <w:r w:rsidRPr="00216979">
        <w:rPr>
          <w:bCs/>
          <w:sz w:val="24"/>
          <w:szCs w:val="24"/>
          <w:lang w:val="en-US"/>
        </w:rPr>
        <w:t>Ferrera, M., Kriesi, H., &amp; Schelkle, W. (2024). Maintaining the EU’s Compound Polity during the Long Crisis Decade. West European Politics, 47(3), 1–26.</w:t>
      </w:r>
    </w:p>
    <w:p w14:paraId="34EDCF74"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Ferreras, Isabelle. 2017. Firms as Political Entities: Saving Democracy through Economic Bicameralism. Cambridge University Press.</w:t>
      </w:r>
    </w:p>
    <w:p w14:paraId="223C520F" w14:textId="77777777" w:rsidR="00ED2B59" w:rsidRDefault="00ED2B59" w:rsidP="00ED2B59">
      <w:pPr>
        <w:adjustRightInd w:val="0"/>
        <w:spacing w:after="240"/>
        <w:jc w:val="both"/>
        <w:rPr>
          <w:bCs/>
          <w:sz w:val="24"/>
          <w:szCs w:val="24"/>
          <w:lang w:val="en-US"/>
        </w:rPr>
      </w:pPr>
      <w:r w:rsidRPr="00F53881">
        <w:rPr>
          <w:bCs/>
          <w:sz w:val="24"/>
          <w:szCs w:val="24"/>
          <w:lang w:val="mk-MK"/>
        </w:rPr>
        <w:t>Fey, C. F., &amp; Beamish, P. W. (2001). Organizational climate similarity and performance. Organization Studies, 22(5), 853– 882.</w:t>
      </w:r>
    </w:p>
    <w:p w14:paraId="44FD11D3" w14:textId="2F404C28" w:rsidR="002631D6" w:rsidRPr="002631D6" w:rsidRDefault="002631D6" w:rsidP="00ED2B59">
      <w:pPr>
        <w:adjustRightInd w:val="0"/>
        <w:spacing w:after="240"/>
        <w:jc w:val="both"/>
        <w:rPr>
          <w:bCs/>
          <w:sz w:val="24"/>
          <w:szCs w:val="24"/>
          <w:lang w:val="en-US"/>
        </w:rPr>
      </w:pPr>
      <w:r w:rsidRPr="002631D6">
        <w:rPr>
          <w:bCs/>
          <w:sz w:val="24"/>
          <w:szCs w:val="24"/>
          <w:lang w:val="en-US"/>
        </w:rPr>
        <w:t>Fischer, F. (1995). Evaluating public policy. Nelson-Hall Publishers.</w:t>
      </w:r>
    </w:p>
    <w:p w14:paraId="7F24D6C6" w14:textId="77777777" w:rsidR="00ED2B59" w:rsidRDefault="00ED2B59" w:rsidP="00ED2B59">
      <w:pPr>
        <w:adjustRightInd w:val="0"/>
        <w:spacing w:after="240"/>
        <w:jc w:val="both"/>
        <w:rPr>
          <w:bCs/>
          <w:sz w:val="24"/>
          <w:szCs w:val="24"/>
          <w:lang w:val="en-US"/>
        </w:rPr>
      </w:pPr>
      <w:r w:rsidRPr="00F53881">
        <w:rPr>
          <w:bCs/>
          <w:sz w:val="24"/>
          <w:szCs w:val="24"/>
          <w:lang w:val="mk-MK"/>
        </w:rPr>
        <w:t xml:space="preserve">Fligstein, Neil, and Taek-jin Shin. 2007. “The Transformation of the American Economy, 1984- 2001.” 22 Sociological Focus 399. </w:t>
      </w:r>
    </w:p>
    <w:p w14:paraId="4DB528D2" w14:textId="6D520930" w:rsidR="00150646" w:rsidRPr="00150646" w:rsidRDefault="00150646" w:rsidP="00ED2B59">
      <w:pPr>
        <w:adjustRightInd w:val="0"/>
        <w:spacing w:after="240"/>
        <w:jc w:val="both"/>
        <w:rPr>
          <w:bCs/>
          <w:sz w:val="24"/>
          <w:szCs w:val="24"/>
          <w:lang w:val="en-US"/>
        </w:rPr>
      </w:pPr>
      <w:r w:rsidRPr="00150646">
        <w:rPr>
          <w:bCs/>
          <w:sz w:val="24"/>
          <w:szCs w:val="24"/>
          <w:lang w:val="en-US"/>
        </w:rPr>
        <w:t xml:space="preserve">Franca, V. (2025). BroadVoice: Broadening the spectrum of employee voice in workplace innovation – National Report: Slovenia (Deliverable 3.1). University of Ljubljana. Co-funded by the European Union. </w:t>
      </w:r>
      <w:hyperlink r:id="rId37" w:history="1">
        <w:r w:rsidRPr="00637BDF">
          <w:rPr>
            <w:rStyle w:val="Hyperlink"/>
            <w:bCs/>
            <w:sz w:val="24"/>
            <w:szCs w:val="24"/>
            <w:lang w:val="en-US"/>
          </w:rPr>
          <w:t>https://broadvoiceproject.eu/wp-content/uploads/2025/01/D3.1_National-Report-Slovenia.pdf</w:t>
        </w:r>
      </w:hyperlink>
      <w:r w:rsidR="0049242C">
        <w:rPr>
          <w:bCs/>
          <w:sz w:val="24"/>
          <w:szCs w:val="24"/>
          <w:lang w:val="en-US"/>
        </w:rPr>
        <w:t xml:space="preserve">. </w:t>
      </w:r>
      <w:r>
        <w:rPr>
          <w:bCs/>
          <w:sz w:val="24"/>
          <w:szCs w:val="24"/>
          <w:lang w:val="en-US"/>
        </w:rPr>
        <w:t xml:space="preserve"> </w:t>
      </w:r>
    </w:p>
    <w:p w14:paraId="43505527"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Fraser, Douglas. 1982. “Worker Participation in Corporate Governance: the U.A.W.-Chrysler Experience.” 58 Chicago-Kent Law Review 949. </w:t>
      </w:r>
    </w:p>
    <w:p w14:paraId="7BDF904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Freeman, Richard. 1980. “The Exit-Voice Tradeoff in the Labor Market: Unionism, Job </w:t>
      </w:r>
      <w:r w:rsidRPr="00F53881">
        <w:rPr>
          <w:bCs/>
          <w:sz w:val="24"/>
          <w:szCs w:val="24"/>
          <w:lang w:val="mk-MK"/>
        </w:rPr>
        <w:lastRenderedPageBreak/>
        <w:t xml:space="preserve">Tenure, Quits, and Separations.” XCIV Quarterly Journal of Economics 643. </w:t>
      </w:r>
    </w:p>
    <w:p w14:paraId="4AB00A0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Freeman, Richard, and Edward Lazear. 1995. “An Economic Analysis of Works Councils.” In Works Councils: Consultation, Representation, and Cooperation in Industrial Relations, edited by Joel Rogers and Wolfgang Streeck, 27. University of Chicago Press. </w:t>
      </w:r>
    </w:p>
    <w:p w14:paraId="5E7E8F87" w14:textId="77777777" w:rsidR="00ED2B59" w:rsidRDefault="00ED2B59" w:rsidP="00ED2B59">
      <w:pPr>
        <w:adjustRightInd w:val="0"/>
        <w:spacing w:after="240"/>
        <w:jc w:val="both"/>
        <w:rPr>
          <w:bCs/>
          <w:sz w:val="24"/>
          <w:szCs w:val="24"/>
          <w:lang w:val="en-US"/>
        </w:rPr>
      </w:pPr>
      <w:r w:rsidRPr="00F53881">
        <w:rPr>
          <w:bCs/>
          <w:sz w:val="24"/>
          <w:szCs w:val="24"/>
          <w:lang w:val="mk-MK"/>
        </w:rPr>
        <w:t>Freeman, Richard, and James Medoff. 1984. What Do Unions Do. Basic Books.</w:t>
      </w:r>
    </w:p>
    <w:p w14:paraId="057FC8AE" w14:textId="5EC81ED2" w:rsidR="005C194F" w:rsidRPr="005C194F" w:rsidRDefault="005C194F" w:rsidP="00ED2B59">
      <w:pPr>
        <w:adjustRightInd w:val="0"/>
        <w:spacing w:after="240"/>
        <w:jc w:val="both"/>
        <w:rPr>
          <w:bCs/>
          <w:sz w:val="24"/>
          <w:szCs w:val="24"/>
          <w:lang w:val="en-US"/>
        </w:rPr>
      </w:pPr>
      <w:r w:rsidRPr="005C194F">
        <w:rPr>
          <w:bCs/>
          <w:sz w:val="24"/>
          <w:szCs w:val="24"/>
        </w:rPr>
        <w:t>Friedman, M. (2010). </w:t>
      </w:r>
      <w:r w:rsidRPr="005C194F">
        <w:rPr>
          <w:bCs/>
          <w:i/>
          <w:iCs/>
          <w:sz w:val="24"/>
          <w:szCs w:val="24"/>
        </w:rPr>
        <w:t>Milton Friedman on Economics: selected papers</w:t>
      </w:r>
      <w:r w:rsidRPr="005C194F">
        <w:rPr>
          <w:bCs/>
          <w:sz w:val="24"/>
          <w:szCs w:val="24"/>
        </w:rPr>
        <w:t>. University of Chicago Press.</w:t>
      </w:r>
    </w:p>
    <w:p w14:paraId="38552315"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 xml:space="preserve">Gelev, D. Expirience with Harmonisation of Laws of Countries from the Former Yugoslavia with European Union Law, достапно на: </w:t>
      </w:r>
      <w:hyperlink r:id="rId38" w:history="1">
        <w:r w:rsidRPr="00F53881">
          <w:rPr>
            <w:rStyle w:val="Hyperlink"/>
            <w:bCs/>
            <w:sz w:val="24"/>
            <w:szCs w:val="24"/>
            <w:lang w:val="mk-MK"/>
          </w:rPr>
          <w:t>Research-Gate</w:t>
        </w:r>
      </w:hyperlink>
      <w:r w:rsidRPr="00F53881">
        <w:rPr>
          <w:bCs/>
          <w:sz w:val="24"/>
          <w:szCs w:val="24"/>
          <w:lang w:val="mk-MK"/>
        </w:rPr>
        <w:t>.</w:t>
      </w:r>
    </w:p>
    <w:p w14:paraId="352FABD4" w14:textId="77777777" w:rsidR="00ED2B59" w:rsidRDefault="00ED2B59" w:rsidP="00ED2B59">
      <w:pPr>
        <w:adjustRightInd w:val="0"/>
        <w:spacing w:after="240"/>
        <w:jc w:val="both"/>
        <w:rPr>
          <w:sz w:val="24"/>
          <w:szCs w:val="24"/>
          <w:lang w:val="en-US"/>
        </w:rPr>
      </w:pPr>
      <w:r w:rsidRPr="00F53881">
        <w:rPr>
          <w:sz w:val="24"/>
          <w:szCs w:val="24"/>
          <w:lang w:val="mk-MK"/>
        </w:rPr>
        <w:t xml:space="preserve">Gelev D. (2024) The Role of Executive Directors in Joint stock companies. </w:t>
      </w:r>
      <w:r w:rsidRPr="00F53881">
        <w:rPr>
          <w:sz w:val="24"/>
          <w:szCs w:val="24"/>
          <w:lang w:val="en-US"/>
        </w:rPr>
        <w:t xml:space="preserve">Independent publication available at </w:t>
      </w:r>
      <w:hyperlink r:id="rId39" w:history="1">
        <w:r w:rsidRPr="00F53881">
          <w:rPr>
            <w:rStyle w:val="Hyperlink"/>
            <w:sz w:val="24"/>
            <w:szCs w:val="24"/>
          </w:rPr>
          <w:t xml:space="preserve"> Извршни директори | Dimitar Gelev - Academia.edu</w:t>
        </w:r>
      </w:hyperlink>
      <w:r w:rsidRPr="00F53881">
        <w:rPr>
          <w:sz w:val="24"/>
          <w:szCs w:val="24"/>
          <w:lang w:val="en-US"/>
        </w:rPr>
        <w:t>.</w:t>
      </w:r>
    </w:p>
    <w:p w14:paraId="013EEC86" w14:textId="0E1E12C8" w:rsidR="006C7BBC" w:rsidRPr="00F53881" w:rsidRDefault="006C7BBC" w:rsidP="00ED2B59">
      <w:pPr>
        <w:adjustRightInd w:val="0"/>
        <w:spacing w:after="240"/>
        <w:jc w:val="both"/>
        <w:rPr>
          <w:bCs/>
          <w:sz w:val="24"/>
          <w:szCs w:val="24"/>
          <w:lang w:val="en-US"/>
        </w:rPr>
      </w:pPr>
      <w:r w:rsidRPr="006C7BBC">
        <w:rPr>
          <w:bCs/>
          <w:sz w:val="24"/>
          <w:szCs w:val="24"/>
          <w:lang w:val="en-US"/>
        </w:rPr>
        <w:t xml:space="preserve">Generis. (2024). Corporate governance in Croatia: Legal and compliance frameworks. Generis Global Legal Services. </w:t>
      </w:r>
      <w:hyperlink r:id="rId40" w:history="1">
        <w:r w:rsidRPr="005E09D8">
          <w:rPr>
            <w:rStyle w:val="Hyperlink"/>
            <w:bCs/>
            <w:sz w:val="24"/>
            <w:szCs w:val="24"/>
            <w:lang w:val="en-US"/>
          </w:rPr>
          <w:t>https://generisonline.com/corporate-governance-in-croatia-legal-and-compliance-frameworks/</w:t>
        </w:r>
      </w:hyperlink>
      <w:r w:rsidRPr="006C7BBC">
        <w:rPr>
          <w:bCs/>
          <w:sz w:val="24"/>
          <w:szCs w:val="24"/>
          <w:lang w:val="en-US"/>
        </w:rPr>
        <w:t>.</w:t>
      </w:r>
      <w:r>
        <w:rPr>
          <w:bCs/>
          <w:sz w:val="24"/>
          <w:szCs w:val="24"/>
          <w:lang w:val="en-US"/>
        </w:rPr>
        <w:t xml:space="preserve"> </w:t>
      </w:r>
    </w:p>
    <w:p w14:paraId="00DFBDA2"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Ginglinger, Edith, William Megginson, and Timothee Waxin. 2011. “Employee Ownership, Board Representation, and Corporate Financial Policies.” 17 Journal of Corporate Finance 868.</w:t>
      </w:r>
    </w:p>
    <w:p w14:paraId="227AAC9F" w14:textId="2427E444" w:rsidR="00ED2B59" w:rsidRPr="00F53881" w:rsidRDefault="00ED2B59" w:rsidP="00ED2B59">
      <w:pPr>
        <w:adjustRightInd w:val="0"/>
        <w:spacing w:after="240"/>
        <w:jc w:val="both"/>
        <w:rPr>
          <w:bCs/>
          <w:sz w:val="24"/>
          <w:szCs w:val="24"/>
          <w:lang w:val="mk-MK"/>
        </w:rPr>
      </w:pPr>
      <w:r w:rsidRPr="00F53881">
        <w:rPr>
          <w:bCs/>
          <w:sz w:val="24"/>
          <w:szCs w:val="24"/>
          <w:lang w:val="mk-MK"/>
        </w:rPr>
        <w:t>G</w:t>
      </w:r>
      <w:r w:rsidR="007B09B5">
        <w:rPr>
          <w:bCs/>
          <w:sz w:val="24"/>
          <w:szCs w:val="24"/>
          <w:lang w:val="en-US"/>
        </w:rPr>
        <w:t>l</w:t>
      </w:r>
      <w:r w:rsidRPr="00F53881">
        <w:rPr>
          <w:bCs/>
          <w:sz w:val="24"/>
          <w:szCs w:val="24"/>
          <w:lang w:val="mk-MK"/>
        </w:rPr>
        <w:t xml:space="preserve"> Neuman и M.J. Roe, „Third Frankfurt-Columbia Symposium on Comparative Law: Convergence and Diversity in Private and Public Law: Introduction to the Symposium“, 5 Columbia Journal of European Law, Spring 1999, 183.</w:t>
      </w:r>
    </w:p>
    <w:p w14:paraId="573D0F27" w14:textId="77777777" w:rsidR="00ED2B59" w:rsidRDefault="00ED2B59" w:rsidP="00ED2B59">
      <w:pPr>
        <w:adjustRightInd w:val="0"/>
        <w:spacing w:after="240"/>
        <w:jc w:val="both"/>
        <w:rPr>
          <w:bCs/>
          <w:sz w:val="24"/>
          <w:szCs w:val="24"/>
          <w:lang w:val="en-US"/>
        </w:rPr>
      </w:pPr>
      <w:r w:rsidRPr="00F53881">
        <w:rPr>
          <w:bCs/>
          <w:sz w:val="24"/>
          <w:szCs w:val="24"/>
          <w:lang w:val="mk-MK"/>
        </w:rPr>
        <w:t>Glaister, K. W., &amp; Buckley, P. J. (1998). Measures of performance in U.K. international alliances. Organization Studies, 19(1), 89 –118.</w:t>
      </w:r>
    </w:p>
    <w:p w14:paraId="6C5060D3" w14:textId="1F748D6D" w:rsidR="000C0E48" w:rsidRPr="000C0E48" w:rsidRDefault="000C0E48" w:rsidP="00ED2B59">
      <w:pPr>
        <w:adjustRightInd w:val="0"/>
        <w:spacing w:after="240"/>
        <w:jc w:val="both"/>
        <w:rPr>
          <w:bCs/>
          <w:sz w:val="24"/>
          <w:szCs w:val="24"/>
          <w:lang w:val="en-US"/>
        </w:rPr>
      </w:pPr>
      <w:r w:rsidRPr="000C0E48">
        <w:rPr>
          <w:bCs/>
          <w:sz w:val="24"/>
          <w:szCs w:val="24"/>
          <w:lang w:val="en-US"/>
        </w:rPr>
        <w:t>Vitols, S. (2008). The evolving European system of corporate governance: implications for worker participation. Transfer: European Review of Labour and Research, 14(1), 27-43.</w:t>
      </w:r>
    </w:p>
    <w:p w14:paraId="62065A09" w14:textId="2BF941D4" w:rsidR="007B09B5" w:rsidRPr="007B09B5" w:rsidRDefault="007B09B5" w:rsidP="00ED2B59">
      <w:pPr>
        <w:adjustRightInd w:val="0"/>
        <w:spacing w:after="240"/>
        <w:jc w:val="both"/>
        <w:rPr>
          <w:bCs/>
          <w:sz w:val="24"/>
          <w:szCs w:val="24"/>
          <w:lang w:val="en-US"/>
        </w:rPr>
      </w:pPr>
      <w:r w:rsidRPr="007B09B5">
        <w:rPr>
          <w:bCs/>
          <w:sz w:val="24"/>
          <w:szCs w:val="24"/>
          <w:lang w:val="en-US"/>
        </w:rPr>
        <w:t>Gospel, H., &amp; Pendleton, A. (2010). Corporate governance and employee participation.</w:t>
      </w:r>
    </w:p>
    <w:p w14:paraId="16FB617B" w14:textId="31560795" w:rsidR="0074667B" w:rsidRPr="007B09B5" w:rsidRDefault="00ED2B59" w:rsidP="00ED2B59">
      <w:pPr>
        <w:adjustRightInd w:val="0"/>
        <w:spacing w:after="240"/>
        <w:jc w:val="both"/>
        <w:rPr>
          <w:bCs/>
          <w:sz w:val="24"/>
          <w:szCs w:val="24"/>
          <w:lang w:val="en-US"/>
        </w:rPr>
      </w:pPr>
      <w:r w:rsidRPr="00F53881">
        <w:rPr>
          <w:bCs/>
          <w:sz w:val="24"/>
          <w:szCs w:val="24"/>
          <w:lang w:val="en-US"/>
        </w:rPr>
        <w:t>Goulding, S. (2020). Право на трговски друштва. Cavendish Publishing Limited.</w:t>
      </w:r>
    </w:p>
    <w:p w14:paraId="472F2BA0" w14:textId="3C7DEA74" w:rsidR="001330F3" w:rsidRDefault="001330F3" w:rsidP="00ED2B59">
      <w:pPr>
        <w:adjustRightInd w:val="0"/>
        <w:spacing w:after="240"/>
        <w:jc w:val="both"/>
        <w:rPr>
          <w:bCs/>
          <w:sz w:val="24"/>
          <w:szCs w:val="24"/>
          <w:lang w:val="en-US"/>
        </w:rPr>
      </w:pPr>
      <w:r w:rsidRPr="001330F3">
        <w:rPr>
          <w:bCs/>
          <w:sz w:val="24"/>
          <w:szCs w:val="24"/>
          <w:lang w:val="mk-MK"/>
        </w:rPr>
        <w:t>Grabbe, H. (2001). How does Europeanization affect CEE governance? Conditionality, diffusion and diversity. Journal of European public policy, 8(6), 1013-1031.</w:t>
      </w:r>
    </w:p>
    <w:p w14:paraId="3D4D8E0A" w14:textId="14021C3E" w:rsidR="007F221C" w:rsidRPr="007F221C" w:rsidRDefault="007F221C" w:rsidP="00ED2B59">
      <w:pPr>
        <w:adjustRightInd w:val="0"/>
        <w:spacing w:after="240"/>
        <w:jc w:val="both"/>
        <w:rPr>
          <w:bCs/>
          <w:sz w:val="24"/>
          <w:szCs w:val="24"/>
          <w:lang w:val="en-US"/>
        </w:rPr>
      </w:pPr>
      <w:r w:rsidRPr="007F221C">
        <w:rPr>
          <w:bCs/>
          <w:sz w:val="24"/>
          <w:szCs w:val="24"/>
          <w:lang w:val="en-US"/>
        </w:rPr>
        <w:t>Graeber, D. (2012). Debt: The first 5,000 years. Melville House.</w:t>
      </w:r>
    </w:p>
    <w:p w14:paraId="27622F34" w14:textId="6FAEC0B4" w:rsidR="00286731" w:rsidRDefault="00286731" w:rsidP="00ED2B59">
      <w:pPr>
        <w:adjustRightInd w:val="0"/>
        <w:spacing w:after="240"/>
        <w:jc w:val="both"/>
        <w:rPr>
          <w:bCs/>
          <w:sz w:val="24"/>
          <w:szCs w:val="24"/>
          <w:lang w:val="mk-MK"/>
        </w:rPr>
      </w:pPr>
      <w:r w:rsidRPr="00286731">
        <w:rPr>
          <w:bCs/>
          <w:sz w:val="24"/>
          <w:szCs w:val="24"/>
          <w:lang w:val="en-US"/>
        </w:rPr>
        <w:t>Graeber, D. (2015). The Utopia of Rules: On Technology, Stupidity, and the Secret Joys of Bureaucracy. New York: Melville House Publishing</w:t>
      </w:r>
      <w:r>
        <w:rPr>
          <w:bCs/>
          <w:sz w:val="24"/>
          <w:szCs w:val="24"/>
          <w:lang w:val="en-US"/>
        </w:rPr>
        <w:t>.</w:t>
      </w:r>
    </w:p>
    <w:p w14:paraId="2AC43498" w14:textId="198EDC27" w:rsidR="007962C1" w:rsidRDefault="007962C1" w:rsidP="00ED2B59">
      <w:pPr>
        <w:adjustRightInd w:val="0"/>
        <w:spacing w:after="240"/>
        <w:jc w:val="both"/>
        <w:rPr>
          <w:bCs/>
          <w:sz w:val="24"/>
          <w:szCs w:val="24"/>
          <w:lang w:val="en-US"/>
        </w:rPr>
      </w:pPr>
      <w:r w:rsidRPr="007962C1">
        <w:rPr>
          <w:bCs/>
          <w:sz w:val="24"/>
          <w:szCs w:val="24"/>
          <w:lang w:val="mk-MK"/>
        </w:rPr>
        <w:t>Graeber, D. (2018). Bullshit jobs: A theory. Simon &amp; Schuster.</w:t>
      </w:r>
    </w:p>
    <w:p w14:paraId="281CC49F" w14:textId="3D8E248C" w:rsidR="00BF66A5" w:rsidRDefault="00BF66A5" w:rsidP="00ED2B59">
      <w:pPr>
        <w:adjustRightInd w:val="0"/>
        <w:spacing w:after="240"/>
        <w:jc w:val="both"/>
        <w:rPr>
          <w:bCs/>
          <w:sz w:val="24"/>
          <w:szCs w:val="24"/>
          <w:lang w:val="mk-MK"/>
        </w:rPr>
      </w:pPr>
      <w:r w:rsidRPr="00BF66A5">
        <w:rPr>
          <w:bCs/>
          <w:sz w:val="24"/>
          <w:szCs w:val="24"/>
          <w:lang w:val="en-US"/>
        </w:rPr>
        <w:t>Graeber, D., &amp; Wengrow, D. (2021). The dawn of everything: A new history of humanity. Farrar, Straus and Giroux.</w:t>
      </w:r>
    </w:p>
    <w:p w14:paraId="5C24476B" w14:textId="27FDC8F8" w:rsidR="006737F4" w:rsidRPr="006737F4" w:rsidRDefault="006737F4" w:rsidP="00ED2B59">
      <w:pPr>
        <w:adjustRightInd w:val="0"/>
        <w:spacing w:after="240"/>
        <w:jc w:val="both"/>
        <w:rPr>
          <w:bCs/>
          <w:sz w:val="24"/>
          <w:szCs w:val="24"/>
          <w:lang w:val="mk-MK"/>
        </w:rPr>
      </w:pPr>
      <w:r w:rsidRPr="006737F4">
        <w:rPr>
          <w:bCs/>
          <w:sz w:val="24"/>
          <w:szCs w:val="24"/>
          <w:lang w:val="mk-MK"/>
        </w:rPr>
        <w:lastRenderedPageBreak/>
        <w:t>Graeber, D. (2023). Pirate enlightenment, or the real Libertalia. Farrar, Straus and Giroux.</w:t>
      </w:r>
    </w:p>
    <w:p w14:paraId="7B182191"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Gramsci, Antonio (1971). Prison Notebooks. Columbia University Press.</w:t>
      </w:r>
    </w:p>
    <w:p w14:paraId="67CCB22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Greenfield, Kent. 2004. “Democracy and the Dominance of Delaware in Corporate Law.” 67 Law and Contemporary Problems 135. </w:t>
      </w:r>
    </w:p>
    <w:p w14:paraId="32DC8E51"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Greenfield, Kent. 2006. The Failure of Corporate Law. University of Chicago Press. </w:t>
      </w:r>
    </w:p>
    <w:p w14:paraId="524C79B7"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Griffith, D. A., Cavusgil, S. T., &amp; Xu, S. (2008). Emerging themes in international business research. Journal of International Business Studies, 39, 1220 –1235.</w:t>
      </w:r>
    </w:p>
    <w:p w14:paraId="5AE63579"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Grout, Paul. 1984. “Investment and Wages in the Absence of Binding Contracts: A Nash Bargaining Approach.” 52 Econometrics 449.</w:t>
      </w:r>
    </w:p>
    <w:p w14:paraId="4C9E548C" w14:textId="77777777" w:rsidR="00ED2B59" w:rsidRDefault="00ED2B59" w:rsidP="00ED2B59">
      <w:pPr>
        <w:adjustRightInd w:val="0"/>
        <w:spacing w:after="240"/>
        <w:jc w:val="both"/>
        <w:rPr>
          <w:bCs/>
          <w:sz w:val="24"/>
          <w:szCs w:val="24"/>
          <w:lang w:val="en-US"/>
        </w:rPr>
      </w:pPr>
      <w:r w:rsidRPr="00F53881">
        <w:rPr>
          <w:bCs/>
          <w:sz w:val="24"/>
          <w:szCs w:val="24"/>
          <w:lang w:val="mk-MK"/>
        </w:rPr>
        <w:t>Gupta, A. K., &amp; Govindarajan, V. (2000). Knowledge flows within multinational corporations. Strategic Management Journal, 21(4), 473– 496.</w:t>
      </w:r>
    </w:p>
    <w:p w14:paraId="6E04F7F1" w14:textId="1B693891" w:rsidR="00254307" w:rsidRDefault="004317C0" w:rsidP="00ED2B59">
      <w:pPr>
        <w:adjustRightInd w:val="0"/>
        <w:spacing w:after="240"/>
        <w:jc w:val="both"/>
        <w:rPr>
          <w:sz w:val="24"/>
          <w:szCs w:val="24"/>
          <w:lang w:val="mk-MK"/>
        </w:rPr>
      </w:pPr>
      <w:r w:rsidRPr="004317C0">
        <w:rPr>
          <w:bCs/>
          <w:sz w:val="24"/>
          <w:szCs w:val="24"/>
          <w:lang w:val="en-US"/>
        </w:rPr>
        <w:t>Hacker, J. S., &amp; Pierson, P. (2014). “After the ‘Master Theory’: Policy Feedback and the Rebirth of Policy-Focused Analysis.” Perspectives on Politics, 12(3), 643–660.</w:t>
      </w:r>
    </w:p>
    <w:p w14:paraId="51DFDA79" w14:textId="4399034E" w:rsidR="009B2A6B" w:rsidRPr="009B2A6B" w:rsidRDefault="009B2A6B" w:rsidP="00ED2B59">
      <w:pPr>
        <w:adjustRightInd w:val="0"/>
        <w:spacing w:after="240"/>
        <w:jc w:val="both"/>
        <w:rPr>
          <w:bCs/>
          <w:sz w:val="24"/>
          <w:szCs w:val="24"/>
          <w:lang w:val="mk-MK"/>
        </w:rPr>
      </w:pPr>
      <w:r w:rsidRPr="009B2A6B">
        <w:rPr>
          <w:bCs/>
          <w:sz w:val="24"/>
          <w:szCs w:val="24"/>
          <w:lang w:val="mk-MK"/>
        </w:rPr>
        <w:t>Hall, P. A. (1993). Policy paradigms, social learning, and the state: The case of economic policymaking in Britain. Comparative politics, 275-296.</w:t>
      </w:r>
    </w:p>
    <w:p w14:paraId="40F0A541" w14:textId="11545D96" w:rsidR="000D487E" w:rsidRPr="000D487E" w:rsidRDefault="000D487E" w:rsidP="00ED2B59">
      <w:pPr>
        <w:adjustRightInd w:val="0"/>
        <w:spacing w:after="240"/>
        <w:jc w:val="both"/>
        <w:rPr>
          <w:bCs/>
          <w:sz w:val="24"/>
          <w:szCs w:val="24"/>
          <w:lang w:val="en-US"/>
        </w:rPr>
      </w:pPr>
      <w:r w:rsidRPr="000D487E">
        <w:rPr>
          <w:bCs/>
          <w:sz w:val="24"/>
          <w:szCs w:val="24"/>
          <w:lang w:val="en-US"/>
        </w:rPr>
        <w:t xml:space="preserve">Hall, P. A., </w:t>
      </w:r>
      <w:r w:rsidRPr="00F53881">
        <w:rPr>
          <w:bCs/>
          <w:sz w:val="24"/>
          <w:szCs w:val="24"/>
          <w:lang w:val="mk-MK"/>
        </w:rPr>
        <w:t>&amp;</w:t>
      </w:r>
      <w:r w:rsidRPr="000D487E">
        <w:rPr>
          <w:bCs/>
          <w:sz w:val="24"/>
          <w:szCs w:val="24"/>
          <w:lang w:val="en-US"/>
        </w:rPr>
        <w:t xml:space="preserve"> Soskice D., eds. (2001). Varieties of Capitalism: The Institutional Foundations of Comparative Advantage. Oxford: Oxford University Press.</w:t>
      </w:r>
    </w:p>
    <w:p w14:paraId="711E66C8"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Hamel, G. (1991). Competition for competence and inter-partner learning within international strategic alliances. Strategic Management Journal, 12(S1), 83–103.</w:t>
      </w:r>
    </w:p>
    <w:p w14:paraId="365A0463"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Hansmann, Henry. 1990. “When Does Worker Ownership Work? ESOPs, Law Firms, Codetermination, and Economic Democracy.” 99 Yale Law Journal 1749. </w:t>
      </w:r>
      <w:hyperlink r:id="rId41" w:history="1">
        <w:r w:rsidRPr="00F53881">
          <w:rPr>
            <w:rStyle w:val="Hyperlink"/>
            <w:bCs/>
            <w:sz w:val="24"/>
            <w:szCs w:val="24"/>
            <w:lang w:val="mk-MK"/>
          </w:rPr>
          <w:t>https://digitalcommons.law.yale.edu/fss_papers/5037</w:t>
        </w:r>
      </w:hyperlink>
      <w:r w:rsidRPr="00F53881">
        <w:rPr>
          <w:bCs/>
          <w:sz w:val="24"/>
          <w:szCs w:val="24"/>
          <w:lang w:val="mk-MK"/>
        </w:rPr>
        <w:t xml:space="preserve">.  </w:t>
      </w:r>
    </w:p>
    <w:p w14:paraId="36671C03"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Hansmann, Henry, and Reiner Kraakman. 2001. “The End of History for Corporate Law.” 89 Georgetown Law Journal 439.</w:t>
      </w:r>
    </w:p>
    <w:p w14:paraId="2CAA74F6" w14:textId="77777777" w:rsidR="00ED2B59" w:rsidRDefault="00ED2B59" w:rsidP="00ED2B59">
      <w:pPr>
        <w:adjustRightInd w:val="0"/>
        <w:spacing w:after="240"/>
        <w:jc w:val="both"/>
        <w:rPr>
          <w:bCs/>
          <w:sz w:val="24"/>
          <w:szCs w:val="24"/>
          <w:lang w:val="en-US"/>
        </w:rPr>
      </w:pPr>
      <w:r w:rsidRPr="00F53881">
        <w:rPr>
          <w:bCs/>
          <w:sz w:val="24"/>
          <w:szCs w:val="24"/>
          <w:lang w:val="en-US"/>
        </w:rPr>
        <w:t>Hansmann H. и Kraakman R., (2004), The Basic Governance Structure, во Kraakman Reinier, Paul Davies, Henry Hansmann, Gerard Hertig, Klaus Hopt, Hideki Kanda и Edward Rock edition, The Anatomy of Corporate Law – A Comparative and Functional Approach, Oxford University Press.</w:t>
      </w:r>
    </w:p>
    <w:p w14:paraId="47313E3B" w14:textId="31519E7F" w:rsidR="00C31362" w:rsidRDefault="00C31362" w:rsidP="00ED2B59">
      <w:pPr>
        <w:adjustRightInd w:val="0"/>
        <w:spacing w:after="240"/>
        <w:jc w:val="both"/>
        <w:rPr>
          <w:bCs/>
          <w:sz w:val="24"/>
          <w:szCs w:val="24"/>
          <w:lang w:val="en-US"/>
        </w:rPr>
      </w:pPr>
      <w:r w:rsidRPr="00C31362">
        <w:rPr>
          <w:bCs/>
          <w:sz w:val="24"/>
          <w:szCs w:val="24"/>
          <w:lang w:val="en-US"/>
        </w:rPr>
        <w:t>Harris, R. (1994). The Bubble Act: Its passage and its effects on business organization. The Journal of Economic History, 54(3), 610-627.</w:t>
      </w:r>
    </w:p>
    <w:p w14:paraId="3DE44227" w14:textId="21C981D9" w:rsidR="008B2F97" w:rsidRPr="00F53881" w:rsidRDefault="008B2F97" w:rsidP="00ED2B59">
      <w:pPr>
        <w:adjustRightInd w:val="0"/>
        <w:spacing w:after="240"/>
        <w:jc w:val="both"/>
        <w:rPr>
          <w:bCs/>
          <w:sz w:val="24"/>
          <w:szCs w:val="24"/>
          <w:lang w:val="en-US"/>
        </w:rPr>
      </w:pPr>
      <w:r w:rsidRPr="008B2F97">
        <w:rPr>
          <w:bCs/>
          <w:sz w:val="24"/>
          <w:szCs w:val="24"/>
          <w:lang w:val="en-US"/>
        </w:rPr>
        <w:t>Harper, H. H. (2025). The psychology of speculation: the human element in stock market transactions. Good Press.</w:t>
      </w:r>
    </w:p>
    <w:p w14:paraId="76CA5BAA" w14:textId="0EB90A9C" w:rsidR="00467067" w:rsidRPr="00F53881" w:rsidRDefault="00467067" w:rsidP="00ED2B59">
      <w:pPr>
        <w:adjustRightInd w:val="0"/>
        <w:spacing w:after="240"/>
        <w:jc w:val="both"/>
        <w:rPr>
          <w:bCs/>
          <w:sz w:val="24"/>
          <w:szCs w:val="24"/>
          <w:lang w:val="en-US"/>
        </w:rPr>
      </w:pPr>
      <w:r w:rsidRPr="00467067">
        <w:rPr>
          <w:bCs/>
          <w:sz w:val="24"/>
          <w:szCs w:val="24"/>
          <w:lang w:val="en-US"/>
        </w:rPr>
        <w:t>Heclo, H. (1974). Modern Social Politics in Britain and Sweden: From Relief to Income Maintenance. New Haven: Yale University Press.</w:t>
      </w:r>
    </w:p>
    <w:p w14:paraId="2255BAFD"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lastRenderedPageBreak/>
        <w:t>Helfat, C. E., &amp; Lieberman, M. B. (2002). The birth of capabilities: Market entry and the importance of pre-history. Industrial and Corporate Change, 11(4), 725–760.</w:t>
      </w:r>
    </w:p>
    <w:p w14:paraId="4DF34989" w14:textId="77777777" w:rsidR="00ED2B59" w:rsidRDefault="00ED2B59" w:rsidP="00ED2B59">
      <w:pPr>
        <w:adjustRightInd w:val="0"/>
        <w:spacing w:after="240"/>
        <w:jc w:val="both"/>
        <w:rPr>
          <w:bCs/>
          <w:sz w:val="24"/>
          <w:szCs w:val="24"/>
          <w:lang w:val="mk-MK"/>
        </w:rPr>
      </w:pPr>
      <w:r w:rsidRPr="00F53881">
        <w:rPr>
          <w:bCs/>
          <w:sz w:val="24"/>
          <w:szCs w:val="24"/>
          <w:lang w:val="mk-MK"/>
        </w:rPr>
        <w:t>Hess, David. 2005. “Protecting and Politicizing Public Pension Fund Assets: Empirical Evidence on the Effects of Governance Structures and Practices.” 39 UC Davis Law Review 187.</w:t>
      </w:r>
    </w:p>
    <w:p w14:paraId="499541A9" w14:textId="3DFE3CCC" w:rsidR="00E451C1" w:rsidRPr="0007476F" w:rsidRDefault="00E451C1" w:rsidP="00ED2B59">
      <w:pPr>
        <w:adjustRightInd w:val="0"/>
        <w:spacing w:after="240"/>
        <w:jc w:val="both"/>
        <w:rPr>
          <w:bCs/>
          <w:sz w:val="24"/>
          <w:szCs w:val="24"/>
          <w:lang w:val="en-US"/>
        </w:rPr>
      </w:pPr>
      <w:r w:rsidRPr="00E451C1">
        <w:rPr>
          <w:bCs/>
          <w:sz w:val="24"/>
          <w:szCs w:val="24"/>
          <w:lang w:val="mk-MK"/>
        </w:rPr>
        <w:t>Hickel, J. (2017). The divide: A brief guide to global inequality and its solutions. William Heinemann.</w:t>
      </w:r>
    </w:p>
    <w:p w14:paraId="5C7FE9F4" w14:textId="36032536" w:rsidR="0061217F" w:rsidRPr="0061217F" w:rsidRDefault="0061217F" w:rsidP="00ED2B59">
      <w:pPr>
        <w:adjustRightInd w:val="0"/>
        <w:spacing w:after="240"/>
        <w:jc w:val="both"/>
        <w:rPr>
          <w:bCs/>
          <w:sz w:val="24"/>
          <w:szCs w:val="24"/>
          <w:lang w:val="en-US"/>
        </w:rPr>
      </w:pPr>
      <w:r w:rsidRPr="0061217F">
        <w:rPr>
          <w:bCs/>
          <w:sz w:val="24"/>
          <w:szCs w:val="24"/>
          <w:lang w:val="en-US"/>
        </w:rPr>
        <w:t>Hirschman, A. O. (1970). Exit, Voice, and Loyalty: Responses to Decline in Firms, Organizations, and States. Harvard University Press.</w:t>
      </w:r>
    </w:p>
    <w:p w14:paraId="339C3472"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Hofstede, G. (1980). Culture’s consequences: International differences in work-related values. Beverly Hills, CA: Sage.</w:t>
      </w:r>
    </w:p>
    <w:p w14:paraId="0A94D74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Hofstede, G. (1991). Culture and organizations: Software of the mind. Berkshire, England: McGraw-Hill.</w:t>
      </w:r>
    </w:p>
    <w:p w14:paraId="0B146F4E"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 xml:space="preserve">Hogan, Chad. 2001. “Enforcement of Implicit Employment Contracts through Unionization.” 19 Journal of Labor Economics 171. </w:t>
      </w:r>
      <w:hyperlink r:id="rId42" w:history="1">
        <w:r w:rsidRPr="00F53881">
          <w:rPr>
            <w:rStyle w:val="Hyperlink"/>
            <w:bCs/>
            <w:sz w:val="24"/>
            <w:szCs w:val="24"/>
            <w:lang w:val="mk-MK"/>
          </w:rPr>
          <w:t>https://doi:.org/10.1086/209983</w:t>
        </w:r>
      </w:hyperlink>
      <w:r w:rsidRPr="00F53881">
        <w:rPr>
          <w:bCs/>
          <w:sz w:val="24"/>
          <w:szCs w:val="24"/>
          <w:lang w:val="mk-MK"/>
        </w:rPr>
        <w:t xml:space="preserve">. </w:t>
      </w:r>
    </w:p>
    <w:p w14:paraId="29FEBE02" w14:textId="77777777" w:rsidR="00ED2B59" w:rsidRDefault="00ED2B59" w:rsidP="00ED2B59">
      <w:pPr>
        <w:adjustRightInd w:val="0"/>
        <w:spacing w:after="240"/>
        <w:jc w:val="both"/>
        <w:rPr>
          <w:sz w:val="24"/>
          <w:szCs w:val="24"/>
          <w:lang w:val="mk-MK"/>
        </w:rPr>
      </w:pPr>
      <w:r w:rsidRPr="00F53881">
        <w:rPr>
          <w:sz w:val="24"/>
          <w:szCs w:val="24"/>
        </w:rPr>
        <w:t>Hopt J. Klaus</w:t>
      </w:r>
      <w:r w:rsidRPr="00F53881">
        <w:rPr>
          <w:sz w:val="24"/>
          <w:szCs w:val="24"/>
          <w:lang w:val="mk-MK"/>
        </w:rPr>
        <w:t>. 2004.</w:t>
      </w:r>
      <w:r w:rsidRPr="00F53881">
        <w:rPr>
          <w:sz w:val="24"/>
          <w:szCs w:val="24"/>
        </w:rPr>
        <w:t xml:space="preserve"> „Board Models in Europe. Recent Developments of Internal Corporate Governance structure in Germany, the United Kingdom, France and Italy”, ECGI (European Corporate Governance Institute), Law Working Paper No. 18/2004, January 2004, 17</w:t>
      </w:r>
      <w:r w:rsidRPr="00F53881">
        <w:rPr>
          <w:sz w:val="24"/>
          <w:szCs w:val="24"/>
          <w:lang w:val="mk-MK"/>
        </w:rPr>
        <w:t>.</w:t>
      </w:r>
    </w:p>
    <w:p w14:paraId="7B137F63" w14:textId="5EE02E8A" w:rsidR="007F2519" w:rsidRPr="00F53881" w:rsidRDefault="007F2519" w:rsidP="00ED2B59">
      <w:pPr>
        <w:adjustRightInd w:val="0"/>
        <w:spacing w:after="240"/>
        <w:jc w:val="both"/>
        <w:rPr>
          <w:bCs/>
          <w:sz w:val="24"/>
          <w:szCs w:val="24"/>
          <w:lang w:val="mk-MK"/>
        </w:rPr>
      </w:pPr>
      <w:r w:rsidRPr="007F2519">
        <w:rPr>
          <w:bCs/>
          <w:sz w:val="24"/>
          <w:szCs w:val="24"/>
          <w:lang w:val="mk-MK"/>
        </w:rPr>
        <w:t>Hornsby, J. S., Bloodgood, J. M., Hayton, J., &amp; Kuratko, D. F. (2013). Network legitimacy diffusion: a model for corporate entrepreneurship. International Entrepreneurship and Management Journal, 9(3), 307-322.</w:t>
      </w:r>
    </w:p>
    <w:p w14:paraId="2CCC0ED2" w14:textId="77777777" w:rsidR="00ED2B59" w:rsidRPr="0061217F" w:rsidRDefault="00ED2B59" w:rsidP="00ED2B59">
      <w:pPr>
        <w:adjustRightInd w:val="0"/>
        <w:spacing w:after="240"/>
        <w:jc w:val="both"/>
        <w:rPr>
          <w:bCs/>
          <w:sz w:val="24"/>
          <w:szCs w:val="24"/>
          <w:lang w:val="en-US"/>
        </w:rPr>
      </w:pPr>
      <w:r w:rsidRPr="00F53881">
        <w:rPr>
          <w:bCs/>
          <w:sz w:val="24"/>
          <w:szCs w:val="24"/>
          <w:lang w:val="mk-MK"/>
        </w:rPr>
        <w:t xml:space="preserve">Hutchinson, James D., and Charles G. Cole. 1980. “Legal Standards Governing Investment of Pension Assets for Social and Political Goals.” 128 University of Pennsylvania Law Review 1340. </w:t>
      </w:r>
      <w:hyperlink r:id="rId43" w:history="1">
        <w:r w:rsidRPr="00F53881">
          <w:rPr>
            <w:rStyle w:val="Hyperlink"/>
            <w:bCs/>
            <w:sz w:val="24"/>
            <w:szCs w:val="24"/>
            <w:lang w:val="mk-MK"/>
          </w:rPr>
          <w:t>https://doi.org/10.2307/3311682</w:t>
        </w:r>
      </w:hyperlink>
      <w:r w:rsidRPr="00F53881">
        <w:rPr>
          <w:bCs/>
          <w:sz w:val="24"/>
          <w:szCs w:val="24"/>
          <w:lang w:val="mk-MK"/>
        </w:rPr>
        <w:t xml:space="preserve">. </w:t>
      </w:r>
    </w:p>
    <w:p w14:paraId="56687F71" w14:textId="0A873D12" w:rsidR="00E723E0" w:rsidRDefault="00E723E0" w:rsidP="00ED2B59">
      <w:pPr>
        <w:adjustRightInd w:val="0"/>
        <w:spacing w:after="240"/>
        <w:jc w:val="both"/>
        <w:rPr>
          <w:bCs/>
          <w:sz w:val="24"/>
          <w:szCs w:val="24"/>
          <w:lang w:val="en-US"/>
        </w:rPr>
      </w:pPr>
      <w:r w:rsidRPr="00E723E0">
        <w:rPr>
          <w:bCs/>
          <w:sz w:val="24"/>
          <w:szCs w:val="24"/>
          <w:lang w:val="en-US"/>
        </w:rPr>
        <w:t xml:space="preserve">International Labour Organization. (2024). World social protection report 2024–26: Universal social protection for climate action and a just transition. </w:t>
      </w:r>
      <w:hyperlink r:id="rId44" w:history="1">
        <w:r w:rsidRPr="00464779">
          <w:rPr>
            <w:rStyle w:val="Hyperlink"/>
            <w:bCs/>
            <w:sz w:val="24"/>
            <w:szCs w:val="24"/>
            <w:lang w:val="en-US"/>
          </w:rPr>
          <w:t>https://doi.org/10.54394/FCZB5305</w:t>
        </w:r>
      </w:hyperlink>
      <w:r>
        <w:rPr>
          <w:bCs/>
          <w:sz w:val="24"/>
          <w:szCs w:val="24"/>
          <w:lang w:val="mk-MK"/>
        </w:rPr>
        <w:t xml:space="preserve">. </w:t>
      </w:r>
    </w:p>
    <w:p w14:paraId="7A3E72C4" w14:textId="6456E8C6" w:rsidR="001A195B" w:rsidRPr="001A195B" w:rsidRDefault="001A195B" w:rsidP="00ED2B59">
      <w:pPr>
        <w:adjustRightInd w:val="0"/>
        <w:spacing w:after="240"/>
        <w:jc w:val="both"/>
        <w:rPr>
          <w:bCs/>
          <w:sz w:val="24"/>
          <w:szCs w:val="24"/>
          <w:lang w:val="en-US"/>
        </w:rPr>
      </w:pPr>
      <w:r w:rsidRPr="001A195B">
        <w:rPr>
          <w:bCs/>
          <w:sz w:val="24"/>
          <w:szCs w:val="24"/>
          <w:lang w:val="en-US"/>
        </w:rPr>
        <w:t>International Labour Organization, United Nations Economic Commission for Europe, &amp; United Nations Population Fund. (2025). Demographic change in Europe and Central Asia: A call for labour force inclusion. Geneva: ILO.</w:t>
      </w:r>
    </w:p>
    <w:p w14:paraId="167DBCA6" w14:textId="53B386DA" w:rsidR="0016381E" w:rsidRPr="0016381E" w:rsidRDefault="0016381E" w:rsidP="00ED2B59">
      <w:pPr>
        <w:adjustRightInd w:val="0"/>
        <w:spacing w:after="240"/>
        <w:jc w:val="both"/>
        <w:rPr>
          <w:bCs/>
          <w:sz w:val="24"/>
          <w:szCs w:val="24"/>
          <w:lang w:val="en-US"/>
        </w:rPr>
      </w:pPr>
      <w:r w:rsidRPr="0016381E">
        <w:rPr>
          <w:bCs/>
          <w:sz w:val="24"/>
          <w:szCs w:val="24"/>
          <w:lang w:val="en-US"/>
        </w:rPr>
        <w:t xml:space="preserve">Institut za ekonomska istraživanja. (2022). Participacija zaposlenih u Sloveniji: efekti i izazovi. </w:t>
      </w:r>
      <w:hyperlink r:id="rId45" w:history="1">
        <w:r w:rsidRPr="00637BDF">
          <w:rPr>
            <w:rStyle w:val="Hyperlink"/>
            <w:bCs/>
            <w:sz w:val="24"/>
            <w:szCs w:val="24"/>
            <w:lang w:val="en-US"/>
          </w:rPr>
          <w:t>https://www.ier.si/</w:t>
        </w:r>
      </w:hyperlink>
      <w:r>
        <w:rPr>
          <w:bCs/>
          <w:sz w:val="24"/>
          <w:szCs w:val="24"/>
          <w:lang w:val="en-US"/>
        </w:rPr>
        <w:t xml:space="preserve">. </w:t>
      </w:r>
    </w:p>
    <w:p w14:paraId="2B615BB1"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Ireland, Paddy. 2010. “Limited Liability, Shareholder Rights and the Problem of Corporate Irresponsibility.” 34 Cambridge Journal of Economics 837. </w:t>
      </w:r>
      <w:hyperlink r:id="rId46" w:history="1">
        <w:r w:rsidRPr="00F53881">
          <w:rPr>
            <w:rStyle w:val="Hyperlink"/>
            <w:bCs/>
            <w:sz w:val="24"/>
            <w:szCs w:val="24"/>
            <w:lang w:val="en-US"/>
          </w:rPr>
          <w:t>https://doi.org/10.1093/cje/ben040</w:t>
        </w:r>
      </w:hyperlink>
      <w:r w:rsidRPr="00F53881">
        <w:rPr>
          <w:bCs/>
          <w:sz w:val="24"/>
          <w:szCs w:val="24"/>
          <w:lang w:val="en-US"/>
        </w:rPr>
        <w:t xml:space="preserve">.  </w:t>
      </w:r>
    </w:p>
    <w:p w14:paraId="3FCF39AB" w14:textId="1D871923" w:rsidR="00112CD2" w:rsidRPr="00F53881" w:rsidRDefault="00112CD2" w:rsidP="00ED2B59">
      <w:pPr>
        <w:adjustRightInd w:val="0"/>
        <w:spacing w:after="240"/>
        <w:jc w:val="both"/>
        <w:rPr>
          <w:bCs/>
          <w:sz w:val="24"/>
          <w:szCs w:val="24"/>
          <w:lang w:val="en-US"/>
        </w:rPr>
      </w:pPr>
      <w:r w:rsidRPr="00112CD2">
        <w:rPr>
          <w:bCs/>
          <w:sz w:val="24"/>
          <w:szCs w:val="24"/>
          <w:lang w:val="en-US"/>
        </w:rPr>
        <w:t>Jackson, G., &amp; Moerke, A. (2005). Continuity and change in corporate governance: Comparing Germany and Japan. Corporate Governance: An International Review, 13(3), 351-361.</w:t>
      </w:r>
    </w:p>
    <w:p w14:paraId="6FCE0DB8" w14:textId="4D2B46A2" w:rsidR="004D497F" w:rsidRPr="00112CD2" w:rsidRDefault="00ED2B59" w:rsidP="00ED2B59">
      <w:pPr>
        <w:adjustRightInd w:val="0"/>
        <w:spacing w:after="240"/>
        <w:jc w:val="both"/>
        <w:rPr>
          <w:bCs/>
          <w:sz w:val="24"/>
          <w:szCs w:val="24"/>
          <w:lang w:val="en-US"/>
        </w:rPr>
      </w:pPr>
      <w:r w:rsidRPr="00F53881">
        <w:rPr>
          <w:bCs/>
          <w:sz w:val="24"/>
          <w:szCs w:val="24"/>
          <w:lang w:val="en-US"/>
        </w:rPr>
        <w:t xml:space="preserve">Jacoby, Sanford. 2001. “Employee Representation and Corporate Governance: A Missing </w:t>
      </w:r>
      <w:r w:rsidRPr="00F53881">
        <w:rPr>
          <w:bCs/>
          <w:sz w:val="24"/>
          <w:szCs w:val="24"/>
          <w:lang w:val="en-US"/>
        </w:rPr>
        <w:lastRenderedPageBreak/>
        <w:t xml:space="preserve">Link.” 3 University of Pennsylvania Journal of Business Law 449. </w:t>
      </w:r>
      <w:hyperlink r:id="rId47" w:history="1">
        <w:r w:rsidRPr="00F53881">
          <w:rPr>
            <w:rStyle w:val="Hyperlink"/>
            <w:bCs/>
            <w:sz w:val="24"/>
            <w:szCs w:val="24"/>
            <w:lang w:val="en-US"/>
          </w:rPr>
          <w:t>https://scholarship.law.upenn.edu/jbl/vol3/iss3/5</w:t>
        </w:r>
      </w:hyperlink>
      <w:r w:rsidRPr="00F53881">
        <w:rPr>
          <w:bCs/>
          <w:sz w:val="24"/>
          <w:szCs w:val="24"/>
          <w:lang w:val="en-US"/>
        </w:rPr>
        <w:t xml:space="preserve">. </w:t>
      </w:r>
    </w:p>
    <w:p w14:paraId="04250A97" w14:textId="77777777" w:rsidR="00ED2B59" w:rsidRDefault="00ED2B59" w:rsidP="00ED2B59">
      <w:pPr>
        <w:adjustRightInd w:val="0"/>
        <w:spacing w:after="240"/>
        <w:jc w:val="both"/>
        <w:rPr>
          <w:bCs/>
          <w:sz w:val="24"/>
          <w:szCs w:val="24"/>
          <w:lang w:val="mk-MK"/>
        </w:rPr>
      </w:pPr>
      <w:r w:rsidRPr="00F53881">
        <w:rPr>
          <w:bCs/>
          <w:sz w:val="24"/>
          <w:szCs w:val="24"/>
          <w:lang w:val="en-US"/>
        </w:rPr>
        <w:t xml:space="preserve">Jäger, Simon, Benjamin Schoefer, and Jörg Heining. 2020. “Labor in the Boardroom.” 136 Quarterly Journal of Economics 669. </w:t>
      </w:r>
      <w:hyperlink r:id="rId48" w:history="1">
        <w:r w:rsidRPr="00F53881">
          <w:rPr>
            <w:rStyle w:val="Hyperlink"/>
            <w:bCs/>
            <w:sz w:val="24"/>
            <w:szCs w:val="24"/>
            <w:lang w:val="en-US"/>
          </w:rPr>
          <w:t>https://doi.org/10.1093/qje/qjaa038</w:t>
        </w:r>
      </w:hyperlink>
      <w:r w:rsidRPr="00F53881">
        <w:rPr>
          <w:bCs/>
          <w:sz w:val="24"/>
          <w:szCs w:val="24"/>
          <w:lang w:val="en-US"/>
        </w:rPr>
        <w:t xml:space="preserve">. </w:t>
      </w:r>
    </w:p>
    <w:p w14:paraId="70104BFD" w14:textId="1D3E65BA" w:rsidR="00A7656A" w:rsidRPr="00A7656A" w:rsidRDefault="00A7656A" w:rsidP="00ED2B59">
      <w:pPr>
        <w:adjustRightInd w:val="0"/>
        <w:spacing w:after="240"/>
        <w:jc w:val="both"/>
        <w:rPr>
          <w:bCs/>
          <w:sz w:val="24"/>
          <w:szCs w:val="24"/>
          <w:lang w:val="mk-MK"/>
        </w:rPr>
      </w:pPr>
      <w:r w:rsidRPr="00A7656A">
        <w:rPr>
          <w:bCs/>
          <w:sz w:val="24"/>
          <w:szCs w:val="24"/>
          <w:lang w:val="mk-MK"/>
        </w:rPr>
        <w:t>Jager, S., Noy, S., &amp; Schoefer, B. (2022). Codetermination and Power in the Workplace. JL &amp; Pol. Econ., 3, 198.</w:t>
      </w:r>
    </w:p>
    <w:p w14:paraId="1C13F163"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Jensen, Michael, and William Meckling. 1976. “Theory of the Firm: Managerial Behavior, Agency Costs and Ownership Structure.” 3 Journal of Financial Economics 305. </w:t>
      </w:r>
      <w:hyperlink r:id="rId49" w:history="1">
        <w:r w:rsidRPr="00F53881">
          <w:rPr>
            <w:rStyle w:val="Hyperlink"/>
            <w:bCs/>
            <w:sz w:val="24"/>
            <w:szCs w:val="24"/>
            <w:lang w:val="en-US"/>
          </w:rPr>
          <w:t>https://doi.org/10.1016/0304-405X(76)90026-X</w:t>
        </w:r>
      </w:hyperlink>
      <w:r w:rsidRPr="00F53881">
        <w:rPr>
          <w:bCs/>
          <w:sz w:val="24"/>
          <w:szCs w:val="24"/>
          <w:lang w:val="en-US"/>
        </w:rPr>
        <w:t xml:space="preserve">.  </w:t>
      </w:r>
    </w:p>
    <w:p w14:paraId="44203516" w14:textId="77777777" w:rsidR="00ED2B59" w:rsidRDefault="00ED2B59" w:rsidP="00ED2B59">
      <w:pPr>
        <w:adjustRightInd w:val="0"/>
        <w:spacing w:after="240"/>
        <w:jc w:val="both"/>
        <w:rPr>
          <w:bCs/>
          <w:sz w:val="24"/>
          <w:szCs w:val="24"/>
          <w:lang w:val="en-US"/>
        </w:rPr>
      </w:pPr>
      <w:r w:rsidRPr="00F53881">
        <w:rPr>
          <w:bCs/>
          <w:sz w:val="24"/>
          <w:szCs w:val="24"/>
          <w:lang w:val="en-US"/>
        </w:rPr>
        <w:t>Jensen, Michael, and William Meckling. 1979. “Rights and Production Functions: An Application to Labor Managed Firms and Codetermination.” 52 Journal of Business 469.</w:t>
      </w:r>
    </w:p>
    <w:p w14:paraId="43CE2C8A" w14:textId="264802AB" w:rsidR="00D92AB7" w:rsidRDefault="00D92AB7" w:rsidP="00ED2B59">
      <w:pPr>
        <w:adjustRightInd w:val="0"/>
        <w:spacing w:after="240"/>
        <w:jc w:val="both"/>
        <w:rPr>
          <w:bCs/>
          <w:sz w:val="24"/>
          <w:szCs w:val="24"/>
          <w:lang w:val="mk-MK"/>
        </w:rPr>
      </w:pPr>
      <w:r w:rsidRPr="00D92AB7">
        <w:rPr>
          <w:bCs/>
          <w:sz w:val="24"/>
          <w:szCs w:val="24"/>
          <w:lang w:val="en-US"/>
        </w:rPr>
        <w:t>Jiang, F., &amp; Kim, K. A. (2020). Corporate governance in China: A survey. Review of Finance, 24(4), 733-772.</w:t>
      </w:r>
    </w:p>
    <w:p w14:paraId="1F32752D" w14:textId="1D7F427F" w:rsidR="005678CD" w:rsidRPr="005678CD" w:rsidRDefault="005678CD" w:rsidP="00ED2B59">
      <w:pPr>
        <w:adjustRightInd w:val="0"/>
        <w:spacing w:after="240"/>
        <w:jc w:val="both"/>
        <w:rPr>
          <w:bCs/>
          <w:sz w:val="24"/>
          <w:szCs w:val="24"/>
          <w:lang w:val="mk-MK"/>
        </w:rPr>
      </w:pPr>
      <w:r w:rsidRPr="005678CD">
        <w:rPr>
          <w:bCs/>
          <w:sz w:val="24"/>
          <w:szCs w:val="24"/>
          <w:lang w:val="mk-MK"/>
        </w:rPr>
        <w:t>Jiang, F., &amp; Kim, K. A. (2024). Understanding corporate governance in China. The British Accounting Review, 56(5), 101459.</w:t>
      </w:r>
    </w:p>
    <w:p w14:paraId="1AD6678C" w14:textId="7A794025" w:rsidR="006C7BBC" w:rsidRPr="006C7BBC" w:rsidRDefault="006C7BBC" w:rsidP="00ED2B59">
      <w:pPr>
        <w:adjustRightInd w:val="0"/>
        <w:spacing w:after="240"/>
        <w:jc w:val="both"/>
        <w:rPr>
          <w:bCs/>
          <w:sz w:val="24"/>
          <w:szCs w:val="24"/>
          <w:lang w:val="en-US"/>
        </w:rPr>
      </w:pPr>
      <w:r w:rsidRPr="00F53881">
        <w:rPr>
          <w:bCs/>
          <w:sz w:val="24"/>
          <w:szCs w:val="24"/>
          <w:lang w:val="en-US"/>
        </w:rPr>
        <w:t>John</w:t>
      </w:r>
      <w:r>
        <w:rPr>
          <w:bCs/>
          <w:sz w:val="24"/>
          <w:szCs w:val="24"/>
          <w:lang w:val="en-US"/>
        </w:rPr>
        <w:t xml:space="preserve"> E.</w:t>
      </w:r>
      <w:r w:rsidRPr="00F53881">
        <w:rPr>
          <w:bCs/>
          <w:sz w:val="24"/>
          <w:szCs w:val="24"/>
          <w:lang w:val="en-US"/>
        </w:rPr>
        <w:t xml:space="preserve"> и S. Estrin, Employee Ownership in Transition во Frydman Roman, Cheryl W. Gray и A. Rapaczynsky (editors), „Corporate Governance in Central Europe and Russia” (volume 1 and 2), CEU Press, Budapest, Hungary, 1996.</w:t>
      </w:r>
    </w:p>
    <w:p w14:paraId="6E7F36D6" w14:textId="1D30B02F" w:rsidR="00337718" w:rsidRPr="00F53881" w:rsidRDefault="00337718" w:rsidP="00ED2B59">
      <w:pPr>
        <w:adjustRightInd w:val="0"/>
        <w:spacing w:after="240"/>
        <w:jc w:val="both"/>
        <w:rPr>
          <w:bCs/>
          <w:sz w:val="24"/>
          <w:szCs w:val="24"/>
          <w:lang w:val="en-US"/>
        </w:rPr>
      </w:pPr>
      <w:r w:rsidRPr="00337718">
        <w:rPr>
          <w:bCs/>
          <w:sz w:val="24"/>
          <w:szCs w:val="24"/>
          <w:lang w:val="en-US"/>
        </w:rPr>
        <w:t>Joshi, A. (2025). The Rise of Artificial Intelligence in Enterprise Resource Planning Software: Enhancing Supply Chain Management Efficiency through Predictive Analytics. Journal of Computer Science and Technology Studies, 7(8), 1006-1011.</w:t>
      </w:r>
    </w:p>
    <w:p w14:paraId="22A169D5"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Kassoy, Andrew, Frederick Alexander, Holly Ensign-Barstow, and Lenore Palladino. 2020. “From Shareholder Primacy to Stakeholder Capitalism: A Policy Agenda for Systems Change.” B Lab. </w:t>
      </w:r>
      <w:hyperlink r:id="rId50" w:history="1">
        <w:r w:rsidRPr="00F53881">
          <w:rPr>
            <w:rStyle w:val="Hyperlink"/>
            <w:bCs/>
            <w:sz w:val="24"/>
            <w:szCs w:val="24"/>
            <w:lang w:val="en-US"/>
          </w:rPr>
          <w:t>https://bcorporation.net/news/today-we-put-forward-policy-agenda-systems-change</w:t>
        </w:r>
      </w:hyperlink>
      <w:r w:rsidRPr="00F53881">
        <w:rPr>
          <w:bCs/>
          <w:sz w:val="24"/>
          <w:szCs w:val="24"/>
          <w:lang w:val="en-US"/>
        </w:rPr>
        <w:t xml:space="preserve">.  </w:t>
      </w:r>
    </w:p>
    <w:p w14:paraId="2565C5E1" w14:textId="77777777" w:rsidR="00ED2B59" w:rsidRDefault="00ED2B59" w:rsidP="00ED2B59">
      <w:pPr>
        <w:adjustRightInd w:val="0"/>
        <w:spacing w:after="240"/>
        <w:jc w:val="both"/>
        <w:rPr>
          <w:bCs/>
          <w:sz w:val="24"/>
          <w:szCs w:val="24"/>
          <w:lang w:val="mk-MK"/>
        </w:rPr>
      </w:pPr>
      <w:r w:rsidRPr="00F53881">
        <w:rPr>
          <w:bCs/>
          <w:sz w:val="24"/>
          <w:szCs w:val="24"/>
          <w:lang w:val="en-US"/>
        </w:rPr>
        <w:t>Kaufman, Bruce, and Morris Kleiner. 1993. Employee Representation: Alternatives and Future Directions. Cornell University Press.</w:t>
      </w:r>
    </w:p>
    <w:p w14:paraId="6FAA99EC" w14:textId="72479DC1" w:rsidR="00134DBE" w:rsidRPr="00134DBE" w:rsidRDefault="00134DBE" w:rsidP="00ED2B59">
      <w:pPr>
        <w:adjustRightInd w:val="0"/>
        <w:spacing w:after="240"/>
        <w:jc w:val="both"/>
        <w:rPr>
          <w:bCs/>
          <w:sz w:val="24"/>
          <w:szCs w:val="24"/>
          <w:lang w:val="mk-MK"/>
        </w:rPr>
      </w:pPr>
      <w:r w:rsidRPr="00134DBE">
        <w:rPr>
          <w:bCs/>
          <w:sz w:val="24"/>
          <w:szCs w:val="24"/>
          <w:lang w:val="mk-MK"/>
        </w:rPr>
        <w:t>Kavčič, Bracun &amp; Partners. (2023). Corporate Governance in Slovenia – Comparative Legal Guide. CEE Legal Matters.</w:t>
      </w:r>
      <w:r w:rsidR="002F49BB">
        <w:rPr>
          <w:bCs/>
          <w:sz w:val="24"/>
          <w:szCs w:val="24"/>
          <w:lang w:val="en-US"/>
        </w:rPr>
        <w:tab/>
        <w:t xml:space="preserve"> </w:t>
      </w:r>
      <w:hyperlink r:id="rId51" w:history="1">
        <w:r w:rsidR="002F49BB" w:rsidRPr="00637BDF">
          <w:rPr>
            <w:rStyle w:val="Hyperlink"/>
            <w:bCs/>
            <w:sz w:val="24"/>
            <w:szCs w:val="24"/>
            <w:lang w:val="mk-MK"/>
          </w:rPr>
          <w:t>https://ceelegalmatters.com/Magazines/Guides/CEELegalMatters_ComparativeGuide_CorporateGovernance2023_Slovenia.pdf</w:t>
        </w:r>
      </w:hyperlink>
      <w:r>
        <w:rPr>
          <w:bCs/>
          <w:sz w:val="24"/>
          <w:szCs w:val="24"/>
          <w:lang w:val="mk-MK"/>
        </w:rPr>
        <w:t xml:space="preserve"> </w:t>
      </w:r>
    </w:p>
    <w:p w14:paraId="42C03504" w14:textId="17D9CB0F" w:rsidR="00F64253" w:rsidRPr="00F53881" w:rsidRDefault="00F64253" w:rsidP="00ED2B59">
      <w:pPr>
        <w:adjustRightInd w:val="0"/>
        <w:spacing w:after="240"/>
        <w:jc w:val="both"/>
        <w:rPr>
          <w:bCs/>
          <w:sz w:val="24"/>
          <w:szCs w:val="24"/>
          <w:lang w:val="en-US"/>
        </w:rPr>
      </w:pPr>
      <w:r w:rsidRPr="00F64253">
        <w:rPr>
          <w:bCs/>
          <w:sz w:val="24"/>
          <w:szCs w:val="24"/>
          <w:lang w:val="en-US"/>
        </w:rPr>
        <w:t>Keller, H., &amp; Sweet, A. S. (Eds.). (2008). A Europe of rights: the impact of the ECHR on national legal systems. Oxford University Press.</w:t>
      </w:r>
    </w:p>
    <w:p w14:paraId="4C6516BD" w14:textId="77777777" w:rsidR="00ED2B59" w:rsidRDefault="00ED2B59" w:rsidP="00ED2B59">
      <w:pPr>
        <w:adjustRightInd w:val="0"/>
        <w:spacing w:after="240"/>
        <w:jc w:val="both"/>
        <w:rPr>
          <w:bCs/>
          <w:sz w:val="24"/>
          <w:szCs w:val="24"/>
          <w:lang w:val="en-US"/>
        </w:rPr>
      </w:pPr>
      <w:r w:rsidRPr="00F53881">
        <w:rPr>
          <w:bCs/>
          <w:sz w:val="24"/>
          <w:szCs w:val="24"/>
          <w:lang w:val="mk-MK"/>
        </w:rPr>
        <w:t>Kelly, M., &amp; Schaan, J.-L. (2005). Strategic alliances that work: Should you build a strategic alliance? (Case #9B05M022). London, ON, Canada: Ivey Publishing.</w:t>
      </w:r>
    </w:p>
    <w:p w14:paraId="26A9F736" w14:textId="2B178FA8" w:rsidR="00347622" w:rsidRPr="00347622" w:rsidRDefault="00347622" w:rsidP="00ED2B59">
      <w:pPr>
        <w:adjustRightInd w:val="0"/>
        <w:spacing w:after="240"/>
        <w:jc w:val="both"/>
        <w:rPr>
          <w:bCs/>
          <w:sz w:val="24"/>
          <w:szCs w:val="24"/>
          <w:lang w:val="en-US"/>
        </w:rPr>
      </w:pPr>
      <w:r w:rsidRPr="00347622">
        <w:rPr>
          <w:bCs/>
          <w:sz w:val="24"/>
          <w:szCs w:val="24"/>
          <w:lang w:val="en-US"/>
        </w:rPr>
        <w:t>Kingdon, J. W. (1984). Agendas, Alternatives, and Public Policies. Boston: Little, Brown.</w:t>
      </w:r>
    </w:p>
    <w:p w14:paraId="16891197" w14:textId="2BB1FABA" w:rsidR="00497CAB" w:rsidRDefault="00497CAB" w:rsidP="00ED2B59">
      <w:pPr>
        <w:adjustRightInd w:val="0"/>
        <w:spacing w:after="240"/>
        <w:jc w:val="both"/>
        <w:rPr>
          <w:bCs/>
          <w:sz w:val="24"/>
          <w:szCs w:val="24"/>
          <w:lang w:val="mk-MK"/>
        </w:rPr>
      </w:pPr>
      <w:r w:rsidRPr="00497CAB">
        <w:rPr>
          <w:bCs/>
          <w:sz w:val="24"/>
          <w:szCs w:val="24"/>
          <w:lang w:val="mk-MK"/>
        </w:rPr>
        <w:lastRenderedPageBreak/>
        <w:t xml:space="preserve">Klačmer Čalopa, M., Đunđek Kokotec, I., &amp; Korent, D. (2015). Corporate governance and successful company performance (Focus on Croatia). In 10th International Scientific Conference on Economic and Social Development – Miami, 25th September 2015 (pp. 283–294). </w:t>
      </w:r>
      <w:hyperlink r:id="rId52" w:history="1">
        <w:r w:rsidRPr="005E09D8">
          <w:rPr>
            <w:rStyle w:val="Hyperlink"/>
            <w:bCs/>
            <w:sz w:val="24"/>
            <w:szCs w:val="24"/>
            <w:lang w:val="mk-MK"/>
          </w:rPr>
          <w:t>https://www.researchgate.net/publication/370638141</w:t>
        </w:r>
      </w:hyperlink>
      <w:r>
        <w:rPr>
          <w:bCs/>
          <w:sz w:val="24"/>
          <w:szCs w:val="24"/>
          <w:lang w:val="mk-MK"/>
        </w:rPr>
        <w:t xml:space="preserve">. </w:t>
      </w:r>
    </w:p>
    <w:p w14:paraId="67E70A21" w14:textId="15081CE6" w:rsidR="00A37694" w:rsidRDefault="00A37694" w:rsidP="00ED2B59">
      <w:pPr>
        <w:adjustRightInd w:val="0"/>
        <w:spacing w:after="240"/>
        <w:jc w:val="both"/>
        <w:rPr>
          <w:bCs/>
          <w:sz w:val="24"/>
          <w:szCs w:val="24"/>
          <w:lang w:val="mk-MK"/>
        </w:rPr>
      </w:pPr>
      <w:r w:rsidRPr="00A37694">
        <w:rPr>
          <w:bCs/>
          <w:sz w:val="24"/>
          <w:szCs w:val="24"/>
          <w:lang w:val="mk-MK"/>
        </w:rPr>
        <w:t xml:space="preserve">Klačmer Čalopa, M., Đunđek Kokotec, I., &amp; Kokot, K. (2020). Impact of board size and ownership concentration on agency costs: Evidence for Croatian companies. Zbornik radova Ekonomskog fakulteta u Rijeci: časopis za ekonomsku teoriju i praksu, 38(2), 521–535. </w:t>
      </w:r>
      <w:hyperlink r:id="rId53" w:history="1">
        <w:r w:rsidRPr="005E09D8">
          <w:rPr>
            <w:rStyle w:val="Hyperlink"/>
            <w:bCs/>
            <w:sz w:val="24"/>
            <w:szCs w:val="24"/>
            <w:lang w:val="mk-MK"/>
          </w:rPr>
          <w:t>https://doi.org/10.18045/zbefri.2020.2.521</w:t>
        </w:r>
      </w:hyperlink>
      <w:r>
        <w:rPr>
          <w:bCs/>
          <w:sz w:val="24"/>
          <w:szCs w:val="24"/>
          <w:lang w:val="mk-MK"/>
        </w:rPr>
        <w:t xml:space="preserve">. </w:t>
      </w:r>
    </w:p>
    <w:p w14:paraId="01C22858" w14:textId="0527CC19" w:rsidR="00F80FEE" w:rsidRDefault="00F80FEE" w:rsidP="00ED2B59">
      <w:pPr>
        <w:adjustRightInd w:val="0"/>
        <w:spacing w:after="240"/>
        <w:jc w:val="both"/>
        <w:rPr>
          <w:bCs/>
          <w:sz w:val="24"/>
          <w:szCs w:val="24"/>
          <w:lang w:val="mk-MK"/>
        </w:rPr>
      </w:pPr>
      <w:r w:rsidRPr="00F80FEE">
        <w:rPr>
          <w:bCs/>
          <w:sz w:val="24"/>
          <w:szCs w:val="24"/>
          <w:lang w:val="mk-MK"/>
        </w:rPr>
        <w:t>Klopotan, I., et al. (2018). Parameters which influence employee satisfaction in public sector in the Republic of Croatia. International Journal for Quality Research, 12(2), 405–420. https://doi.org/10.18421/IJQR12.02-07</w:t>
      </w:r>
    </w:p>
    <w:p w14:paraId="5806DF25" w14:textId="72781A0F" w:rsidR="00E91D93" w:rsidRDefault="00E91D93" w:rsidP="00ED2B59">
      <w:pPr>
        <w:adjustRightInd w:val="0"/>
        <w:spacing w:after="240"/>
        <w:jc w:val="both"/>
        <w:rPr>
          <w:bCs/>
          <w:sz w:val="24"/>
          <w:szCs w:val="24"/>
          <w:lang w:val="en-US"/>
        </w:rPr>
      </w:pPr>
      <w:r w:rsidRPr="00E91D93">
        <w:rPr>
          <w:bCs/>
          <w:sz w:val="24"/>
          <w:szCs w:val="24"/>
          <w:lang w:val="mk-MK"/>
        </w:rPr>
        <w:t>Kloppenborg, J. S. (2002). Collegia and thiasoi: issues in function, taxonomy and membership. In Voluntary associations in the Graeco-Roman world (pp. 16-30). Routledge.</w:t>
      </w:r>
    </w:p>
    <w:p w14:paraId="4653EE90" w14:textId="693944E8" w:rsidR="00124D05" w:rsidRDefault="00124D05" w:rsidP="00ED2B59">
      <w:pPr>
        <w:adjustRightInd w:val="0"/>
        <w:spacing w:after="240"/>
        <w:jc w:val="both"/>
        <w:rPr>
          <w:bCs/>
          <w:sz w:val="24"/>
          <w:szCs w:val="24"/>
          <w:lang w:val="en-US"/>
        </w:rPr>
      </w:pPr>
      <w:r w:rsidRPr="00124D05">
        <w:rPr>
          <w:bCs/>
          <w:sz w:val="24"/>
          <w:szCs w:val="24"/>
          <w:lang w:val="en-US"/>
        </w:rPr>
        <w:t>Knudsen, J. S. (2018). Government Regulation of Corporate Social Responsibility. Corporate governance in contention, 280.</w:t>
      </w:r>
    </w:p>
    <w:p w14:paraId="7E6229E2" w14:textId="5DDBCD04" w:rsidR="00501ACD" w:rsidRPr="00695CDF" w:rsidRDefault="00501ACD" w:rsidP="00ED2B59">
      <w:pPr>
        <w:adjustRightInd w:val="0"/>
        <w:spacing w:after="240"/>
        <w:jc w:val="both"/>
        <w:rPr>
          <w:bCs/>
          <w:sz w:val="24"/>
          <w:szCs w:val="24"/>
          <w:lang w:val="en-US"/>
        </w:rPr>
      </w:pPr>
      <w:r w:rsidRPr="00501ACD">
        <w:rPr>
          <w:bCs/>
          <w:sz w:val="24"/>
          <w:szCs w:val="24"/>
          <w:lang w:val="en-US"/>
        </w:rPr>
        <w:t>Kochanowicz, J., Kozarzewski, P., &amp; Woodward, R. (2005). Understanding reform: the case of Poland.</w:t>
      </w:r>
    </w:p>
    <w:p w14:paraId="5D262DDF"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Koevski, G. (2008). The Contemporary Trends in Development of Macedonian Company Law and National Corporate Governance Model. Collection Papers Actualities Civ. &amp; Com. L. &amp; Legal Prac., 192.</w:t>
      </w:r>
    </w:p>
    <w:p w14:paraId="1CBA9C5B"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Koevski, G., &amp; Cupev, M. (2005). Taking over the Shareholding Company in FYR of Macedonia-New Regulations. Law Theory &amp; Prac., 22, 48.</w:t>
      </w:r>
    </w:p>
    <w:p w14:paraId="3E0D0874" w14:textId="77777777" w:rsidR="00ED2B59" w:rsidRPr="00F53881" w:rsidRDefault="00ED2B59" w:rsidP="00ED2B59">
      <w:pPr>
        <w:adjustRightInd w:val="0"/>
        <w:spacing w:after="240"/>
        <w:jc w:val="both"/>
        <w:rPr>
          <w:bCs/>
          <w:sz w:val="24"/>
          <w:szCs w:val="24"/>
          <w:lang w:val="mk-MK"/>
        </w:rPr>
      </w:pPr>
      <w:r w:rsidRPr="00F53881">
        <w:rPr>
          <w:bCs/>
          <w:sz w:val="24"/>
          <w:szCs w:val="24"/>
          <w:lang w:val="en-US"/>
        </w:rPr>
        <w:t>Koevski G., Hadji-Vasileva Markovska V., Nejkov K., Semenkova Z., Ivan Mishev (2011). Handbook for corporate management in Macedonian joint-stock companies - Second and supplemented edition.</w:t>
      </w:r>
    </w:p>
    <w:p w14:paraId="150A293A"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Koevski, G., &amp; Spasevski, D. (2020). The Concept оf Respect оf Human Rights аs а Part оf Corporate Social Responsibility in North Macedonia. Iustinianus Primus Law Review..</w:t>
      </w:r>
    </w:p>
    <w:p w14:paraId="41DC5CCE"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Koevski, G., &amp; Spasevski, D. (2022). Latest Trends in the Harmonization of Macedonian Company Law with the Relevant Acquis Communautaire of the European Union. Collection Papers Actualities Civ. &amp; Com. L. &amp; Legal Prac., 32.</w:t>
      </w:r>
    </w:p>
    <w:p w14:paraId="3DE1104B"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Koevski G., &amp; Spasevski D. (2023) Employee Participation – Obsolete or Resurrected Myth for Better Working of Commercial Companies, 54-77.</w:t>
      </w:r>
    </w:p>
    <w:p w14:paraId="7E3AF5B1"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Kokkinis, Andreas, and Konstantinos Sergakis. 2020. “A Flexible Model for Efficient Employee Participation in UK Companies.” 20 Journal of Corporate Law Studies 1. </w:t>
      </w:r>
      <w:hyperlink r:id="rId54" w:history="1">
        <w:r w:rsidRPr="00F53881">
          <w:rPr>
            <w:rStyle w:val="Hyperlink"/>
            <w:bCs/>
            <w:sz w:val="24"/>
            <w:szCs w:val="24"/>
            <w:lang w:val="en-US"/>
          </w:rPr>
          <w:t>https://doi.org/10.1080/14735970.2020.1735161</w:t>
        </w:r>
      </w:hyperlink>
      <w:r w:rsidRPr="00F53881">
        <w:rPr>
          <w:bCs/>
          <w:sz w:val="24"/>
          <w:szCs w:val="24"/>
          <w:lang w:val="en-US"/>
        </w:rPr>
        <w:t xml:space="preserve">.  </w:t>
      </w:r>
    </w:p>
    <w:p w14:paraId="36F08F72" w14:textId="77777777" w:rsidR="00ED2B59" w:rsidRDefault="00ED2B59" w:rsidP="00ED2B59">
      <w:pPr>
        <w:adjustRightInd w:val="0"/>
        <w:spacing w:after="240"/>
        <w:jc w:val="both"/>
        <w:rPr>
          <w:bCs/>
          <w:sz w:val="24"/>
          <w:szCs w:val="24"/>
          <w:lang w:val="mk-MK"/>
        </w:rPr>
      </w:pPr>
      <w:r w:rsidRPr="00F53881">
        <w:rPr>
          <w:bCs/>
          <w:sz w:val="24"/>
          <w:szCs w:val="24"/>
          <w:lang w:val="en-US"/>
        </w:rPr>
        <w:t>Krippner, Greta R. 2012. Capitalizing on Crisis: The Political Origins of the Rise of Finance. Harvard University Press.</w:t>
      </w:r>
    </w:p>
    <w:p w14:paraId="3B56D8D3" w14:textId="0EF846D2" w:rsidR="00115524" w:rsidRPr="00115524" w:rsidRDefault="007E2E80" w:rsidP="00ED2B59">
      <w:pPr>
        <w:adjustRightInd w:val="0"/>
        <w:spacing w:after="240"/>
        <w:jc w:val="both"/>
        <w:rPr>
          <w:bCs/>
          <w:sz w:val="24"/>
          <w:szCs w:val="24"/>
          <w:lang w:val="mk-MK"/>
        </w:rPr>
      </w:pPr>
      <w:r w:rsidRPr="007E2E80">
        <w:rPr>
          <w:bCs/>
          <w:sz w:val="24"/>
          <w:szCs w:val="24"/>
          <w:lang w:val="mk-MK"/>
        </w:rPr>
        <w:lastRenderedPageBreak/>
        <w:t>Lasswell, H. D. (1951). “The Policy Orientation.” In D. Lerner &amp; H. D. Lasswell (Eds.), The Policy Sciences. Stanford: Stanford University Press.</w:t>
      </w:r>
    </w:p>
    <w:p w14:paraId="45BBE3E7"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Lazonick, William. 2014. “Profits without Prosperity.” Harvard Business Review, September 1, 2014. </w:t>
      </w:r>
      <w:hyperlink r:id="rId55" w:history="1">
        <w:r w:rsidRPr="00F53881">
          <w:rPr>
            <w:rStyle w:val="Hyperlink"/>
            <w:bCs/>
            <w:sz w:val="24"/>
            <w:szCs w:val="24"/>
            <w:lang w:val="en-US"/>
          </w:rPr>
          <w:t>https://hbr.org/2014/09/profits-without-prosperity</w:t>
        </w:r>
      </w:hyperlink>
      <w:r w:rsidRPr="00F53881">
        <w:rPr>
          <w:bCs/>
          <w:sz w:val="24"/>
          <w:szCs w:val="24"/>
          <w:lang w:val="en-US"/>
        </w:rPr>
        <w:t>.</w:t>
      </w:r>
    </w:p>
    <w:p w14:paraId="5422E670"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Lazonick, William. 2020. “Is the Most Unproductive Firm the Foundation of the Most Efficient Economy? How Penrosian Learning Confronts the Neoclassical Absurdity.” Institute for New Economic Thinking Working Paper No. 111, New York, New York, January 2020. </w:t>
      </w:r>
      <w:hyperlink r:id="rId56" w:history="1">
        <w:r w:rsidRPr="00F53881">
          <w:rPr>
            <w:rStyle w:val="Hyperlink"/>
            <w:bCs/>
            <w:sz w:val="24"/>
            <w:szCs w:val="24"/>
            <w:lang w:val="en-US"/>
          </w:rPr>
          <w:t>https://www.ineteconomics.org/uploads/papers/WP_111-Lazonick-Penrose-Neoclassical-Fallacy.pdf</w:t>
        </w:r>
      </w:hyperlink>
      <w:r w:rsidRPr="00F53881">
        <w:rPr>
          <w:bCs/>
          <w:sz w:val="24"/>
          <w:szCs w:val="24"/>
          <w:lang w:val="en-US"/>
        </w:rPr>
        <w:t xml:space="preserve">.    </w:t>
      </w:r>
    </w:p>
    <w:p w14:paraId="59EF4881"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Lazonick, William, and Mary O’Sullivan. 2000. “Maximizing Shareholder Value: A New Ideology for Corporate Governance.” 29 Economy and Society 13. </w:t>
      </w:r>
      <w:hyperlink r:id="rId57" w:history="1">
        <w:r w:rsidRPr="00F53881">
          <w:rPr>
            <w:rStyle w:val="Hyperlink"/>
            <w:bCs/>
            <w:sz w:val="24"/>
            <w:szCs w:val="24"/>
            <w:lang w:val="en-US"/>
          </w:rPr>
          <w:t>https://doi.org/10.1080/030851400360541</w:t>
        </w:r>
      </w:hyperlink>
      <w:r w:rsidRPr="00F53881">
        <w:rPr>
          <w:bCs/>
          <w:sz w:val="24"/>
          <w:szCs w:val="24"/>
          <w:lang w:val="en-US"/>
        </w:rPr>
        <w:t xml:space="preserve">. </w:t>
      </w:r>
    </w:p>
    <w:p w14:paraId="4BBD5355"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Lazonick, William, and Jang-Sup Shin. 2020. Predatory Value Extraction: How the Looting of the Business Corporation Became the US Norm and How Sustainable Prosperity Can be Restored. Oxford University Press. </w:t>
      </w:r>
    </w:p>
    <w:p w14:paraId="2C8327E1" w14:textId="3DB7DC73" w:rsidR="00DD505A" w:rsidRDefault="00DD505A" w:rsidP="00ED2B59">
      <w:pPr>
        <w:adjustRightInd w:val="0"/>
        <w:spacing w:after="240"/>
        <w:jc w:val="both"/>
        <w:rPr>
          <w:bCs/>
          <w:sz w:val="24"/>
          <w:szCs w:val="24"/>
          <w:lang w:val="en-US"/>
        </w:rPr>
      </w:pPr>
      <w:r w:rsidRPr="00DD505A">
        <w:rPr>
          <w:bCs/>
          <w:sz w:val="24"/>
          <w:szCs w:val="24"/>
          <w:lang w:val="en-US"/>
        </w:rPr>
        <w:t>Le, D. N., &amp; Pham, N. K. (2025). Trade, gender equality and institutional quality: Evidence from the gravitational approach. International Journal of Development Issues, 24(1), 106-124.</w:t>
      </w:r>
    </w:p>
    <w:p w14:paraId="1DE1F656" w14:textId="118CB6BD" w:rsidR="003564A8" w:rsidRDefault="003564A8" w:rsidP="00ED2B59">
      <w:pPr>
        <w:adjustRightInd w:val="0"/>
        <w:spacing w:after="240"/>
        <w:jc w:val="both"/>
        <w:rPr>
          <w:bCs/>
          <w:sz w:val="24"/>
          <w:szCs w:val="24"/>
          <w:lang w:val="en-US"/>
        </w:rPr>
      </w:pPr>
      <w:r w:rsidRPr="003564A8">
        <w:rPr>
          <w:bCs/>
          <w:sz w:val="24"/>
          <w:szCs w:val="24"/>
          <w:lang w:val="en-US"/>
        </w:rPr>
        <w:t>Leonardi, S., &amp; Gottardi, D. (2019). Why no board-level employee representation in Italy? Actor preferences and political ideologies. European Journal of Industrial Relations, 25(3), 291-304.</w:t>
      </w:r>
    </w:p>
    <w:p w14:paraId="121631EF" w14:textId="40AEEB7D" w:rsidR="0044758C" w:rsidRPr="00F53881" w:rsidRDefault="0044758C" w:rsidP="00ED2B59">
      <w:pPr>
        <w:adjustRightInd w:val="0"/>
        <w:spacing w:after="240"/>
        <w:jc w:val="both"/>
        <w:rPr>
          <w:bCs/>
          <w:sz w:val="24"/>
          <w:szCs w:val="24"/>
          <w:lang w:val="en-US"/>
        </w:rPr>
      </w:pPr>
      <w:r w:rsidRPr="0044758C">
        <w:rPr>
          <w:bCs/>
          <w:sz w:val="24"/>
          <w:szCs w:val="24"/>
          <w:lang w:val="en-US"/>
        </w:rPr>
        <w:t xml:space="preserve">Lepetić, J. (2022). Javna preduzeća-strari i novi izazovi, Pravo i privreda, 60(4), 675–694. </w:t>
      </w:r>
      <w:hyperlink r:id="rId58" w:history="1">
        <w:r w:rsidRPr="005E09D8">
          <w:rPr>
            <w:rStyle w:val="Hyperlink"/>
            <w:bCs/>
            <w:sz w:val="24"/>
            <w:szCs w:val="24"/>
            <w:lang w:val="en-US"/>
          </w:rPr>
          <w:t>https://doi.org/10.55836/PiP_22404A</w:t>
        </w:r>
      </w:hyperlink>
      <w:r>
        <w:rPr>
          <w:bCs/>
          <w:sz w:val="24"/>
          <w:szCs w:val="24"/>
          <w:lang w:val="en-US"/>
        </w:rPr>
        <w:t xml:space="preserve">. </w:t>
      </w:r>
    </w:p>
    <w:p w14:paraId="3932AEE2"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Liebman, Wilma B. 2017. “Does Federal Labor Law Preemption Doctrine Allow Experiments with Social Dialogue?” 12 Harvard Law and Policy Review Online 1. </w:t>
      </w:r>
      <w:hyperlink r:id="rId59" w:history="1">
        <w:r w:rsidRPr="00F53881">
          <w:rPr>
            <w:rStyle w:val="Hyperlink"/>
            <w:bCs/>
            <w:sz w:val="24"/>
            <w:szCs w:val="24"/>
            <w:lang w:val="en-US"/>
          </w:rPr>
          <w:t>https://heinonline.org/HOL/LandingPage?handle=hein.journals/hlpron12&amp;div=3&amp;id=&amp;page=</w:t>
        </w:r>
      </w:hyperlink>
      <w:r w:rsidRPr="00F53881">
        <w:rPr>
          <w:bCs/>
          <w:sz w:val="24"/>
          <w:szCs w:val="24"/>
          <w:lang w:val="en-US"/>
        </w:rPr>
        <w:t xml:space="preserve">.  </w:t>
      </w:r>
    </w:p>
    <w:p w14:paraId="686BE71F"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Lin, Ken-Hou. 2016. “The Rise of Finance and Firm Employment Dynamics.” 27 Organizational Science 972. </w:t>
      </w:r>
    </w:p>
    <w:p w14:paraId="0E8E73FF" w14:textId="77777777" w:rsidR="00ED2B59" w:rsidRDefault="00ED2B59" w:rsidP="00ED2B59">
      <w:pPr>
        <w:adjustRightInd w:val="0"/>
        <w:spacing w:after="240"/>
        <w:jc w:val="both"/>
        <w:rPr>
          <w:bCs/>
          <w:sz w:val="24"/>
          <w:szCs w:val="24"/>
          <w:lang w:val="mk-MK"/>
        </w:rPr>
      </w:pPr>
      <w:r w:rsidRPr="00F53881">
        <w:rPr>
          <w:bCs/>
          <w:sz w:val="24"/>
          <w:szCs w:val="24"/>
          <w:lang w:val="en-US"/>
        </w:rPr>
        <w:t xml:space="preserve">Lin, Ken-Hou, and Donald Tomaskovic-Devey. 2013. “Financialization and U.S. Income Inequality, 1970–2008.” 118 American Journal of Sociology 1284. </w:t>
      </w:r>
      <w:hyperlink r:id="rId60" w:history="1">
        <w:r w:rsidRPr="00F53881">
          <w:rPr>
            <w:rStyle w:val="Hyperlink"/>
            <w:bCs/>
            <w:sz w:val="24"/>
            <w:szCs w:val="24"/>
            <w:lang w:val="en-US"/>
          </w:rPr>
          <w:t>https://doi:.org/10.1086/669499</w:t>
        </w:r>
      </w:hyperlink>
      <w:r w:rsidRPr="00F53881">
        <w:rPr>
          <w:bCs/>
          <w:sz w:val="24"/>
          <w:szCs w:val="24"/>
          <w:lang w:val="en-US"/>
        </w:rPr>
        <w:t xml:space="preserve">. </w:t>
      </w:r>
    </w:p>
    <w:p w14:paraId="72BFA8EB" w14:textId="7754F32E" w:rsidR="00940868" w:rsidRPr="00940868" w:rsidRDefault="00940868" w:rsidP="00ED2B59">
      <w:pPr>
        <w:adjustRightInd w:val="0"/>
        <w:spacing w:after="240"/>
        <w:jc w:val="both"/>
        <w:rPr>
          <w:bCs/>
          <w:sz w:val="24"/>
          <w:szCs w:val="24"/>
          <w:lang w:val="mk-MK"/>
        </w:rPr>
      </w:pPr>
      <w:r w:rsidRPr="00940868">
        <w:rPr>
          <w:bCs/>
          <w:sz w:val="24"/>
          <w:szCs w:val="24"/>
          <w:lang w:val="mk-MK"/>
        </w:rPr>
        <w:t>Lindblom, C. E. (1959). “The Science of Muddling Through.” Public Administration Review, 19(2), 79–88.</w:t>
      </w:r>
    </w:p>
    <w:p w14:paraId="2B4FBB4A" w14:textId="3E00247D" w:rsidR="008348F1" w:rsidRPr="00F53881" w:rsidRDefault="008348F1" w:rsidP="00ED2B59">
      <w:pPr>
        <w:adjustRightInd w:val="0"/>
        <w:spacing w:after="240"/>
        <w:jc w:val="both"/>
        <w:rPr>
          <w:bCs/>
          <w:sz w:val="24"/>
          <w:szCs w:val="24"/>
          <w:lang w:val="en-US"/>
        </w:rPr>
      </w:pPr>
      <w:r w:rsidRPr="008348F1">
        <w:rPr>
          <w:bCs/>
          <w:sz w:val="24"/>
          <w:szCs w:val="24"/>
          <w:lang w:val="en-US"/>
        </w:rPr>
        <w:t xml:space="preserve">Ljubljana Stock Exchange &amp; Slovenian Directors' Association. (2021). Slovenian Corporate Governance Code for Listed Companies. </w:t>
      </w:r>
      <w:hyperlink r:id="rId61" w:history="1">
        <w:r w:rsidR="0021352C" w:rsidRPr="00637BDF">
          <w:rPr>
            <w:rStyle w:val="Hyperlink"/>
            <w:bCs/>
            <w:sz w:val="24"/>
            <w:szCs w:val="24"/>
            <w:lang w:val="en-US"/>
          </w:rPr>
          <w:t>https://ljse.si/media/5021/slovenian_corporate_governance_code_for_listed_companies_2021.pdf</w:t>
        </w:r>
      </w:hyperlink>
      <w:r w:rsidR="0021352C">
        <w:rPr>
          <w:bCs/>
          <w:sz w:val="24"/>
          <w:szCs w:val="24"/>
          <w:lang w:val="en-US"/>
        </w:rPr>
        <w:t xml:space="preserve">. </w:t>
      </w:r>
    </w:p>
    <w:p w14:paraId="0A04A80D" w14:textId="77777777" w:rsidR="00ED2B59" w:rsidRDefault="00ED2B59" w:rsidP="00ED2B59">
      <w:pPr>
        <w:adjustRightInd w:val="0"/>
        <w:spacing w:after="240"/>
        <w:jc w:val="both"/>
        <w:rPr>
          <w:bCs/>
          <w:sz w:val="24"/>
          <w:szCs w:val="24"/>
          <w:lang w:val="mk-MK"/>
        </w:rPr>
      </w:pPr>
      <w:r w:rsidRPr="00F53881">
        <w:rPr>
          <w:bCs/>
          <w:sz w:val="24"/>
          <w:szCs w:val="24"/>
          <w:lang w:val="mk-MK"/>
        </w:rPr>
        <w:t xml:space="preserve">Lu, J. W., &amp; Beamish, P. W. (2001). The internationalization and performance of SMEs. </w:t>
      </w:r>
      <w:r w:rsidRPr="00F53881">
        <w:rPr>
          <w:bCs/>
          <w:sz w:val="24"/>
          <w:szCs w:val="24"/>
          <w:lang w:val="mk-MK"/>
        </w:rPr>
        <w:lastRenderedPageBreak/>
        <w:t>Strategic Management Journal, 22(6/7), 565–586.</w:t>
      </w:r>
    </w:p>
    <w:p w14:paraId="771BB8F1" w14:textId="4168512D" w:rsidR="00081718" w:rsidRPr="00F53881" w:rsidRDefault="00081718" w:rsidP="00ED2B59">
      <w:pPr>
        <w:adjustRightInd w:val="0"/>
        <w:spacing w:after="240"/>
        <w:jc w:val="both"/>
        <w:rPr>
          <w:bCs/>
          <w:sz w:val="24"/>
          <w:szCs w:val="24"/>
          <w:lang w:val="mk-MK"/>
        </w:rPr>
      </w:pPr>
      <w:r w:rsidRPr="00081718">
        <w:rPr>
          <w:bCs/>
          <w:sz w:val="24"/>
          <w:szCs w:val="24"/>
          <w:lang w:val="mk-MK"/>
        </w:rPr>
        <w:t>Lubetsky, M. H. (2008). Cultural difference and corporate governance. Transnat'l L. &amp; Contemp. Probs., 17, 187.</w:t>
      </w:r>
    </w:p>
    <w:p w14:paraId="6FAFA6DA" w14:textId="77777777" w:rsidR="00ED2B59" w:rsidRDefault="00ED2B59" w:rsidP="00ED2B59">
      <w:pPr>
        <w:adjustRightInd w:val="0"/>
        <w:spacing w:after="240"/>
        <w:jc w:val="both"/>
        <w:rPr>
          <w:bCs/>
          <w:sz w:val="24"/>
          <w:szCs w:val="24"/>
          <w:lang w:val="mk-MK"/>
        </w:rPr>
      </w:pPr>
      <w:r w:rsidRPr="00F53881">
        <w:rPr>
          <w:bCs/>
          <w:sz w:val="24"/>
          <w:szCs w:val="24"/>
          <w:lang w:val="mk-MK"/>
        </w:rPr>
        <w:t>Luo, Y. D. (2002a). Capability exploitation and building in a foreign market: Implications for multinational enterprises. Organization Science, 13(1), 48 – 63.</w:t>
      </w:r>
    </w:p>
    <w:p w14:paraId="223017F9" w14:textId="4306AD7F" w:rsidR="005B23EC" w:rsidRPr="00F53881" w:rsidRDefault="005B23EC" w:rsidP="00ED2B59">
      <w:pPr>
        <w:adjustRightInd w:val="0"/>
        <w:spacing w:after="240"/>
        <w:jc w:val="both"/>
        <w:rPr>
          <w:bCs/>
          <w:sz w:val="24"/>
          <w:szCs w:val="24"/>
          <w:lang w:val="mk-MK"/>
        </w:rPr>
      </w:pPr>
      <w:r w:rsidRPr="005B23EC">
        <w:rPr>
          <w:bCs/>
          <w:sz w:val="24"/>
          <w:szCs w:val="24"/>
          <w:lang w:val="mk-MK"/>
        </w:rPr>
        <w:t>Lyke, B., &amp; Jickling, M. (2002, August). WorldCom: The accounting scandal. In Congressional Research Service Report for Congress, August (Vol. 29, pp. 1-6).</w:t>
      </w:r>
    </w:p>
    <w:p w14:paraId="7A7870A1"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M. O’Connor , Employees and Corporate Governance: United States: Labors Role in the American Corporate Governance Structure, , 22 Comparative Labor Law &amp; Policy Journal, Fall, 2000.</w:t>
      </w:r>
    </w:p>
    <w:p w14:paraId="7985C6B9"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Makino, S., &amp; Delios, A. (1996). Local knowledge transfer and performance: Implications for alliance formation in Asia. Journal of International Business Studies, 27(5), 905–927.</w:t>
      </w:r>
    </w:p>
    <w:p w14:paraId="1C259953" w14:textId="77777777" w:rsidR="00ED2B59" w:rsidRDefault="00ED2B59" w:rsidP="00ED2B59">
      <w:pPr>
        <w:adjustRightInd w:val="0"/>
        <w:spacing w:after="240"/>
        <w:jc w:val="both"/>
        <w:rPr>
          <w:bCs/>
          <w:sz w:val="24"/>
          <w:szCs w:val="24"/>
          <w:lang w:val="mk-MK"/>
        </w:rPr>
      </w:pPr>
      <w:r w:rsidRPr="00F53881">
        <w:rPr>
          <w:bCs/>
          <w:sz w:val="24"/>
          <w:szCs w:val="24"/>
          <w:lang w:val="en-US"/>
        </w:rPr>
        <w:t>Malcomson, James. 1983. “Trade Unions and Economic Efficiency.” 93 Economic Journal 51.</w:t>
      </w:r>
    </w:p>
    <w:p w14:paraId="723CF28E" w14:textId="0E27758E" w:rsidR="004A0686" w:rsidRPr="004A0686" w:rsidRDefault="004A0686" w:rsidP="00ED2B59">
      <w:pPr>
        <w:adjustRightInd w:val="0"/>
        <w:spacing w:after="240"/>
        <w:jc w:val="both"/>
        <w:rPr>
          <w:bCs/>
          <w:sz w:val="24"/>
          <w:szCs w:val="24"/>
          <w:lang w:val="mk-MK"/>
        </w:rPr>
      </w:pPr>
      <w:r w:rsidRPr="004A0686">
        <w:rPr>
          <w:bCs/>
          <w:sz w:val="24"/>
          <w:szCs w:val="24"/>
          <w:lang w:val="mk-MK"/>
        </w:rPr>
        <w:t>Mallin, C. A. (2011). Corporate governance developments in the UK. In Handbook on international corporate governance. Edward Elgar Publishing.</w:t>
      </w:r>
    </w:p>
    <w:p w14:paraId="5E038B10" w14:textId="52E13B0A" w:rsidR="00F52069" w:rsidRPr="00F52069" w:rsidRDefault="00F52069" w:rsidP="00ED2B59">
      <w:pPr>
        <w:adjustRightInd w:val="0"/>
        <w:spacing w:after="240"/>
        <w:jc w:val="both"/>
        <w:rPr>
          <w:bCs/>
          <w:sz w:val="24"/>
          <w:szCs w:val="24"/>
          <w:lang w:val="mk-MK"/>
        </w:rPr>
      </w:pPr>
      <w:r w:rsidRPr="00F52069">
        <w:rPr>
          <w:bCs/>
          <w:sz w:val="24"/>
          <w:szCs w:val="24"/>
          <w:lang w:val="mk-MK"/>
        </w:rPr>
        <w:t>Mallin, C. A. (2019). Corporate governance. Oxford university press.</w:t>
      </w:r>
    </w:p>
    <w:p w14:paraId="6977D134"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McDonnell, Brent. 2012. “Strategies for an Employee Role in Corporate Governance.” 46 Wake Forest Law Review 429. </w:t>
      </w:r>
    </w:p>
    <w:p w14:paraId="34A19FBE"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McGaughey, E. (2016). The codetermination bargains: The history of German corporate and labor law. Colum. J. Eur. L., 23, 135.</w:t>
      </w:r>
    </w:p>
    <w:p w14:paraId="377A0C6C" w14:textId="77777777" w:rsidR="00ED2B59" w:rsidRDefault="00ED2B59" w:rsidP="00ED2B59">
      <w:pPr>
        <w:adjustRightInd w:val="0"/>
        <w:spacing w:after="240"/>
        <w:jc w:val="both"/>
        <w:rPr>
          <w:bCs/>
          <w:sz w:val="24"/>
          <w:szCs w:val="24"/>
          <w:lang w:val="mk-MK"/>
        </w:rPr>
      </w:pPr>
      <w:r w:rsidRPr="00F53881">
        <w:rPr>
          <w:bCs/>
          <w:sz w:val="24"/>
          <w:szCs w:val="24"/>
          <w:lang w:val="en-US"/>
        </w:rPr>
        <w:t xml:space="preserve">McGaughey, Ewan. 2019. “Democracy in America at Work: The History of Labor’s Vote in Corporate Governance.” 42 Seattle University Law Review 697. </w:t>
      </w:r>
      <w:hyperlink r:id="rId62" w:history="1">
        <w:r w:rsidRPr="00F53881">
          <w:rPr>
            <w:rStyle w:val="Hyperlink"/>
            <w:bCs/>
            <w:sz w:val="24"/>
            <w:szCs w:val="24"/>
            <w:lang w:val="en-US"/>
          </w:rPr>
          <w:t>https://doi.org/10.31228/osf.io/sb3zp</w:t>
        </w:r>
      </w:hyperlink>
      <w:r w:rsidRPr="00F53881">
        <w:rPr>
          <w:bCs/>
          <w:sz w:val="24"/>
          <w:szCs w:val="24"/>
          <w:lang w:val="en-US"/>
        </w:rPr>
        <w:t>.</w:t>
      </w:r>
    </w:p>
    <w:p w14:paraId="2039A94B" w14:textId="71574F81" w:rsidR="009A62E3" w:rsidRPr="00847146" w:rsidRDefault="009A62E3" w:rsidP="00ED2B59">
      <w:pPr>
        <w:adjustRightInd w:val="0"/>
        <w:spacing w:after="240"/>
        <w:jc w:val="both"/>
        <w:rPr>
          <w:bCs/>
          <w:sz w:val="24"/>
          <w:szCs w:val="24"/>
          <w:lang w:val="en-US"/>
        </w:rPr>
      </w:pPr>
      <w:r w:rsidRPr="009A62E3">
        <w:rPr>
          <w:bCs/>
          <w:sz w:val="24"/>
          <w:szCs w:val="24"/>
          <w:lang w:val="mk-MK"/>
        </w:rPr>
        <w:t>McGee, R. W. (2008). An Overview of Corporate Governance Practices in Macedonia. Corporate Governance in Transition Economies, 387-390.</w:t>
      </w:r>
    </w:p>
    <w:p w14:paraId="603B6140"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McKersie, Robert. 2001. “Labor’s Voice at the Strategic Level of the Firm.” 3 European Review of Labor and Research 480.</w:t>
      </w:r>
    </w:p>
    <w:p w14:paraId="610EC22B" w14:textId="77777777" w:rsidR="00ED2B59" w:rsidRDefault="00ED2B59" w:rsidP="00ED2B59">
      <w:pPr>
        <w:adjustRightInd w:val="0"/>
        <w:spacing w:after="240"/>
        <w:jc w:val="both"/>
        <w:rPr>
          <w:bCs/>
          <w:sz w:val="24"/>
          <w:szCs w:val="24"/>
          <w:lang w:val="en-US"/>
        </w:rPr>
      </w:pPr>
      <w:r w:rsidRPr="00F53881">
        <w:rPr>
          <w:bCs/>
          <w:sz w:val="24"/>
          <w:szCs w:val="24"/>
          <w:lang w:val="en-US"/>
        </w:rPr>
        <w:t>Minsky, Hyman, and Charles Whalen. 1996. “Economic Insecurity and the Institutional Prerequisites for Successful Capitalism.” 2 Journal of Post-Keynesian Economics 155.</w:t>
      </w:r>
    </w:p>
    <w:p w14:paraId="5D3B8714" w14:textId="3234D516" w:rsidR="00A37E42" w:rsidRPr="00F53881" w:rsidRDefault="00A37E42" w:rsidP="00ED2B59">
      <w:pPr>
        <w:adjustRightInd w:val="0"/>
        <w:spacing w:after="240"/>
        <w:jc w:val="both"/>
        <w:rPr>
          <w:bCs/>
          <w:sz w:val="24"/>
          <w:szCs w:val="24"/>
          <w:lang w:val="en-US"/>
        </w:rPr>
      </w:pPr>
      <w:r w:rsidRPr="00A37E42">
        <w:rPr>
          <w:bCs/>
          <w:sz w:val="24"/>
          <w:szCs w:val="24"/>
          <w:lang w:val="en-US"/>
        </w:rPr>
        <w:t>Monks, R. A., &amp; Minow, N. (2011). Corporate governance. John Wiley &amp; Sons.</w:t>
      </w:r>
    </w:p>
    <w:p w14:paraId="0E3BD75F" w14:textId="77777777" w:rsidR="00ED2B59" w:rsidRPr="00F53881" w:rsidRDefault="00ED2B59" w:rsidP="00ED2B59">
      <w:pPr>
        <w:adjustRightInd w:val="0"/>
        <w:spacing w:after="240"/>
        <w:jc w:val="both"/>
        <w:rPr>
          <w:bCs/>
          <w:sz w:val="24"/>
          <w:szCs w:val="24"/>
          <w:lang w:val="mk-MK"/>
        </w:rPr>
      </w:pPr>
      <w:r w:rsidRPr="00F53881">
        <w:rPr>
          <w:bCs/>
          <w:sz w:val="24"/>
          <w:szCs w:val="24"/>
          <w:lang w:val="mk-MK"/>
        </w:rPr>
        <w:t>Mowery, D. C. (Ed.). (1988). International collaborative ventures in U.S. manufacturing. Cambridge, MA: Ballinger</w:t>
      </w:r>
      <w:r w:rsidRPr="00F53881">
        <w:rPr>
          <w:bCs/>
          <w:sz w:val="24"/>
          <w:szCs w:val="24"/>
          <w:lang w:val="en-US"/>
        </w:rPr>
        <w:t xml:space="preserve"> </w:t>
      </w:r>
      <w:r w:rsidRPr="00F53881">
        <w:rPr>
          <w:bCs/>
          <w:sz w:val="24"/>
          <w:szCs w:val="24"/>
          <w:lang w:val="mk-MK"/>
        </w:rPr>
        <w:t>Publishing.</w:t>
      </w:r>
    </w:p>
    <w:p w14:paraId="28C212A2" w14:textId="77777777" w:rsidR="00ED2B59" w:rsidRDefault="00ED2B59" w:rsidP="00ED2B59">
      <w:pPr>
        <w:adjustRightInd w:val="0"/>
        <w:spacing w:after="240"/>
        <w:jc w:val="both"/>
        <w:rPr>
          <w:bCs/>
          <w:sz w:val="24"/>
          <w:szCs w:val="24"/>
          <w:lang w:val="mk-MK"/>
        </w:rPr>
      </w:pPr>
      <w:r w:rsidRPr="00F53881">
        <w:rPr>
          <w:bCs/>
          <w:sz w:val="24"/>
          <w:szCs w:val="24"/>
          <w:lang w:val="mk-MK"/>
        </w:rPr>
        <w:t>Mowery, D. C., Oxley, J. E., &amp; Silverman, B. S. (1996).</w:t>
      </w:r>
      <w:r w:rsidRPr="00F53881">
        <w:rPr>
          <w:bCs/>
          <w:sz w:val="24"/>
          <w:szCs w:val="24"/>
          <w:lang w:val="en-US"/>
        </w:rPr>
        <w:t xml:space="preserve"> </w:t>
      </w:r>
      <w:r w:rsidRPr="00F53881">
        <w:rPr>
          <w:bCs/>
          <w:sz w:val="24"/>
          <w:szCs w:val="24"/>
          <w:lang w:val="mk-MK"/>
        </w:rPr>
        <w:t>Strategic alliances and interfirm knowledge transfer.</w:t>
      </w:r>
      <w:r w:rsidRPr="00F53881">
        <w:rPr>
          <w:bCs/>
          <w:sz w:val="24"/>
          <w:szCs w:val="24"/>
          <w:lang w:val="en-US"/>
        </w:rPr>
        <w:t xml:space="preserve"> </w:t>
      </w:r>
      <w:r w:rsidRPr="00F53881">
        <w:rPr>
          <w:bCs/>
          <w:sz w:val="24"/>
          <w:szCs w:val="24"/>
          <w:lang w:val="mk-MK"/>
        </w:rPr>
        <w:t>Strategic Management Journal, 17, 77–91.</w:t>
      </w:r>
    </w:p>
    <w:p w14:paraId="6FA39EE0" w14:textId="38AF55F6" w:rsidR="00CD1E0A" w:rsidRPr="00F53881" w:rsidRDefault="00CD1E0A" w:rsidP="00ED2B59">
      <w:pPr>
        <w:adjustRightInd w:val="0"/>
        <w:spacing w:after="240"/>
        <w:jc w:val="both"/>
        <w:rPr>
          <w:bCs/>
          <w:sz w:val="24"/>
          <w:szCs w:val="24"/>
          <w:lang w:val="mk-MK"/>
        </w:rPr>
      </w:pPr>
      <w:r w:rsidRPr="00CD1E0A">
        <w:rPr>
          <w:bCs/>
          <w:sz w:val="24"/>
          <w:szCs w:val="24"/>
          <w:lang w:val="mk-MK"/>
        </w:rPr>
        <w:lastRenderedPageBreak/>
        <w:t xml:space="preserve">Mrdak, G. (2020). Specifičnosti korporativnog upravljanja u javnim preduzećima u Srbiji. Revizor, 21(83), 59–69. </w:t>
      </w:r>
      <w:hyperlink r:id="rId63" w:history="1">
        <w:r w:rsidRPr="005E09D8">
          <w:rPr>
            <w:rStyle w:val="Hyperlink"/>
            <w:bCs/>
            <w:sz w:val="24"/>
            <w:szCs w:val="24"/>
            <w:lang w:val="mk-MK"/>
          </w:rPr>
          <w:t>https://doi.org/10.5937/Rev1885059M</w:t>
        </w:r>
      </w:hyperlink>
      <w:r>
        <w:rPr>
          <w:bCs/>
          <w:sz w:val="24"/>
          <w:szCs w:val="24"/>
          <w:lang w:val="mk-MK"/>
        </w:rPr>
        <w:t xml:space="preserve">. </w:t>
      </w:r>
    </w:p>
    <w:p w14:paraId="38519064" w14:textId="77777777" w:rsidR="00ED2B59" w:rsidRDefault="00ED2B59" w:rsidP="00ED2B59">
      <w:pPr>
        <w:adjustRightInd w:val="0"/>
        <w:spacing w:after="240"/>
        <w:jc w:val="both"/>
        <w:rPr>
          <w:bCs/>
          <w:sz w:val="24"/>
          <w:szCs w:val="24"/>
          <w:lang w:val="mk-MK"/>
        </w:rPr>
      </w:pPr>
      <w:r w:rsidRPr="00F53881">
        <w:rPr>
          <w:bCs/>
          <w:sz w:val="24"/>
          <w:szCs w:val="24"/>
          <w:lang w:val="mk-MK"/>
        </w:rPr>
        <w:t>Nicholls-Nixon, C. L., &amp; Woo, C. Y. (2003). Technology</w:t>
      </w:r>
      <w:r w:rsidRPr="00F53881">
        <w:rPr>
          <w:bCs/>
          <w:sz w:val="24"/>
          <w:szCs w:val="24"/>
          <w:lang w:val="en-US"/>
        </w:rPr>
        <w:t xml:space="preserve"> </w:t>
      </w:r>
      <w:r w:rsidRPr="00F53881">
        <w:rPr>
          <w:bCs/>
          <w:sz w:val="24"/>
          <w:szCs w:val="24"/>
          <w:lang w:val="mk-MK"/>
        </w:rPr>
        <w:t>sourcing and output of established firms in a regime of</w:t>
      </w:r>
      <w:r w:rsidRPr="00F53881">
        <w:rPr>
          <w:bCs/>
          <w:sz w:val="24"/>
          <w:szCs w:val="24"/>
          <w:lang w:val="en-US"/>
        </w:rPr>
        <w:t xml:space="preserve"> </w:t>
      </w:r>
      <w:r w:rsidRPr="00F53881">
        <w:rPr>
          <w:bCs/>
          <w:sz w:val="24"/>
          <w:szCs w:val="24"/>
          <w:lang w:val="mk-MK"/>
        </w:rPr>
        <w:t>encompassing technological change. Strategic Management Journal, 24(7), 651– 666.</w:t>
      </w:r>
    </w:p>
    <w:p w14:paraId="43490B11" w14:textId="726D4D79" w:rsidR="000E6E16" w:rsidRPr="00F53881" w:rsidRDefault="000E6E16" w:rsidP="00ED2B59">
      <w:pPr>
        <w:adjustRightInd w:val="0"/>
        <w:spacing w:after="240"/>
        <w:jc w:val="both"/>
        <w:rPr>
          <w:bCs/>
          <w:sz w:val="24"/>
          <w:szCs w:val="24"/>
          <w:lang w:val="en-US"/>
        </w:rPr>
      </w:pPr>
      <w:r w:rsidRPr="000E6E16">
        <w:rPr>
          <w:bCs/>
          <w:sz w:val="24"/>
          <w:szCs w:val="24"/>
          <w:lang w:val="en-US"/>
        </w:rPr>
        <w:t>Nikoloski, K., Gorgieva-Trajkovska, O., &amp; Koleva, B. (2016). Corporate governance in transition economies, with reference to institutional framework in Macedonia. Journal of Economics, 1(2).</w:t>
      </w:r>
    </w:p>
    <w:p w14:paraId="2C1D275E"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O’Sullivan, Mary. 2000. “The Innovative Enterprise and Corporate Governance.” 24 Cambridge Journal of Economics 393. </w:t>
      </w:r>
      <w:hyperlink r:id="rId64" w:history="1">
        <w:r w:rsidRPr="00F53881">
          <w:rPr>
            <w:rStyle w:val="Hyperlink"/>
            <w:bCs/>
            <w:sz w:val="24"/>
            <w:szCs w:val="24"/>
            <w:lang w:val="en-US"/>
          </w:rPr>
          <w:t>https://doi.org/10.1093/cje/24.4.393</w:t>
        </w:r>
      </w:hyperlink>
      <w:r w:rsidRPr="00F53881">
        <w:rPr>
          <w:bCs/>
          <w:sz w:val="24"/>
          <w:szCs w:val="24"/>
          <w:lang w:val="en-US"/>
        </w:rPr>
        <w:t xml:space="preserve">.  </w:t>
      </w:r>
    </w:p>
    <w:p w14:paraId="345CCA0F" w14:textId="0E0704D1" w:rsidR="00BE5AAF" w:rsidRPr="00F53881" w:rsidRDefault="00BE5AAF" w:rsidP="00ED2B59">
      <w:pPr>
        <w:adjustRightInd w:val="0"/>
        <w:spacing w:after="240"/>
        <w:jc w:val="both"/>
        <w:rPr>
          <w:bCs/>
          <w:sz w:val="24"/>
          <w:szCs w:val="24"/>
          <w:lang w:val="en-US"/>
        </w:rPr>
      </w:pPr>
      <w:r w:rsidRPr="00BE5AAF">
        <w:rPr>
          <w:bCs/>
          <w:sz w:val="24"/>
          <w:szCs w:val="24"/>
          <w:lang w:val="en-US"/>
        </w:rPr>
        <w:t xml:space="preserve">Odvjetnički ured Bistrović. (2024). Corporate law overview. </w:t>
      </w:r>
      <w:hyperlink r:id="rId65" w:history="1">
        <w:r w:rsidRPr="005E09D8">
          <w:rPr>
            <w:rStyle w:val="Hyperlink"/>
            <w:bCs/>
            <w:sz w:val="24"/>
            <w:szCs w:val="24"/>
            <w:lang w:val="en-US"/>
          </w:rPr>
          <w:t>https://odvjetnik-bistrovic.hr/en/practice-areas/corporate-law/</w:t>
        </w:r>
      </w:hyperlink>
      <w:r>
        <w:rPr>
          <w:bCs/>
          <w:sz w:val="24"/>
          <w:szCs w:val="24"/>
          <w:lang w:val="en-US"/>
        </w:rPr>
        <w:t xml:space="preserve">. </w:t>
      </w:r>
    </w:p>
    <w:p w14:paraId="757C0F39"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Owens, Christine, Catherine Ruckelshaus, and Laura Padin. 2019. “Comments on RIN 1235-AA26: Joint Employer Status Under the Fair Labor Standards Act.” July 25, 2019. </w:t>
      </w:r>
      <w:hyperlink r:id="rId66" w:history="1">
        <w:r w:rsidRPr="00F53881">
          <w:rPr>
            <w:rStyle w:val="Hyperlink"/>
            <w:bCs/>
            <w:sz w:val="24"/>
            <w:szCs w:val="24"/>
            <w:lang w:val="en-US"/>
          </w:rPr>
          <w:t>https://s27147.pcdn.co/wp-content/uploads/Comments-USDOL-Joint-Employer-Status-FLSA.pdf</w:t>
        </w:r>
      </w:hyperlink>
      <w:r w:rsidRPr="00F53881">
        <w:rPr>
          <w:bCs/>
          <w:sz w:val="24"/>
          <w:szCs w:val="24"/>
          <w:lang w:val="en-US"/>
        </w:rPr>
        <w:t xml:space="preserve">.   </w:t>
      </w:r>
    </w:p>
    <w:p w14:paraId="3360E1E3"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Palladino, Lenore. 2020a. “Financialization at Work: Shareholder Primacy and Stagnant Wages in the United States.” Competition &amp; Change. </w:t>
      </w:r>
      <w:hyperlink r:id="rId67" w:history="1">
        <w:r w:rsidRPr="00F53881">
          <w:rPr>
            <w:rStyle w:val="Hyperlink"/>
            <w:bCs/>
            <w:sz w:val="24"/>
            <w:szCs w:val="24"/>
            <w:lang w:val="en-US"/>
          </w:rPr>
          <w:t>https://doi.org/10.1177/1024529420934641</w:t>
        </w:r>
      </w:hyperlink>
      <w:r w:rsidRPr="00F53881">
        <w:rPr>
          <w:bCs/>
          <w:sz w:val="24"/>
          <w:szCs w:val="24"/>
          <w:lang w:val="en-US"/>
        </w:rPr>
        <w:t>.</w:t>
      </w:r>
    </w:p>
    <w:p w14:paraId="26C695C3" w14:textId="2E807BE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Palladino, Lenore. 2020b. “The Potential Benefits of Employee Ownership Funds in the United States.” Social Science Research Network Working Paper, September 2020. </w:t>
      </w:r>
      <w:hyperlink r:id="rId68" w:history="1">
        <w:r w:rsidRPr="00F53881">
          <w:rPr>
            <w:rStyle w:val="Hyperlink"/>
            <w:bCs/>
            <w:sz w:val="24"/>
            <w:szCs w:val="24"/>
            <w:lang w:val="en-US"/>
          </w:rPr>
          <w:t>https://papers.ssrn.com/sol3/papers.cfm?abstract_id=3667152</w:t>
        </w:r>
      </w:hyperlink>
      <w:r w:rsidRPr="00F53881">
        <w:rPr>
          <w:bCs/>
          <w:sz w:val="24"/>
          <w:szCs w:val="24"/>
          <w:lang w:val="en-US"/>
        </w:rPr>
        <w:t xml:space="preserve">. </w:t>
      </w:r>
    </w:p>
    <w:p w14:paraId="2B6C1A94" w14:textId="77777777" w:rsidR="00ED2B59" w:rsidRDefault="00ED2B59" w:rsidP="00ED2B59">
      <w:pPr>
        <w:adjustRightInd w:val="0"/>
        <w:spacing w:after="240"/>
        <w:jc w:val="both"/>
        <w:rPr>
          <w:bCs/>
          <w:sz w:val="24"/>
          <w:szCs w:val="24"/>
          <w:lang w:val="en-US"/>
        </w:rPr>
      </w:pPr>
      <w:r w:rsidRPr="00F53881">
        <w:rPr>
          <w:bCs/>
          <w:sz w:val="24"/>
          <w:szCs w:val="24"/>
          <w:lang w:val="mk-MK"/>
        </w:rPr>
        <w:t>Palladino, L. (2021). Economic Democracy at Work: Why (and How) Workers Should Be Represented on US Corporate Boards. Journal of Law and Political Economy, 1(3).</w:t>
      </w:r>
    </w:p>
    <w:p w14:paraId="53D7DFD4" w14:textId="19ABCE83" w:rsidR="00C05819" w:rsidRPr="00C05819" w:rsidRDefault="00C05819" w:rsidP="00ED2B59">
      <w:pPr>
        <w:adjustRightInd w:val="0"/>
        <w:spacing w:after="240"/>
        <w:jc w:val="both"/>
        <w:rPr>
          <w:bCs/>
          <w:sz w:val="24"/>
          <w:szCs w:val="24"/>
          <w:lang w:val="en-US"/>
        </w:rPr>
      </w:pPr>
      <w:r w:rsidRPr="00C05819">
        <w:rPr>
          <w:bCs/>
          <w:sz w:val="24"/>
          <w:szCs w:val="24"/>
          <w:lang w:val="en-US"/>
        </w:rPr>
        <w:t>Palmer, E. (2002). Swedish pension reform: How did it evolve, and what does it mean for the future?. In Social security pension reform in Europe (pp. 171-210). University of Chicago Press.</w:t>
      </w:r>
    </w:p>
    <w:p w14:paraId="682DE359" w14:textId="166498FE" w:rsidR="00613FBE" w:rsidRPr="00613FBE" w:rsidRDefault="00613FBE" w:rsidP="00ED2B59">
      <w:pPr>
        <w:adjustRightInd w:val="0"/>
        <w:spacing w:after="240"/>
        <w:jc w:val="both"/>
        <w:rPr>
          <w:bCs/>
          <w:sz w:val="24"/>
          <w:szCs w:val="24"/>
          <w:lang w:val="en-US"/>
        </w:rPr>
      </w:pPr>
      <w:r w:rsidRPr="00613FBE">
        <w:rPr>
          <w:bCs/>
          <w:sz w:val="24"/>
          <w:szCs w:val="24"/>
          <w:lang w:val="en-US"/>
        </w:rPr>
        <w:t>Palmer, M., &amp; Lambert, J. (2025). European unity: a survey of the European organizations. Taylor &amp; Francis.</w:t>
      </w:r>
    </w:p>
    <w:p w14:paraId="6D447734"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Pan, Y. G., &amp; Chi, P. S. K. (1999). Financial performance</w:t>
      </w:r>
      <w:r w:rsidRPr="00F53881">
        <w:rPr>
          <w:bCs/>
          <w:sz w:val="24"/>
          <w:szCs w:val="24"/>
          <w:lang w:val="en-US"/>
        </w:rPr>
        <w:t xml:space="preserve"> </w:t>
      </w:r>
      <w:r w:rsidRPr="00F53881">
        <w:rPr>
          <w:bCs/>
          <w:sz w:val="24"/>
          <w:szCs w:val="24"/>
          <w:lang w:val="mk-MK"/>
        </w:rPr>
        <w:t>and survival of multinational corporations in China.</w:t>
      </w:r>
    </w:p>
    <w:p w14:paraId="769E051E"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Parkinson, John. 1997. “Company Law and Stakeholder Governance.” In Stakeholder Capitalism, edited by Andrew Gamble and Gavin Kelly, 142. Macmillan Publishers Limited. </w:t>
      </w:r>
    </w:p>
    <w:p w14:paraId="27373A39" w14:textId="77777777" w:rsidR="00ED2B59" w:rsidRDefault="00ED2B59" w:rsidP="00ED2B59">
      <w:pPr>
        <w:adjustRightInd w:val="0"/>
        <w:spacing w:after="240"/>
        <w:jc w:val="both"/>
        <w:rPr>
          <w:bCs/>
          <w:sz w:val="24"/>
          <w:szCs w:val="24"/>
          <w:lang w:val="en-US"/>
        </w:rPr>
      </w:pPr>
      <w:r w:rsidRPr="00F53881">
        <w:rPr>
          <w:bCs/>
          <w:sz w:val="24"/>
          <w:szCs w:val="24"/>
          <w:lang w:val="en-US"/>
        </w:rPr>
        <w:t>Parkinson, John, Andrew Gamble, and Gavin Kelly. 2001. The Political Economy of the Company. Hart Publishing.</w:t>
      </w:r>
    </w:p>
    <w:p w14:paraId="3E9CAE7E" w14:textId="33A9AC76" w:rsidR="00BC43CA" w:rsidRDefault="00BC43CA" w:rsidP="00ED2B59">
      <w:pPr>
        <w:adjustRightInd w:val="0"/>
        <w:spacing w:after="240"/>
        <w:jc w:val="both"/>
        <w:rPr>
          <w:bCs/>
          <w:sz w:val="24"/>
          <w:szCs w:val="24"/>
          <w:lang w:val="en-US"/>
        </w:rPr>
      </w:pPr>
      <w:r w:rsidRPr="00BC43CA">
        <w:rPr>
          <w:bCs/>
          <w:sz w:val="24"/>
          <w:szCs w:val="24"/>
          <w:lang w:val="en-US"/>
        </w:rPr>
        <w:t xml:space="preserve">Parsons, C., Garcé, A., &amp; Béland, D. (2023). Taking Ideas Seriously in Political Science: The Diffusion of Presidentialism in Latin America after Independence. Political Science Quarterly, </w:t>
      </w:r>
      <w:r w:rsidRPr="00BC43CA">
        <w:rPr>
          <w:bCs/>
          <w:sz w:val="24"/>
          <w:szCs w:val="24"/>
          <w:lang w:val="en-US"/>
        </w:rPr>
        <w:lastRenderedPageBreak/>
        <w:t xml:space="preserve">138(2), 217–238. </w:t>
      </w:r>
      <w:hyperlink r:id="rId69" w:history="1">
        <w:r w:rsidRPr="00CF6DDE">
          <w:rPr>
            <w:rStyle w:val="Hyperlink"/>
            <w:bCs/>
            <w:sz w:val="24"/>
            <w:szCs w:val="24"/>
            <w:lang w:val="en-US"/>
          </w:rPr>
          <w:t>https://doi.org/10.1093/psquar/qqad008</w:t>
        </w:r>
      </w:hyperlink>
      <w:r>
        <w:rPr>
          <w:bCs/>
          <w:sz w:val="24"/>
          <w:szCs w:val="24"/>
          <w:lang w:val="en-US"/>
        </w:rPr>
        <w:t xml:space="preserve">. </w:t>
      </w:r>
    </w:p>
    <w:p w14:paraId="3BCBC4E7" w14:textId="25F57852" w:rsidR="006829B5" w:rsidRDefault="006829B5" w:rsidP="00ED2B59">
      <w:pPr>
        <w:adjustRightInd w:val="0"/>
        <w:spacing w:after="240"/>
        <w:jc w:val="both"/>
        <w:rPr>
          <w:bCs/>
          <w:sz w:val="24"/>
          <w:szCs w:val="24"/>
          <w:lang w:val="en-US"/>
        </w:rPr>
      </w:pPr>
      <w:r w:rsidRPr="006829B5">
        <w:rPr>
          <w:bCs/>
          <w:sz w:val="24"/>
          <w:szCs w:val="24"/>
          <w:lang w:val="en-US"/>
        </w:rPr>
        <w:t>Pelly, L. (2025). Mood machine: The rise of Spotify and the costs of the perfect playlist. Simon and Schuster.</w:t>
      </w:r>
    </w:p>
    <w:p w14:paraId="7AF2149F" w14:textId="445FE58F" w:rsidR="006829B5" w:rsidRDefault="006829B5" w:rsidP="00ED2B59">
      <w:pPr>
        <w:adjustRightInd w:val="0"/>
        <w:spacing w:after="240"/>
        <w:jc w:val="both"/>
        <w:rPr>
          <w:bCs/>
          <w:sz w:val="24"/>
          <w:szCs w:val="24"/>
          <w:lang w:val="en-US"/>
        </w:rPr>
      </w:pPr>
      <w:r w:rsidRPr="00F53881">
        <w:rPr>
          <w:bCs/>
          <w:sz w:val="24"/>
          <w:szCs w:val="24"/>
          <w:lang w:val="en-US"/>
        </w:rPr>
        <w:t>Penrose, Edith. 1959. Theory of the Growth of the Firm. Oxford University Press.</w:t>
      </w:r>
    </w:p>
    <w:p w14:paraId="2629214B" w14:textId="12EEFE96" w:rsidR="00F84B04" w:rsidRDefault="00F84B04" w:rsidP="00ED2B59">
      <w:pPr>
        <w:adjustRightInd w:val="0"/>
        <w:spacing w:after="240"/>
        <w:jc w:val="both"/>
        <w:rPr>
          <w:bCs/>
          <w:sz w:val="24"/>
          <w:szCs w:val="24"/>
          <w:lang w:val="mk-MK"/>
        </w:rPr>
      </w:pPr>
      <w:r w:rsidRPr="002B4239">
        <w:rPr>
          <w:lang w:val="mk-MK"/>
        </w:rPr>
        <w:t xml:space="preserve">Petkukjeski, G., Andonov, M., Mihajloski, I., Trajkova, K., &amp; Ljativ, A. (2016). Participation of employees in management bodies of the Macedonian shareholding companies. Journal of Social Science Research, 10(2), 2060–2069. </w:t>
      </w:r>
      <w:hyperlink r:id="rId70" w:history="1">
        <w:r w:rsidRPr="00BC2504">
          <w:rPr>
            <w:rStyle w:val="Hyperlink"/>
            <w:lang w:val="mk-MK"/>
          </w:rPr>
          <w:t>https://doi.org/10.24297/jssr.v10i2.4731</w:t>
        </w:r>
      </w:hyperlink>
      <w:r>
        <w:rPr>
          <w:lang w:val="mk-MK"/>
        </w:rPr>
        <w:t>.</w:t>
      </w:r>
    </w:p>
    <w:p w14:paraId="18239C03" w14:textId="57E94BF5" w:rsidR="00A67253" w:rsidRPr="00A67253" w:rsidRDefault="00A67253" w:rsidP="00ED2B59">
      <w:pPr>
        <w:adjustRightInd w:val="0"/>
        <w:spacing w:after="240"/>
        <w:jc w:val="both"/>
        <w:rPr>
          <w:bCs/>
          <w:sz w:val="24"/>
          <w:szCs w:val="24"/>
          <w:lang w:val="mk-MK"/>
        </w:rPr>
      </w:pPr>
      <w:r w:rsidRPr="00A67253">
        <w:rPr>
          <w:bCs/>
          <w:sz w:val="24"/>
          <w:szCs w:val="24"/>
          <w:lang w:val="mk-MK"/>
        </w:rPr>
        <w:t>Petreski, M., &amp; Petreski, B. (2024). Enhancing business productivity: A comprehensive analysis of productivity and its drivers in firms in North Macedonia. Finance Think – Economic Research and Policy Institute; Organization of Employers of Macedonia.</w:t>
      </w:r>
    </w:p>
    <w:p w14:paraId="5A6054E6" w14:textId="238A232E" w:rsidR="002C5A3C" w:rsidRPr="00F53881" w:rsidRDefault="002C5A3C" w:rsidP="00ED2B59">
      <w:pPr>
        <w:adjustRightInd w:val="0"/>
        <w:spacing w:after="240"/>
        <w:jc w:val="both"/>
        <w:rPr>
          <w:bCs/>
          <w:sz w:val="24"/>
          <w:szCs w:val="24"/>
          <w:lang w:val="en-US"/>
        </w:rPr>
      </w:pPr>
      <w:r w:rsidRPr="002C5A3C">
        <w:rPr>
          <w:bCs/>
          <w:sz w:val="24"/>
          <w:szCs w:val="24"/>
          <w:lang w:val="en-US"/>
        </w:rPr>
        <w:t>Petrick, J. A., &amp; Scherer, R. F. (2003). The Enron scandal and the neglect of management integrity capacity. American Journal of Business, 18(1), 37-50.</w:t>
      </w:r>
    </w:p>
    <w:p w14:paraId="0CC16CF5" w14:textId="68A83AF2" w:rsidR="00ED2B59" w:rsidRPr="00B57157" w:rsidRDefault="00983437" w:rsidP="00ED2B59">
      <w:pPr>
        <w:adjustRightInd w:val="0"/>
        <w:spacing w:after="240"/>
        <w:jc w:val="both"/>
        <w:rPr>
          <w:bCs/>
          <w:sz w:val="24"/>
          <w:szCs w:val="24"/>
          <w:lang w:val="mk-MK"/>
        </w:rPr>
      </w:pPr>
      <w:r w:rsidRPr="00983437">
        <w:rPr>
          <w:bCs/>
          <w:sz w:val="24"/>
          <w:szCs w:val="24"/>
          <w:lang w:val="en-US"/>
        </w:rPr>
        <w:t>Perry, J. S. (2017). The Roman collegia: the modern evolution of an ancient concept (Vol. 277). Brill.</w:t>
      </w:r>
      <w:r w:rsidR="00ED2B59" w:rsidRPr="00F53881">
        <w:rPr>
          <w:bCs/>
          <w:sz w:val="24"/>
          <w:szCs w:val="24"/>
          <w:lang w:val="en-US"/>
        </w:rPr>
        <w:t xml:space="preserve"> </w:t>
      </w:r>
    </w:p>
    <w:p w14:paraId="68A38B30" w14:textId="5B5232D2" w:rsidR="00B57157" w:rsidRPr="00B57157" w:rsidRDefault="00B57157" w:rsidP="00ED2B59">
      <w:pPr>
        <w:adjustRightInd w:val="0"/>
        <w:spacing w:after="240"/>
        <w:jc w:val="both"/>
        <w:rPr>
          <w:bCs/>
          <w:sz w:val="24"/>
          <w:szCs w:val="24"/>
          <w:lang w:val="mk-MK"/>
        </w:rPr>
      </w:pPr>
      <w:r w:rsidRPr="00B57157">
        <w:rPr>
          <w:sz w:val="24"/>
          <w:szCs w:val="24"/>
        </w:rPr>
        <w:t>Pierson, P. (1994). Dismantling the Welfare State? Cambridge University Press.</w:t>
      </w:r>
    </w:p>
    <w:p w14:paraId="737DBB15" w14:textId="77777777" w:rsidR="00ED2B59" w:rsidRPr="00B57157" w:rsidRDefault="00ED2B59" w:rsidP="00ED2B59">
      <w:pPr>
        <w:adjustRightInd w:val="0"/>
        <w:spacing w:after="240"/>
        <w:jc w:val="both"/>
        <w:rPr>
          <w:bCs/>
          <w:sz w:val="24"/>
          <w:szCs w:val="24"/>
          <w:lang w:val="en-US"/>
        </w:rPr>
      </w:pPr>
      <w:r w:rsidRPr="00B57157">
        <w:rPr>
          <w:bCs/>
          <w:sz w:val="24"/>
          <w:szCs w:val="24"/>
          <w:lang w:val="en-US"/>
        </w:rPr>
        <w:t xml:space="preserve">Piketty, Thomas. 2020. Capital and Ideology. Harvard University Press. </w:t>
      </w:r>
    </w:p>
    <w:p w14:paraId="4C1D79D9" w14:textId="15B04623" w:rsidR="008B4E41" w:rsidRDefault="008B4E41" w:rsidP="00ED2B59">
      <w:pPr>
        <w:adjustRightInd w:val="0"/>
        <w:spacing w:after="240"/>
        <w:jc w:val="both"/>
        <w:rPr>
          <w:bCs/>
          <w:sz w:val="24"/>
          <w:szCs w:val="24"/>
          <w:lang w:val="mk-MK"/>
        </w:rPr>
      </w:pPr>
      <w:r w:rsidRPr="008B4E41">
        <w:rPr>
          <w:bCs/>
          <w:sz w:val="24"/>
          <w:szCs w:val="24"/>
          <w:lang w:val="en-US"/>
        </w:rPr>
        <w:t>Piper, N. (2023). The global governance of labour mobility: the role of the International Labour Organization. In Research handbook on the institutions of global migration governance. Edward Elgar Publishing.</w:t>
      </w:r>
    </w:p>
    <w:p w14:paraId="63AB12C5" w14:textId="7BC3A766" w:rsidR="009005CD" w:rsidRPr="009005CD" w:rsidRDefault="009005CD" w:rsidP="00ED2B59">
      <w:pPr>
        <w:adjustRightInd w:val="0"/>
        <w:spacing w:after="240"/>
        <w:jc w:val="both"/>
        <w:rPr>
          <w:bCs/>
          <w:sz w:val="24"/>
          <w:szCs w:val="24"/>
          <w:lang w:val="mk-MK"/>
        </w:rPr>
      </w:pPr>
      <w:r w:rsidRPr="009005CD">
        <w:rPr>
          <w:bCs/>
          <w:sz w:val="24"/>
          <w:szCs w:val="24"/>
          <w:lang w:val="mk-MK"/>
        </w:rPr>
        <w:t xml:space="preserve">Psychogios A, Szamosi L, Brewster C and Prouska R (2019) Varieties of crisis and working conditions: A comparative study of Greece and Serbia. European Journal of Industrial Relations, first published 21 March 2019, </w:t>
      </w:r>
      <w:hyperlink r:id="rId71" w:history="1">
        <w:r w:rsidRPr="00E317D0">
          <w:rPr>
            <w:rStyle w:val="Hyperlink"/>
            <w:bCs/>
            <w:sz w:val="24"/>
            <w:szCs w:val="24"/>
            <w:lang w:val="mk-MK"/>
          </w:rPr>
          <w:t>https://doi.org/10.1177%2F0959680119837101</w:t>
        </w:r>
      </w:hyperlink>
      <w:r w:rsidRPr="009005CD">
        <w:rPr>
          <w:bCs/>
          <w:sz w:val="24"/>
          <w:szCs w:val="24"/>
          <w:lang w:val="mk-MK"/>
        </w:rPr>
        <w:t>.</w:t>
      </w:r>
      <w:r>
        <w:rPr>
          <w:bCs/>
          <w:sz w:val="24"/>
          <w:szCs w:val="24"/>
          <w:lang w:val="mk-MK"/>
        </w:rPr>
        <w:t xml:space="preserve"> </w:t>
      </w:r>
    </w:p>
    <w:p w14:paraId="189DA5AD" w14:textId="0567AF9B" w:rsidR="00C33E91" w:rsidRDefault="00C33E91" w:rsidP="00ED2B59">
      <w:pPr>
        <w:adjustRightInd w:val="0"/>
        <w:spacing w:after="240"/>
        <w:jc w:val="both"/>
        <w:rPr>
          <w:bCs/>
          <w:sz w:val="24"/>
          <w:szCs w:val="24"/>
          <w:lang w:val="en-US"/>
        </w:rPr>
      </w:pPr>
      <w:r w:rsidRPr="00C33E91">
        <w:rPr>
          <w:bCs/>
          <w:sz w:val="24"/>
          <w:szCs w:val="24"/>
          <w:lang w:val="en-US"/>
        </w:rPr>
        <w:t>Puije, N. V. D., &amp; Satzinger, F. (2025). Decolonising international development evaluation: rethinking OECD DAC evaluation criteria from a decolonial perspective. Development in Practice, 1-15.</w:t>
      </w:r>
    </w:p>
    <w:p w14:paraId="2F0C7510" w14:textId="59001B44" w:rsidR="00976303" w:rsidRPr="00F53881" w:rsidRDefault="00976303" w:rsidP="00ED2B59">
      <w:pPr>
        <w:adjustRightInd w:val="0"/>
        <w:spacing w:after="240"/>
        <w:jc w:val="both"/>
        <w:rPr>
          <w:bCs/>
          <w:sz w:val="24"/>
          <w:szCs w:val="24"/>
          <w:lang w:val="en-US"/>
        </w:rPr>
      </w:pPr>
      <w:r w:rsidRPr="00976303">
        <w:rPr>
          <w:bCs/>
          <w:sz w:val="24"/>
          <w:szCs w:val="24"/>
          <w:lang w:val="en-US"/>
        </w:rPr>
        <w:t>Rantanen J, Muchiri F, Lehtinen S. Decent Work, ILO's Response to the Globalization of Working Life: Basic Concepts and Global Implementation with Special Reference to Occupational Health. Int J Environ Res Public Health. 2020 May 12;17(10):3351. doi: 10.3390/ijerph17103351. PMID: 32408597; PMCID: PMC7277660.</w:t>
      </w:r>
    </w:p>
    <w:p w14:paraId="397F0ACB" w14:textId="77777777" w:rsidR="00ED2B59" w:rsidRDefault="00ED2B59" w:rsidP="00ED2B59">
      <w:pPr>
        <w:adjustRightInd w:val="0"/>
        <w:spacing w:after="240"/>
        <w:jc w:val="both"/>
        <w:rPr>
          <w:bCs/>
          <w:sz w:val="24"/>
          <w:szCs w:val="24"/>
          <w:lang w:val="mk-MK"/>
        </w:rPr>
      </w:pPr>
      <w:r w:rsidRPr="00F53881">
        <w:rPr>
          <w:bCs/>
          <w:sz w:val="24"/>
          <w:szCs w:val="24"/>
          <w:lang w:val="en-US"/>
        </w:rPr>
        <w:t>Ribstein, L. E. (2004). Why Corporations?. Berkeley Bus. LJ, 1, 183.</w:t>
      </w:r>
    </w:p>
    <w:p w14:paraId="3A03D6AC" w14:textId="3E24B0F8" w:rsidR="002E4D50" w:rsidRPr="002E4D50" w:rsidRDefault="002E4D50" w:rsidP="00ED2B59">
      <w:pPr>
        <w:adjustRightInd w:val="0"/>
        <w:spacing w:after="240"/>
        <w:jc w:val="both"/>
        <w:rPr>
          <w:bCs/>
          <w:sz w:val="24"/>
          <w:szCs w:val="24"/>
          <w:lang w:val="mk-MK"/>
        </w:rPr>
      </w:pPr>
      <w:r w:rsidRPr="002E4D50">
        <w:rPr>
          <w:bCs/>
          <w:sz w:val="24"/>
          <w:szCs w:val="24"/>
          <w:lang w:val="mk-MK"/>
        </w:rPr>
        <w:t>Ristovski, A. (2023). The case of North Macedonia. selected Central and Eastern European countries, 86.</w:t>
      </w:r>
    </w:p>
    <w:p w14:paraId="4B88BFB5" w14:textId="5A83B135" w:rsidR="006C5152" w:rsidRDefault="006C5152" w:rsidP="00ED2B59">
      <w:pPr>
        <w:adjustRightInd w:val="0"/>
        <w:spacing w:after="240"/>
        <w:jc w:val="both"/>
        <w:rPr>
          <w:bCs/>
          <w:sz w:val="24"/>
          <w:szCs w:val="24"/>
          <w:lang w:val="en-US"/>
        </w:rPr>
      </w:pPr>
      <w:r w:rsidRPr="006C5152">
        <w:rPr>
          <w:bCs/>
          <w:sz w:val="24"/>
          <w:szCs w:val="24"/>
          <w:lang w:val="mk-MK"/>
        </w:rPr>
        <w:t>Rizzato, F., Busso, D., Devalle, A., &amp; Zerbetto, A. (2018). Corporate governance system in Italy: Compliance and quality. Corporate Ownership &amp; Control, 16(1-1), 217-233.</w:t>
      </w:r>
    </w:p>
    <w:p w14:paraId="7E94E9F8" w14:textId="16BD4AD0" w:rsidR="00F703AC" w:rsidRPr="00F703AC" w:rsidRDefault="00F703AC" w:rsidP="00ED2B59">
      <w:pPr>
        <w:adjustRightInd w:val="0"/>
        <w:spacing w:after="240"/>
        <w:jc w:val="both"/>
        <w:rPr>
          <w:bCs/>
          <w:sz w:val="24"/>
          <w:szCs w:val="24"/>
          <w:lang w:val="en-US"/>
        </w:rPr>
      </w:pPr>
      <w:r w:rsidRPr="00F53881">
        <w:rPr>
          <w:bCs/>
          <w:sz w:val="24"/>
          <w:szCs w:val="24"/>
          <w:lang w:val="mk-MK"/>
        </w:rPr>
        <w:t>Roberts</w:t>
      </w:r>
      <w:r>
        <w:rPr>
          <w:bCs/>
          <w:sz w:val="24"/>
          <w:szCs w:val="24"/>
          <w:lang w:val="en-US"/>
        </w:rPr>
        <w:t xml:space="preserve"> J.</w:t>
      </w:r>
      <w:r w:rsidRPr="00F53881">
        <w:rPr>
          <w:bCs/>
          <w:sz w:val="24"/>
          <w:szCs w:val="24"/>
          <w:lang w:val="mk-MK"/>
        </w:rPr>
        <w:t xml:space="preserve"> и E. van den Steen, Human Capital and Corporate Governance”, во Corporate </w:t>
      </w:r>
      <w:r w:rsidRPr="00F53881">
        <w:rPr>
          <w:bCs/>
          <w:sz w:val="24"/>
          <w:szCs w:val="24"/>
          <w:lang w:val="mk-MK"/>
        </w:rPr>
        <w:lastRenderedPageBreak/>
        <w:t>Governance, Essays in Honor of Horst Albach, 2nd edition, Joachim Schwalbach (ed.), Publication of the Society for Economics and Management at Humbolt-University Berlin, 2003, 126–142.</w:t>
      </w:r>
    </w:p>
    <w:p w14:paraId="0125D6E8" w14:textId="38D3E029" w:rsidR="00550FD5" w:rsidRPr="00550FD5" w:rsidRDefault="00550FD5" w:rsidP="00ED2B59">
      <w:pPr>
        <w:adjustRightInd w:val="0"/>
        <w:spacing w:after="240"/>
        <w:jc w:val="both"/>
        <w:rPr>
          <w:bCs/>
          <w:sz w:val="24"/>
          <w:szCs w:val="24"/>
          <w:lang w:val="mk-MK"/>
        </w:rPr>
      </w:pPr>
      <w:r w:rsidRPr="00550FD5">
        <w:rPr>
          <w:bCs/>
          <w:sz w:val="24"/>
          <w:szCs w:val="24"/>
          <w:lang w:val="mk-MK"/>
        </w:rPr>
        <w:t>Rocca, M. (2022). The European Social Charter and the European Union. In The European Social Charter: A Commentary (pp. 375-401). Brill Nijhoff.</w:t>
      </w:r>
    </w:p>
    <w:p w14:paraId="7E4B8B3C" w14:textId="24DC5CF3" w:rsidR="00C878BC" w:rsidRPr="00C878BC" w:rsidRDefault="00C878BC" w:rsidP="00ED2B59">
      <w:pPr>
        <w:adjustRightInd w:val="0"/>
        <w:spacing w:after="240"/>
        <w:jc w:val="both"/>
        <w:rPr>
          <w:bCs/>
          <w:sz w:val="24"/>
          <w:szCs w:val="24"/>
          <w:lang w:val="mk-MK"/>
        </w:rPr>
      </w:pPr>
      <w:r w:rsidRPr="00C878BC">
        <w:rPr>
          <w:bCs/>
          <w:sz w:val="24"/>
          <w:szCs w:val="24"/>
          <w:lang w:val="mk-MK"/>
        </w:rPr>
        <w:t>Roe, M. J. (2005). The institutions of corporate governance. In Handbook of new institutional economics (pp. 371-399). Boston, MA: Springer US.</w:t>
      </w:r>
    </w:p>
    <w:p w14:paraId="59CDD274" w14:textId="77777777" w:rsidR="00ED2B59" w:rsidRDefault="00ED2B59" w:rsidP="00ED2B59">
      <w:pPr>
        <w:adjustRightInd w:val="0"/>
        <w:spacing w:after="240"/>
        <w:jc w:val="both"/>
        <w:rPr>
          <w:bCs/>
          <w:sz w:val="24"/>
          <w:szCs w:val="24"/>
          <w:lang w:val="mk-MK"/>
        </w:rPr>
      </w:pPr>
      <w:r w:rsidRPr="00F53881">
        <w:rPr>
          <w:bCs/>
          <w:sz w:val="24"/>
          <w:szCs w:val="24"/>
          <w:lang w:val="en-US"/>
        </w:rPr>
        <w:t>Rogers, Joel, and Wolfgang Streeck. 1995. “The Study of Works Councils: Concepts and Problems.” In Works Councils: Consultation, Representation, and Cooperation in Industrial Relations, edited by Joel Rogers and Wolfgang Streeck, 3. University of Chicago Press.</w:t>
      </w:r>
    </w:p>
    <w:p w14:paraId="0FDD277D" w14:textId="21D4796C" w:rsidR="00EE0CF0" w:rsidRPr="00EE0CF0" w:rsidRDefault="00EE0CF0" w:rsidP="00ED2B59">
      <w:pPr>
        <w:adjustRightInd w:val="0"/>
        <w:spacing w:after="240"/>
        <w:jc w:val="both"/>
        <w:rPr>
          <w:bCs/>
          <w:sz w:val="24"/>
          <w:szCs w:val="24"/>
          <w:lang w:val="mk-MK"/>
        </w:rPr>
      </w:pPr>
      <w:r w:rsidRPr="00EE0CF0">
        <w:rPr>
          <w:bCs/>
          <w:sz w:val="24"/>
          <w:szCs w:val="24"/>
          <w:lang w:val="mk-MK"/>
        </w:rPr>
        <w:t>Rokkan, S., Flora, P., Kuhnle, S., &amp; Urwin, D. W. (1999). State Formation, Nation-Building, and Mass Politics in Europe: The Theory of Stein Rokkan. Oxford University Press.</w:t>
      </w:r>
    </w:p>
    <w:p w14:paraId="7B3EEBBB" w14:textId="5B67BEE7" w:rsidR="008739AD" w:rsidRDefault="008739AD" w:rsidP="00ED2B59">
      <w:pPr>
        <w:adjustRightInd w:val="0"/>
        <w:spacing w:after="240"/>
        <w:jc w:val="both"/>
        <w:rPr>
          <w:bCs/>
          <w:sz w:val="24"/>
          <w:szCs w:val="24"/>
          <w:lang w:val="en-US"/>
        </w:rPr>
      </w:pPr>
      <w:r w:rsidRPr="008739AD">
        <w:rPr>
          <w:bCs/>
          <w:sz w:val="24"/>
          <w:szCs w:val="24"/>
          <w:lang w:val="en-US"/>
        </w:rPr>
        <w:t>Ruggie, J. G. (2007). Business and human rights: the evolving international agenda. American Journal of International Law, 101(4), 819-840.</w:t>
      </w:r>
    </w:p>
    <w:p w14:paraId="51940834" w14:textId="6E58BEBF" w:rsidR="00CF7F0F" w:rsidRDefault="00CF7F0F" w:rsidP="00ED2B59">
      <w:pPr>
        <w:adjustRightInd w:val="0"/>
        <w:spacing w:after="240"/>
        <w:jc w:val="both"/>
        <w:rPr>
          <w:bCs/>
          <w:sz w:val="24"/>
          <w:szCs w:val="24"/>
          <w:lang w:val="mk-MK"/>
        </w:rPr>
      </w:pPr>
      <w:r w:rsidRPr="00CF7F0F">
        <w:rPr>
          <w:bCs/>
          <w:sz w:val="24"/>
          <w:szCs w:val="24"/>
          <w:lang w:val="en-US"/>
        </w:rPr>
        <w:t>Ruggie, J. G. (2013). Business and human rights. DQ, 168.</w:t>
      </w:r>
    </w:p>
    <w:p w14:paraId="0DC62BD0" w14:textId="59C782EC" w:rsidR="00877E53" w:rsidRDefault="00877E53" w:rsidP="00ED2B59">
      <w:pPr>
        <w:adjustRightInd w:val="0"/>
        <w:spacing w:after="240"/>
        <w:jc w:val="both"/>
        <w:rPr>
          <w:bCs/>
          <w:sz w:val="24"/>
          <w:szCs w:val="24"/>
          <w:lang w:val="en-US"/>
        </w:rPr>
      </w:pPr>
      <w:r w:rsidRPr="00877E53">
        <w:rPr>
          <w:bCs/>
          <w:sz w:val="24"/>
          <w:szCs w:val="24"/>
          <w:lang w:val="mk-MK"/>
        </w:rPr>
        <w:t>Rumelt, R. P. (1995). Inertia and transformation. In Resource-based and evolutionary theories of the firm: Towards a synthesis (pp. 101-132). Boston, MA: Springer US.</w:t>
      </w:r>
    </w:p>
    <w:p w14:paraId="6074B4D2" w14:textId="36417304" w:rsidR="009B6709" w:rsidRPr="009B6709" w:rsidRDefault="009B6709" w:rsidP="00ED2B59">
      <w:pPr>
        <w:adjustRightInd w:val="0"/>
        <w:spacing w:after="240"/>
        <w:jc w:val="both"/>
        <w:rPr>
          <w:bCs/>
          <w:sz w:val="24"/>
          <w:szCs w:val="24"/>
          <w:lang w:val="en-US"/>
        </w:rPr>
      </w:pPr>
      <w:r w:rsidRPr="009B6709">
        <w:rPr>
          <w:bCs/>
          <w:sz w:val="24"/>
          <w:szCs w:val="24"/>
          <w:lang w:val="en-US"/>
        </w:rPr>
        <w:t>Russo, L., Sandri, G., &amp; Seddone, A. (2023). Italy: political developments and data in 2022: from Draghi to Meloni. Political Data Yearbook, 62(1), 264-287.</w:t>
      </w:r>
    </w:p>
    <w:p w14:paraId="4C00902A" w14:textId="2C78AEFA" w:rsidR="00D256AF" w:rsidRDefault="00D256AF" w:rsidP="00ED2B59">
      <w:pPr>
        <w:adjustRightInd w:val="0"/>
        <w:spacing w:after="240"/>
        <w:jc w:val="both"/>
        <w:rPr>
          <w:bCs/>
          <w:sz w:val="24"/>
          <w:szCs w:val="24"/>
          <w:lang w:val="mk-MK"/>
        </w:rPr>
      </w:pPr>
      <w:r w:rsidRPr="00D256AF">
        <w:rPr>
          <w:bCs/>
          <w:sz w:val="24"/>
          <w:szCs w:val="24"/>
          <w:lang w:val="en-US"/>
        </w:rPr>
        <w:t>Sandrock, O. (2015). German and international perspectives of the German model of codetermination. European Business Law Review, 26(1).</w:t>
      </w:r>
    </w:p>
    <w:p w14:paraId="1AD7729B" w14:textId="315398E1" w:rsidR="00AE1189" w:rsidRPr="00AE1189" w:rsidRDefault="00AE1189" w:rsidP="00ED2B59">
      <w:pPr>
        <w:adjustRightInd w:val="0"/>
        <w:spacing w:after="240"/>
        <w:jc w:val="both"/>
        <w:rPr>
          <w:bCs/>
          <w:sz w:val="24"/>
          <w:szCs w:val="24"/>
          <w:lang w:val="mk-MK"/>
        </w:rPr>
      </w:pPr>
      <w:r w:rsidRPr="00AE1189">
        <w:rPr>
          <w:bCs/>
          <w:sz w:val="24"/>
          <w:szCs w:val="24"/>
          <w:lang w:val="mk-MK"/>
        </w:rPr>
        <w:t>Scharpf, F. W. (2006). “The Joint-Decision Trap Revisited.” Journal of Common Market Studies, 44(4), 845–864.</w:t>
      </w:r>
    </w:p>
    <w:p w14:paraId="0F73B75C" w14:textId="62C0B5DB" w:rsidR="001B75D4" w:rsidRDefault="001B75D4" w:rsidP="00ED2B59">
      <w:pPr>
        <w:adjustRightInd w:val="0"/>
        <w:spacing w:after="240"/>
        <w:jc w:val="both"/>
        <w:rPr>
          <w:bCs/>
          <w:sz w:val="24"/>
          <w:szCs w:val="24"/>
          <w:lang w:val="mk-MK"/>
        </w:rPr>
      </w:pPr>
      <w:r w:rsidRPr="00F53881">
        <w:rPr>
          <w:bCs/>
          <w:sz w:val="24"/>
          <w:szCs w:val="24"/>
          <w:lang w:val="en-US"/>
        </w:rPr>
        <w:t xml:space="preserve">Scholz, Robert, and Sigurt Vitols. 2019. “Board-Level Codetermination: A Driving Force for Corporate Social Responsibility in German Companies?” 25 European Journal of Industrial Relations 233. </w:t>
      </w:r>
    </w:p>
    <w:p w14:paraId="1368505A" w14:textId="7D98D54F" w:rsidR="001B75D4" w:rsidRDefault="001B75D4" w:rsidP="00ED2B59">
      <w:pPr>
        <w:adjustRightInd w:val="0"/>
        <w:spacing w:after="240"/>
        <w:jc w:val="both"/>
        <w:rPr>
          <w:bCs/>
          <w:sz w:val="24"/>
          <w:szCs w:val="24"/>
          <w:lang w:val="mk-MK"/>
        </w:rPr>
      </w:pPr>
      <w:r w:rsidRPr="001B75D4">
        <w:rPr>
          <w:bCs/>
          <w:sz w:val="24"/>
          <w:szCs w:val="24"/>
          <w:lang w:val="mk-MK"/>
        </w:rPr>
        <w:t>Sedelmeier, T. (2011). Tafeln und Verwundbarkeit. In Transformation der Tafeln in Deutschland: Aktuelle Diskussionsbeiträge aus Theorie und Praxis der Tafelbewegung (pp. 67-80). Wiesbaden: VS Verlag für Sozialwissenschaften.</w:t>
      </w:r>
    </w:p>
    <w:p w14:paraId="4AAD06B3" w14:textId="0854C300" w:rsidR="007979D2" w:rsidRPr="007979D2" w:rsidRDefault="007979D2" w:rsidP="00ED2B59">
      <w:pPr>
        <w:adjustRightInd w:val="0"/>
        <w:spacing w:after="240"/>
        <w:jc w:val="both"/>
        <w:rPr>
          <w:bCs/>
          <w:sz w:val="24"/>
          <w:szCs w:val="24"/>
          <w:lang w:val="mk-MK"/>
        </w:rPr>
      </w:pPr>
      <w:r w:rsidRPr="00F53881">
        <w:rPr>
          <w:bCs/>
          <w:sz w:val="24"/>
          <w:szCs w:val="24"/>
          <w:lang w:val="en-US"/>
        </w:rPr>
        <w:t>Shenkar, O., &amp; Li, J. T. (1999). Knowledge search in international cooperative ventures. Organization Science, 10(2), 134 –143.</w:t>
      </w:r>
    </w:p>
    <w:p w14:paraId="3AB1985A"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Sicard, G. (2015). Потеклото на корпорациите: Мелниците од Тулуз во средниот век. Yale University Press.</w:t>
      </w:r>
    </w:p>
    <w:p w14:paraId="4A2E7C1A" w14:textId="77777777" w:rsidR="00ED2B59" w:rsidRDefault="00ED2B59" w:rsidP="00ED2B59">
      <w:pPr>
        <w:adjustRightInd w:val="0"/>
        <w:spacing w:after="240"/>
        <w:jc w:val="both"/>
        <w:rPr>
          <w:bCs/>
          <w:sz w:val="24"/>
          <w:szCs w:val="24"/>
          <w:lang w:val="en-US"/>
        </w:rPr>
      </w:pPr>
      <w:r w:rsidRPr="00F53881">
        <w:rPr>
          <w:bCs/>
          <w:sz w:val="24"/>
          <w:szCs w:val="24"/>
          <w:lang w:val="en-US"/>
        </w:rPr>
        <w:t>Silvia, Stephen. 2013. Holding the Shop Together: German Industrial Relations in the Postwar Era. Cornell University Press.</w:t>
      </w:r>
    </w:p>
    <w:p w14:paraId="03CF0ABC" w14:textId="60D87693" w:rsidR="00FC4D6F" w:rsidRDefault="00FC4D6F" w:rsidP="00ED2B59">
      <w:pPr>
        <w:adjustRightInd w:val="0"/>
        <w:spacing w:after="240"/>
        <w:jc w:val="both"/>
        <w:rPr>
          <w:bCs/>
          <w:sz w:val="24"/>
          <w:szCs w:val="24"/>
          <w:lang w:val="mk-MK"/>
        </w:rPr>
      </w:pPr>
      <w:r w:rsidRPr="00FC4D6F">
        <w:rPr>
          <w:bCs/>
          <w:sz w:val="24"/>
          <w:szCs w:val="24"/>
          <w:lang w:val="mk-MK"/>
        </w:rPr>
        <w:lastRenderedPageBreak/>
        <w:t>Simon, H. A. (1947). Administrative Behavior. New York: Macmillan.</w:t>
      </w:r>
    </w:p>
    <w:p w14:paraId="2534CFE9" w14:textId="3DB70FCF" w:rsidR="00926B0B" w:rsidRDefault="00926B0B" w:rsidP="00ED2B59">
      <w:pPr>
        <w:adjustRightInd w:val="0"/>
        <w:spacing w:after="240"/>
        <w:jc w:val="both"/>
        <w:rPr>
          <w:bCs/>
          <w:sz w:val="24"/>
          <w:szCs w:val="24"/>
          <w:lang w:val="en-US"/>
        </w:rPr>
      </w:pPr>
      <w:r w:rsidRPr="00926B0B">
        <w:rPr>
          <w:bCs/>
          <w:sz w:val="24"/>
          <w:szCs w:val="24"/>
          <w:lang w:val="mk-MK"/>
        </w:rPr>
        <w:t>Standing, G. (2008). The ILO: An agency for globalization?. Development and change, 39(3), 355-384.</w:t>
      </w:r>
    </w:p>
    <w:p w14:paraId="2E61B9C8" w14:textId="451F3BF3" w:rsidR="00AB1E97" w:rsidRPr="00AB1E97" w:rsidRDefault="00490CEB" w:rsidP="00ED2B59">
      <w:pPr>
        <w:adjustRightInd w:val="0"/>
        <w:spacing w:after="240"/>
        <w:jc w:val="both"/>
        <w:rPr>
          <w:bCs/>
          <w:sz w:val="24"/>
          <w:szCs w:val="24"/>
          <w:lang w:val="en-US"/>
        </w:rPr>
      </w:pPr>
      <w:r w:rsidRPr="00490CEB">
        <w:rPr>
          <w:bCs/>
          <w:sz w:val="24"/>
          <w:szCs w:val="24"/>
          <w:lang w:val="en-US"/>
        </w:rPr>
        <w:t>Statovci, P. (2017). My cat Yugoslavia (D. Hackston, Trans.). Pushkin Press.</w:t>
      </w:r>
    </w:p>
    <w:p w14:paraId="745BCF41" w14:textId="77777777" w:rsidR="00ED2B59" w:rsidRPr="00F53881" w:rsidRDefault="00ED2B59" w:rsidP="00ED2B59">
      <w:pPr>
        <w:adjustRightInd w:val="0"/>
        <w:spacing w:after="240"/>
        <w:jc w:val="both"/>
        <w:rPr>
          <w:bCs/>
          <w:sz w:val="24"/>
          <w:szCs w:val="24"/>
          <w:lang w:val="en-US"/>
        </w:rPr>
      </w:pPr>
      <w:r w:rsidRPr="00F53881">
        <w:rPr>
          <w:bCs/>
          <w:sz w:val="24"/>
          <w:szCs w:val="24"/>
          <w:lang w:val="mk-MK"/>
        </w:rPr>
        <w:t>Strategic Management Journal, 20(4), 359 –374.</w:t>
      </w:r>
      <w:r w:rsidRPr="00F53881">
        <w:rPr>
          <w:bCs/>
          <w:sz w:val="24"/>
          <w:szCs w:val="24"/>
          <w:lang w:val="en-US"/>
        </w:rPr>
        <w:t xml:space="preserve"> </w:t>
      </w:r>
      <w:r w:rsidRPr="00F53881">
        <w:rPr>
          <w:bCs/>
          <w:sz w:val="24"/>
          <w:szCs w:val="24"/>
          <w:lang w:val="mk-MK"/>
        </w:rPr>
        <w:t>Pan, Y. G., Li, S. M., &amp; Tse, D. K. (1999). The impact of</w:t>
      </w:r>
      <w:r w:rsidRPr="00F53881">
        <w:rPr>
          <w:bCs/>
          <w:sz w:val="24"/>
          <w:szCs w:val="24"/>
          <w:lang w:val="en-US"/>
        </w:rPr>
        <w:t xml:space="preserve"> </w:t>
      </w:r>
      <w:r w:rsidRPr="00F53881">
        <w:rPr>
          <w:bCs/>
          <w:sz w:val="24"/>
          <w:szCs w:val="24"/>
          <w:lang w:val="mk-MK"/>
        </w:rPr>
        <w:t>order and mode of market entry on profitability and</w:t>
      </w:r>
      <w:r w:rsidRPr="00F53881">
        <w:rPr>
          <w:bCs/>
          <w:sz w:val="24"/>
          <w:szCs w:val="24"/>
          <w:lang w:val="en-US"/>
        </w:rPr>
        <w:t xml:space="preserve"> </w:t>
      </w:r>
      <w:r w:rsidRPr="00F53881">
        <w:rPr>
          <w:bCs/>
          <w:sz w:val="24"/>
          <w:szCs w:val="24"/>
          <w:lang w:val="mk-MK"/>
        </w:rPr>
        <w:t>market share. Journal of International Business Studies, 30(1), 81–103.</w:t>
      </w:r>
    </w:p>
    <w:p w14:paraId="7192A8C3" w14:textId="06206ABB" w:rsidR="00F4618F" w:rsidRPr="00F4618F" w:rsidRDefault="00F4618F" w:rsidP="00ED2B59">
      <w:pPr>
        <w:adjustRightInd w:val="0"/>
        <w:spacing w:after="240"/>
        <w:jc w:val="both"/>
        <w:rPr>
          <w:bCs/>
          <w:sz w:val="24"/>
          <w:szCs w:val="24"/>
          <w:lang w:val="en-US"/>
        </w:rPr>
      </w:pPr>
      <w:r w:rsidRPr="00F4618F">
        <w:rPr>
          <w:bCs/>
          <w:sz w:val="24"/>
          <w:szCs w:val="24"/>
          <w:lang w:val="en-US"/>
        </w:rPr>
        <w:t>Streeck, W., &amp; Thelen, K. (Eds.). (2005). Beyond continuity: Institutional change in advanced political economies. Oxford University Press.</w:t>
      </w:r>
    </w:p>
    <w:p w14:paraId="012ADA57" w14:textId="77777777" w:rsidR="00ED2B59" w:rsidRDefault="00ED2B59" w:rsidP="00ED2B59">
      <w:pPr>
        <w:adjustRightInd w:val="0"/>
        <w:spacing w:after="240"/>
        <w:jc w:val="both"/>
        <w:rPr>
          <w:bCs/>
          <w:sz w:val="24"/>
          <w:szCs w:val="24"/>
          <w:lang w:val="mk-MK"/>
        </w:rPr>
      </w:pPr>
      <w:r w:rsidRPr="00F53881">
        <w:rPr>
          <w:bCs/>
          <w:sz w:val="24"/>
          <w:szCs w:val="24"/>
          <w:lang w:val="en-US"/>
        </w:rPr>
        <w:t xml:space="preserve">Stout, Lynn. 2012. The Shareholder Value Myth: How Putting Shareholders First Harms Investors, Corporations, and the Public. Berrett-Koehler Publishers. </w:t>
      </w:r>
    </w:p>
    <w:p w14:paraId="224F2D33" w14:textId="17D78E0D" w:rsidR="009A4221" w:rsidRPr="009A4221" w:rsidRDefault="009A4221" w:rsidP="00ED2B59">
      <w:pPr>
        <w:adjustRightInd w:val="0"/>
        <w:spacing w:after="240"/>
        <w:jc w:val="both"/>
        <w:rPr>
          <w:bCs/>
          <w:sz w:val="24"/>
          <w:szCs w:val="24"/>
          <w:lang w:val="mk-MK"/>
        </w:rPr>
      </w:pPr>
      <w:r w:rsidRPr="009A4221">
        <w:rPr>
          <w:bCs/>
          <w:sz w:val="24"/>
          <w:szCs w:val="24"/>
          <w:lang w:val="mk-MK"/>
        </w:rPr>
        <w:t>Suklev, B., Debarliev, S., &amp; Drakulevski, L. (2020). Structuring Corporate Boards: Some Facts and Determinants from the Macedonian Setting. Central European Management Journal, 28, 57-82.</w:t>
      </w:r>
    </w:p>
    <w:p w14:paraId="6406FA78"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Summers, Clyde. 1979. “Industrial Democracy: America’s Unfulfilled Promise.” 28 Cleveland State Law Review 29. </w:t>
      </w:r>
    </w:p>
    <w:p w14:paraId="7AC3B6A4"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Summers, Clyde. 1982. “Codetermination in the United States: A Projection of Problems and Potentials.” 4 University of Pennsylvania Journal of International Law 155.</w:t>
      </w:r>
    </w:p>
    <w:p w14:paraId="4142B035" w14:textId="77777777" w:rsidR="00ED2B59" w:rsidRDefault="00ED2B59" w:rsidP="00ED2B59">
      <w:pPr>
        <w:adjustRightInd w:val="0"/>
        <w:spacing w:after="240"/>
        <w:jc w:val="both"/>
        <w:rPr>
          <w:bCs/>
          <w:sz w:val="24"/>
          <w:szCs w:val="24"/>
          <w:lang w:val="mk-MK"/>
        </w:rPr>
      </w:pPr>
      <w:r w:rsidRPr="00F53881">
        <w:rPr>
          <w:bCs/>
          <w:sz w:val="24"/>
          <w:szCs w:val="24"/>
          <w:lang w:val="en-US"/>
        </w:rPr>
        <w:t xml:space="preserve">Thelen, Kathleen. 1991. Union of Parts: Labor Politics in Postwar Germany. Cornell University Press. </w:t>
      </w:r>
    </w:p>
    <w:p w14:paraId="3A60DE3B" w14:textId="35ABE25D" w:rsidR="00E263D3" w:rsidRDefault="00E263D3" w:rsidP="00ED2B59">
      <w:pPr>
        <w:adjustRightInd w:val="0"/>
        <w:spacing w:after="240"/>
        <w:jc w:val="both"/>
        <w:rPr>
          <w:bCs/>
          <w:sz w:val="24"/>
          <w:szCs w:val="24"/>
          <w:lang w:val="mk-MK"/>
        </w:rPr>
      </w:pPr>
      <w:r w:rsidRPr="00E263D3">
        <w:rPr>
          <w:bCs/>
          <w:sz w:val="24"/>
          <w:szCs w:val="24"/>
          <w:lang w:val="mk-MK"/>
        </w:rPr>
        <w:t>Tipuric, D., Casni, A. C., &amp; Lovrincevic, M. (2016, April). A cross-country comparison of corporate governance quality: Applying SEECGAN methodology to determine differences between Croatia, Slovenia and Macedonia. In International OFEL Conference on Governance, Management and Entrepreneurship (p. 84). Centar za istrazivanje i razvoj upravljanja doo.</w:t>
      </w:r>
    </w:p>
    <w:p w14:paraId="773F0CAC" w14:textId="77777777" w:rsidR="0071380B" w:rsidRDefault="0071380B" w:rsidP="00ED2B59">
      <w:pPr>
        <w:adjustRightInd w:val="0"/>
        <w:spacing w:after="240"/>
        <w:jc w:val="both"/>
        <w:rPr>
          <w:bCs/>
          <w:sz w:val="24"/>
          <w:szCs w:val="24"/>
          <w:lang w:val="mk-MK"/>
        </w:rPr>
      </w:pPr>
      <w:r w:rsidRPr="0071380B">
        <w:rPr>
          <w:bCs/>
          <w:sz w:val="24"/>
          <w:szCs w:val="24"/>
          <w:lang w:val="mk-MK"/>
        </w:rPr>
        <w:t xml:space="preserve">Tilly, C. (1975). The Formation of National States in Western Europe. Princeton University Press. </w:t>
      </w:r>
    </w:p>
    <w:p w14:paraId="026B657C" w14:textId="493E5491" w:rsidR="0071380B" w:rsidRPr="00E263D3" w:rsidRDefault="0071380B" w:rsidP="00ED2B59">
      <w:pPr>
        <w:adjustRightInd w:val="0"/>
        <w:spacing w:after="240"/>
        <w:jc w:val="both"/>
        <w:rPr>
          <w:bCs/>
          <w:sz w:val="24"/>
          <w:szCs w:val="24"/>
          <w:lang w:val="mk-MK"/>
        </w:rPr>
      </w:pPr>
      <w:r w:rsidRPr="0071380B">
        <w:rPr>
          <w:bCs/>
          <w:sz w:val="24"/>
          <w:szCs w:val="24"/>
          <w:lang w:val="mk-MK"/>
        </w:rPr>
        <w:t>Tilly, C. (1990). Coercion, Capital, and European States, AD 990–1990. Blackwell.</w:t>
      </w:r>
    </w:p>
    <w:p w14:paraId="340FFBDA" w14:textId="2AA437CF" w:rsidR="00CE5167" w:rsidRDefault="00CE5167" w:rsidP="00ED2B59">
      <w:pPr>
        <w:adjustRightInd w:val="0"/>
        <w:spacing w:after="240"/>
        <w:jc w:val="both"/>
        <w:rPr>
          <w:bCs/>
          <w:sz w:val="24"/>
          <w:szCs w:val="24"/>
          <w:lang w:val="en-US"/>
        </w:rPr>
      </w:pPr>
      <w:r w:rsidRPr="00CE5167">
        <w:rPr>
          <w:bCs/>
          <w:sz w:val="24"/>
          <w:szCs w:val="24"/>
          <w:lang w:val="en-US"/>
        </w:rPr>
        <w:t>Todd, G. (1932). Some aspects of joint stock companies, 1844-1900. The Economic History Review, 4(1), 46-71.</w:t>
      </w:r>
    </w:p>
    <w:p w14:paraId="423CA671" w14:textId="46703969" w:rsidR="0028688C" w:rsidRDefault="0028688C" w:rsidP="00ED2B59">
      <w:pPr>
        <w:adjustRightInd w:val="0"/>
        <w:spacing w:after="240"/>
        <w:jc w:val="both"/>
        <w:rPr>
          <w:bCs/>
          <w:sz w:val="24"/>
          <w:szCs w:val="24"/>
          <w:lang w:val="en-US"/>
        </w:rPr>
      </w:pPr>
      <w:r w:rsidRPr="0028688C">
        <w:rPr>
          <w:bCs/>
          <w:sz w:val="24"/>
          <w:szCs w:val="24"/>
          <w:lang w:val="en-US"/>
        </w:rPr>
        <w:t xml:space="preserve">Todorović, N. V., &amp; Brašić Stojanović, J. R. (2024). Analiza novog zakona o korporativnom upravljanju u državnim preduzećima u Srbiji u svetlu smernica OECD-a. Strani pravni život, 68(2), 195–213. </w:t>
      </w:r>
      <w:hyperlink r:id="rId72" w:history="1">
        <w:r w:rsidRPr="005E09D8">
          <w:rPr>
            <w:rStyle w:val="Hyperlink"/>
            <w:bCs/>
            <w:sz w:val="24"/>
            <w:szCs w:val="24"/>
            <w:lang w:val="en-US"/>
          </w:rPr>
          <w:t>https://doi.org/10.56461/SPZ_24202KJ</w:t>
        </w:r>
      </w:hyperlink>
      <w:r>
        <w:rPr>
          <w:bCs/>
          <w:sz w:val="24"/>
          <w:szCs w:val="24"/>
          <w:lang w:val="en-US"/>
        </w:rPr>
        <w:t xml:space="preserve">. </w:t>
      </w:r>
    </w:p>
    <w:p w14:paraId="27227CF6" w14:textId="32005DC1" w:rsidR="00AB238C" w:rsidRDefault="00AB238C" w:rsidP="00ED2B59">
      <w:pPr>
        <w:adjustRightInd w:val="0"/>
        <w:spacing w:after="240"/>
        <w:jc w:val="both"/>
        <w:rPr>
          <w:bCs/>
          <w:sz w:val="24"/>
          <w:szCs w:val="24"/>
          <w:lang w:val="en-US"/>
        </w:rPr>
      </w:pPr>
      <w:r w:rsidRPr="00AB238C">
        <w:rPr>
          <w:bCs/>
          <w:sz w:val="24"/>
          <w:szCs w:val="24"/>
          <w:lang w:val="en-US"/>
        </w:rPr>
        <w:t>Tros, F. (2022). Innovating employee participation in the Netherlands. Industrielle Beziehungen. Zeitschrift für Arbeit, Organisation und Management, 29(1), 3-4.</w:t>
      </w:r>
    </w:p>
    <w:p w14:paraId="65740AFC" w14:textId="76E3422F" w:rsidR="00DC17B4" w:rsidRDefault="00DC17B4" w:rsidP="00ED2B59">
      <w:pPr>
        <w:adjustRightInd w:val="0"/>
        <w:spacing w:after="240"/>
        <w:jc w:val="both"/>
        <w:rPr>
          <w:bCs/>
          <w:sz w:val="24"/>
          <w:szCs w:val="24"/>
          <w:lang w:val="en-US"/>
        </w:rPr>
      </w:pPr>
      <w:r w:rsidRPr="00DC17B4">
        <w:rPr>
          <w:bCs/>
          <w:sz w:val="24"/>
          <w:szCs w:val="24"/>
          <w:lang w:val="en-US"/>
        </w:rPr>
        <w:t xml:space="preserve">Tsebelis, G. (2002). Veto Players: How Political Institutions Work. New York: Russell Sage </w:t>
      </w:r>
      <w:r w:rsidRPr="00DC17B4">
        <w:rPr>
          <w:bCs/>
          <w:sz w:val="24"/>
          <w:szCs w:val="24"/>
          <w:lang w:val="en-US"/>
        </w:rPr>
        <w:lastRenderedPageBreak/>
        <w:t>Foundation.</w:t>
      </w:r>
    </w:p>
    <w:p w14:paraId="2C2679B3" w14:textId="183F681D" w:rsidR="000577A4" w:rsidRPr="00F53881" w:rsidRDefault="000577A4" w:rsidP="00ED2B59">
      <w:pPr>
        <w:adjustRightInd w:val="0"/>
        <w:spacing w:after="240"/>
        <w:jc w:val="both"/>
        <w:rPr>
          <w:bCs/>
          <w:sz w:val="24"/>
          <w:szCs w:val="24"/>
          <w:lang w:val="en-US"/>
        </w:rPr>
      </w:pPr>
      <w:r w:rsidRPr="000577A4">
        <w:rPr>
          <w:bCs/>
          <w:sz w:val="24"/>
          <w:szCs w:val="24"/>
          <w:lang w:val="en-US"/>
        </w:rPr>
        <w:t xml:space="preserve">Tušek, B., Filipović, D., &amp; Pokrovac, I. (2009). Empirical evidence about supervisory board members’ term lengths in Croatia. Ekonomski pregled, 60(1–2), 3–27. </w:t>
      </w:r>
      <w:hyperlink r:id="rId73" w:history="1">
        <w:r w:rsidRPr="00572748">
          <w:rPr>
            <w:rStyle w:val="Hyperlink"/>
            <w:bCs/>
            <w:sz w:val="24"/>
            <w:szCs w:val="24"/>
            <w:lang w:val="en-US"/>
          </w:rPr>
          <w:t>https://hrcak.srce.hr/33835</w:t>
        </w:r>
      </w:hyperlink>
      <w:r>
        <w:rPr>
          <w:bCs/>
          <w:sz w:val="24"/>
          <w:szCs w:val="24"/>
          <w:lang w:val="en-US"/>
        </w:rPr>
        <w:t xml:space="preserve">. </w:t>
      </w:r>
    </w:p>
    <w:p w14:paraId="366EBA32"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Turner, Ronald. 1989. “Predecision Bargaining and the Core of Entrepreneurial Control: The Ups and Downs of Otis Elevator.” 39 DePaul Law Review 43. </w:t>
      </w:r>
    </w:p>
    <w:p w14:paraId="733790AD" w14:textId="15D57D8F" w:rsidR="00CB23D4" w:rsidRPr="00F53881" w:rsidRDefault="00CB23D4" w:rsidP="00ED2B59">
      <w:pPr>
        <w:adjustRightInd w:val="0"/>
        <w:spacing w:after="240"/>
        <w:jc w:val="both"/>
        <w:rPr>
          <w:bCs/>
          <w:sz w:val="24"/>
          <w:szCs w:val="24"/>
          <w:lang w:val="en-US"/>
        </w:rPr>
      </w:pPr>
      <w:r w:rsidRPr="00CB23D4">
        <w:rPr>
          <w:bCs/>
          <w:sz w:val="24"/>
          <w:szCs w:val="24"/>
          <w:lang w:val="en-US"/>
        </w:rPr>
        <w:t>Van Daele, J. (2008). The International Labour Organization (ILO) in past and present research. International Review of Social History, 53(3), 485-511.</w:t>
      </w:r>
    </w:p>
    <w:p w14:paraId="50E9DAF1"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Van der Zwan, Natascha. 2014. “Making Sense of Financialization.” 12 Socio-Economic Review 99.</w:t>
      </w:r>
    </w:p>
    <w:p w14:paraId="36813408"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Van de Ven, A. H., &amp; Polley, D. (1992). Learning while innovating. Organization Science, 3(1), 92–116. </w:t>
      </w:r>
    </w:p>
    <w:p w14:paraId="77F00AC3" w14:textId="5750CD32" w:rsidR="00D20FDE" w:rsidRDefault="00D20FDE" w:rsidP="00ED2B59">
      <w:pPr>
        <w:adjustRightInd w:val="0"/>
        <w:spacing w:after="240"/>
        <w:jc w:val="both"/>
        <w:rPr>
          <w:bCs/>
          <w:sz w:val="24"/>
          <w:szCs w:val="24"/>
          <w:lang w:val="en-US"/>
        </w:rPr>
      </w:pPr>
      <w:r w:rsidRPr="00D20FDE">
        <w:rPr>
          <w:bCs/>
          <w:sz w:val="24"/>
          <w:szCs w:val="24"/>
          <w:lang w:val="en-US"/>
        </w:rPr>
        <w:t>Varoufakis, Y. (2017). Adults in the room: My battle with Europe’s deep establishment. Farrar, Straus and Giroux.</w:t>
      </w:r>
    </w:p>
    <w:p w14:paraId="2B71FE71" w14:textId="492C4647" w:rsidR="00D73D2E" w:rsidRDefault="00D73D2E" w:rsidP="00ED2B59">
      <w:pPr>
        <w:adjustRightInd w:val="0"/>
        <w:spacing w:after="240"/>
        <w:jc w:val="both"/>
        <w:rPr>
          <w:bCs/>
          <w:sz w:val="24"/>
          <w:szCs w:val="24"/>
          <w:lang w:val="en-US"/>
        </w:rPr>
      </w:pPr>
      <w:r w:rsidRPr="00D73D2E">
        <w:rPr>
          <w:bCs/>
          <w:sz w:val="24"/>
          <w:szCs w:val="24"/>
          <w:lang w:val="en-US"/>
        </w:rPr>
        <w:t>Varoufakis, Y. (2017). Talking to my daughter about the economy: A brief history of capitalism. Farrar, Straus and Giroux.</w:t>
      </w:r>
    </w:p>
    <w:p w14:paraId="7B710CED" w14:textId="4B8F5292" w:rsidR="00DD2337" w:rsidRDefault="00DD2337" w:rsidP="00ED2B59">
      <w:pPr>
        <w:adjustRightInd w:val="0"/>
        <w:spacing w:after="240"/>
        <w:jc w:val="both"/>
        <w:rPr>
          <w:bCs/>
          <w:sz w:val="24"/>
          <w:szCs w:val="24"/>
          <w:lang w:val="mk-MK"/>
        </w:rPr>
      </w:pPr>
      <w:r w:rsidRPr="00DD2337">
        <w:rPr>
          <w:bCs/>
          <w:sz w:val="24"/>
          <w:szCs w:val="24"/>
          <w:lang w:val="en-US"/>
        </w:rPr>
        <w:t>Vasileva-Markovska, V. H. (2012). Corporate governance in the Republic of Macedonia. In 1 st International Conference Corporate governance–new experiences: Implementation in Southeastern Europe (p. 52).</w:t>
      </w:r>
    </w:p>
    <w:p w14:paraId="07F158C1" w14:textId="37C293C2" w:rsidR="00133A5C" w:rsidRDefault="00133A5C" w:rsidP="00ED2B59">
      <w:pPr>
        <w:adjustRightInd w:val="0"/>
        <w:spacing w:after="240"/>
        <w:jc w:val="both"/>
        <w:rPr>
          <w:bCs/>
          <w:sz w:val="24"/>
          <w:szCs w:val="24"/>
          <w:lang w:val="mk-MK"/>
        </w:rPr>
      </w:pPr>
      <w:r w:rsidRPr="00133A5C">
        <w:rPr>
          <w:bCs/>
          <w:sz w:val="24"/>
          <w:szCs w:val="24"/>
          <w:lang w:val="mk-MK"/>
        </w:rPr>
        <w:t xml:space="preserve">Vasiljević, M. S. (2021). „Bermudski trougao“ kompanijskog, stečajnog i prava preuzimanja akcionarskih društava: Tri subjekta zaštite – kompanija, poverilac i akcionar. Strani pravni život, 65(2), 193–206. </w:t>
      </w:r>
      <w:hyperlink r:id="rId74" w:history="1">
        <w:r w:rsidRPr="005E09D8">
          <w:rPr>
            <w:rStyle w:val="Hyperlink"/>
            <w:bCs/>
            <w:sz w:val="24"/>
            <w:szCs w:val="24"/>
            <w:lang w:val="mk-MK"/>
          </w:rPr>
          <w:t>https://doi.org/10.5937/spz65-33361</w:t>
        </w:r>
      </w:hyperlink>
      <w:r>
        <w:rPr>
          <w:bCs/>
          <w:sz w:val="24"/>
          <w:szCs w:val="24"/>
          <w:lang w:val="mk-MK"/>
        </w:rPr>
        <w:t xml:space="preserve">. </w:t>
      </w:r>
    </w:p>
    <w:p w14:paraId="6EB0ACD7" w14:textId="30468710" w:rsidR="00074969" w:rsidRDefault="00074969" w:rsidP="00ED2B59">
      <w:pPr>
        <w:adjustRightInd w:val="0"/>
        <w:spacing w:after="240"/>
        <w:jc w:val="both"/>
        <w:rPr>
          <w:bCs/>
          <w:sz w:val="24"/>
          <w:szCs w:val="24"/>
          <w:lang w:val="en-US"/>
        </w:rPr>
      </w:pPr>
      <w:r w:rsidRPr="00074969">
        <w:rPr>
          <w:bCs/>
          <w:sz w:val="24"/>
          <w:szCs w:val="24"/>
          <w:lang w:val="mk-MK"/>
        </w:rPr>
        <w:t>Veljanoska, F. (2021). Corporate social responsibility in North Macedonia. In Current Global Practices of Corporate Social Responsibility: In the Era of Sustainable Development Goals (pp. 257-286). Cham: Springer International Publishing.</w:t>
      </w:r>
    </w:p>
    <w:p w14:paraId="1A2FA0DB" w14:textId="28F5988D" w:rsidR="00655B2E" w:rsidRPr="00655B2E" w:rsidRDefault="00655B2E" w:rsidP="00ED2B59">
      <w:pPr>
        <w:adjustRightInd w:val="0"/>
        <w:spacing w:after="240"/>
        <w:jc w:val="both"/>
        <w:rPr>
          <w:bCs/>
          <w:sz w:val="24"/>
          <w:szCs w:val="24"/>
          <w:lang w:val="en-US"/>
        </w:rPr>
      </w:pPr>
      <w:r w:rsidRPr="00655B2E">
        <w:rPr>
          <w:bCs/>
          <w:sz w:val="24"/>
          <w:szCs w:val="24"/>
          <w:lang w:val="en-US"/>
        </w:rPr>
        <w:t>Vitols, S. (2008). The evolving European system of corporate governance: implications for worker participation. Transfer: European Review of Labour and Research, 14(1), 27-43.</w:t>
      </w:r>
    </w:p>
    <w:p w14:paraId="5C6D1F1D" w14:textId="1628CABA" w:rsidR="005C65B4" w:rsidRPr="00F53881" w:rsidRDefault="005C65B4" w:rsidP="00ED2B59">
      <w:pPr>
        <w:adjustRightInd w:val="0"/>
        <w:spacing w:after="240"/>
        <w:jc w:val="both"/>
        <w:rPr>
          <w:bCs/>
          <w:sz w:val="24"/>
          <w:szCs w:val="24"/>
          <w:lang w:val="en-US"/>
        </w:rPr>
      </w:pPr>
      <w:r w:rsidRPr="005C65B4">
        <w:rPr>
          <w:bCs/>
          <w:sz w:val="24"/>
          <w:szCs w:val="24"/>
          <w:lang w:val="en-US"/>
        </w:rPr>
        <w:t>Vukolić, Z. (2019). Korporativno upravljanje u javnim preduzećima. Revizor, 22(85), 71–87. https://doi.org/10.5937/Rev1885071V</w:t>
      </w:r>
    </w:p>
    <w:p w14:paraId="15B5E0A3" w14:textId="77777777" w:rsidR="00ED2B59" w:rsidRDefault="00ED2B59" w:rsidP="00ED2B59">
      <w:pPr>
        <w:adjustRightInd w:val="0"/>
        <w:spacing w:after="240"/>
        <w:jc w:val="both"/>
        <w:rPr>
          <w:bCs/>
          <w:sz w:val="24"/>
          <w:szCs w:val="24"/>
          <w:lang w:val="en-US"/>
        </w:rPr>
      </w:pPr>
      <w:r w:rsidRPr="00F53881">
        <w:rPr>
          <w:bCs/>
          <w:sz w:val="24"/>
          <w:szCs w:val="24"/>
          <w:lang w:val="en-US"/>
        </w:rPr>
        <w:t xml:space="preserve">Wartzman, Rick. 2017. The End of Loyalty: The Rise and Fall of Good Jobs in America. Public Affairs. Webber, David H. 2014. “The Use and Abuse of Labor’s Capital.” 89 New York University Law Review 2106. </w:t>
      </w:r>
      <w:hyperlink r:id="rId75" w:history="1">
        <w:r w:rsidRPr="00F53881">
          <w:rPr>
            <w:rStyle w:val="Hyperlink"/>
            <w:bCs/>
            <w:sz w:val="24"/>
            <w:szCs w:val="24"/>
            <w:lang w:val="en-US"/>
          </w:rPr>
          <w:t>https://doi.org/10.2139/ssrn.2380661</w:t>
        </w:r>
      </w:hyperlink>
      <w:r w:rsidRPr="00F53881">
        <w:rPr>
          <w:bCs/>
          <w:sz w:val="24"/>
          <w:szCs w:val="24"/>
          <w:lang w:val="en-US"/>
        </w:rPr>
        <w:t>.</w:t>
      </w:r>
    </w:p>
    <w:p w14:paraId="05D450E6" w14:textId="28875309" w:rsidR="003B51F8" w:rsidRPr="00F53881" w:rsidRDefault="003B51F8" w:rsidP="00ED2B59">
      <w:pPr>
        <w:adjustRightInd w:val="0"/>
        <w:spacing w:after="240"/>
        <w:jc w:val="both"/>
        <w:rPr>
          <w:bCs/>
          <w:sz w:val="24"/>
          <w:szCs w:val="24"/>
          <w:lang w:val="en-US"/>
        </w:rPr>
      </w:pPr>
      <w:r w:rsidRPr="003B51F8">
        <w:rPr>
          <w:bCs/>
          <w:sz w:val="24"/>
          <w:szCs w:val="24"/>
          <w:lang w:val="en-US"/>
        </w:rPr>
        <w:t>Wates, J. (Chair). (2018). The Wates Corporate Governance Principles for Large Private Comp</w:t>
      </w:r>
      <w:r w:rsidR="00F07165">
        <w:rPr>
          <w:bCs/>
          <w:sz w:val="24"/>
          <w:szCs w:val="24"/>
          <w:lang w:val="en-US"/>
        </w:rPr>
        <w:t>anies:</w:t>
      </w:r>
      <w:r w:rsidRPr="003B51F8">
        <w:rPr>
          <w:bCs/>
          <w:sz w:val="24"/>
          <w:szCs w:val="24"/>
          <w:lang w:val="en-US"/>
        </w:rPr>
        <w:t xml:space="preserve"> </w:t>
      </w:r>
      <w:hyperlink r:id="rId76" w:history="1">
        <w:r w:rsidR="00F07165" w:rsidRPr="00F07165">
          <w:rPr>
            <w:rStyle w:val="Hyperlink"/>
            <w:bCs/>
            <w:sz w:val="24"/>
            <w:szCs w:val="24"/>
          </w:rPr>
          <w:t>Wates_Corporate_Governance_Principles_for_Large_Private_Companies.pdf</w:t>
        </w:r>
      </w:hyperlink>
      <w:r w:rsidR="00F07165">
        <w:rPr>
          <w:bCs/>
          <w:sz w:val="24"/>
          <w:szCs w:val="24"/>
          <w:lang w:val="en-US"/>
        </w:rPr>
        <w:t xml:space="preserve">. </w:t>
      </w:r>
    </w:p>
    <w:p w14:paraId="7D779CDC" w14:textId="77777777" w:rsidR="00ED2B59" w:rsidRPr="00F53881" w:rsidRDefault="00ED2B59" w:rsidP="00ED2B59">
      <w:pPr>
        <w:adjustRightInd w:val="0"/>
        <w:spacing w:after="240"/>
        <w:jc w:val="both"/>
        <w:rPr>
          <w:bCs/>
          <w:sz w:val="24"/>
          <w:szCs w:val="24"/>
          <w:lang w:val="en-US"/>
        </w:rPr>
      </w:pPr>
      <w:r w:rsidRPr="00F53881">
        <w:rPr>
          <w:bCs/>
          <w:sz w:val="24"/>
          <w:szCs w:val="24"/>
          <w:lang w:val="en-US"/>
        </w:rPr>
        <w:t xml:space="preserve">Weil, David. 2014. The Fissured Workplace: Why Work Became So Bad for So Many and What Can Be Done to Improve It. Harvard University Press. </w:t>
      </w:r>
    </w:p>
    <w:p w14:paraId="70C9A758" w14:textId="77777777" w:rsidR="00ED2B59" w:rsidRDefault="00ED2B59" w:rsidP="00ED2B59">
      <w:pPr>
        <w:adjustRightInd w:val="0"/>
        <w:spacing w:after="240"/>
        <w:jc w:val="both"/>
        <w:rPr>
          <w:bCs/>
          <w:sz w:val="24"/>
          <w:szCs w:val="24"/>
          <w:lang w:val="en-US"/>
        </w:rPr>
      </w:pPr>
      <w:r w:rsidRPr="00F53881">
        <w:rPr>
          <w:bCs/>
          <w:sz w:val="24"/>
          <w:szCs w:val="24"/>
          <w:lang w:val="en-US"/>
        </w:rPr>
        <w:lastRenderedPageBreak/>
        <w:t xml:space="preserve">Whittaker, Meredith. 2020. “‘Those in Power Won’t Give Up Willingly:’ Veena Dubal and Meredith Whittaker on the Future of Organizing Under Prop 22.” OneZero (blog), November 5, 2020. </w:t>
      </w:r>
      <w:hyperlink r:id="rId77" w:history="1">
        <w:r w:rsidRPr="00F53881">
          <w:rPr>
            <w:rStyle w:val="Hyperlink"/>
            <w:bCs/>
            <w:sz w:val="24"/>
            <w:szCs w:val="24"/>
            <w:lang w:val="en-US"/>
          </w:rPr>
          <w:t>https://onezero.medium.com/prop-22-where-do-gig-workers-go-from-here-e6eaa3ee2324</w:t>
        </w:r>
      </w:hyperlink>
      <w:r w:rsidRPr="00F53881">
        <w:rPr>
          <w:bCs/>
          <w:sz w:val="24"/>
          <w:szCs w:val="24"/>
          <w:lang w:val="en-US"/>
        </w:rPr>
        <w:t xml:space="preserve">. </w:t>
      </w:r>
    </w:p>
    <w:p w14:paraId="26ADBB81" w14:textId="1CE5C59A" w:rsidR="00971928" w:rsidRPr="00F53881" w:rsidRDefault="00971928" w:rsidP="00ED2B59">
      <w:pPr>
        <w:adjustRightInd w:val="0"/>
        <w:spacing w:after="240"/>
        <w:jc w:val="both"/>
        <w:rPr>
          <w:bCs/>
          <w:sz w:val="24"/>
          <w:szCs w:val="24"/>
          <w:lang w:val="en-US"/>
        </w:rPr>
      </w:pPr>
      <w:r w:rsidRPr="00971928">
        <w:rPr>
          <w:bCs/>
          <w:sz w:val="24"/>
          <w:szCs w:val="24"/>
          <w:lang w:val="en-US"/>
        </w:rPr>
        <w:t>Williamson, O. E. (1981). The modern corporation: origins, evolution, attributes. Journal of economic literature, 19(4), 1537-1568.</w:t>
      </w:r>
    </w:p>
    <w:p w14:paraId="0325CBE4" w14:textId="77777777" w:rsidR="00ED2B59" w:rsidRDefault="00ED2B59" w:rsidP="00ED2B59">
      <w:pPr>
        <w:adjustRightInd w:val="0"/>
        <w:spacing w:after="240"/>
        <w:jc w:val="both"/>
        <w:rPr>
          <w:bCs/>
          <w:sz w:val="24"/>
          <w:szCs w:val="24"/>
          <w:lang w:val="mk-MK"/>
        </w:rPr>
      </w:pPr>
      <w:r w:rsidRPr="00F53881">
        <w:rPr>
          <w:bCs/>
          <w:sz w:val="24"/>
          <w:szCs w:val="24"/>
          <w:lang w:val="en-US"/>
        </w:rPr>
        <w:t>Woodcock, C. P., Beamish, P. W., &amp; Makino, S. (1994). Ownership-based entry mode strategies and international performance. Journal of International Business Studies, 25, 253–273.</w:t>
      </w:r>
    </w:p>
    <w:p w14:paraId="13BC5FB9" w14:textId="0817E68F" w:rsidR="000C14E1" w:rsidRPr="00EB327D" w:rsidRDefault="00EB327D" w:rsidP="00ED2B59">
      <w:pPr>
        <w:adjustRightInd w:val="0"/>
        <w:spacing w:after="240"/>
        <w:jc w:val="both"/>
        <w:rPr>
          <w:bCs/>
          <w:sz w:val="24"/>
          <w:szCs w:val="24"/>
          <w:lang w:val="mk-MK"/>
        </w:rPr>
      </w:pPr>
      <w:r w:rsidRPr="00EB327D">
        <w:rPr>
          <w:bCs/>
          <w:sz w:val="24"/>
          <w:szCs w:val="24"/>
          <w:lang w:val="mk-MK"/>
        </w:rPr>
        <w:t>Zybała, A. (2021). Direct Participation in Poland Compared with Other European Countries. Gospodarka Narodowa. The Polish Journal of Economics, 305(1), 9-31.</w:t>
      </w:r>
    </w:p>
    <w:p w14:paraId="43179C99" w14:textId="77777777" w:rsidR="00ED2B59" w:rsidRPr="00F53881" w:rsidRDefault="00ED2B59" w:rsidP="00ED2B59">
      <w:pPr>
        <w:adjustRightInd w:val="0"/>
        <w:spacing w:before="240" w:after="240"/>
        <w:jc w:val="both"/>
        <w:rPr>
          <w:bCs/>
          <w:sz w:val="24"/>
          <w:szCs w:val="24"/>
          <w:lang w:val="mk-MK"/>
        </w:rPr>
      </w:pPr>
      <w:r w:rsidRPr="00F53881">
        <w:rPr>
          <w:bCs/>
          <w:sz w:val="24"/>
          <w:szCs w:val="24"/>
          <w:lang w:val="mk-MK"/>
        </w:rPr>
        <w:t>Закон за трговските друштва („Службен весник на Република Македонија“ бр. 28/04, 84/05, 25/07, 87/08, 42/10, 48/10, 24/11, 166/12, 70/13, 119/13, 120/13, 187/13, 38/14, 41/14, 138/14, 88/15, 192/15, 6/16, 30/16, 61/16, 64/18 и 120/18 и „Службен весник на Република Северна Македонија“ бр. 290/20, 215/21 и 99/22).</w:t>
      </w:r>
    </w:p>
    <w:p w14:paraId="7BDF7AFC" w14:textId="77777777" w:rsidR="00ED2B59" w:rsidRPr="00F53881" w:rsidRDefault="00ED2B59" w:rsidP="00ED2B59">
      <w:pPr>
        <w:adjustRightInd w:val="0"/>
        <w:spacing w:before="240" w:after="240"/>
        <w:jc w:val="both"/>
        <w:rPr>
          <w:bCs/>
          <w:sz w:val="24"/>
          <w:szCs w:val="24"/>
          <w:lang w:val="mk-MK"/>
        </w:rPr>
      </w:pPr>
      <w:r w:rsidRPr="00F53881">
        <w:rPr>
          <w:bCs/>
          <w:sz w:val="24"/>
          <w:szCs w:val="24"/>
          <w:lang w:val="mk-MK"/>
        </w:rPr>
        <w:t>Нацрт предлог-Закон за трговските друштва (2024).</w:t>
      </w:r>
    </w:p>
    <w:p w14:paraId="477E1AD8" w14:textId="77777777" w:rsidR="00ED2B59" w:rsidRPr="00F53881" w:rsidRDefault="00ED2B59" w:rsidP="00ED2B59">
      <w:pPr>
        <w:adjustRightInd w:val="0"/>
        <w:spacing w:before="240" w:after="240"/>
        <w:jc w:val="both"/>
        <w:rPr>
          <w:bCs/>
          <w:sz w:val="24"/>
          <w:szCs w:val="24"/>
          <w:lang w:val="en-US"/>
        </w:rPr>
      </w:pPr>
      <w:r w:rsidRPr="00F53881">
        <w:rPr>
          <w:bCs/>
          <w:sz w:val="24"/>
          <w:szCs w:val="24"/>
          <w:lang w:val="mk-MK"/>
        </w:rPr>
        <w:t xml:space="preserve">Закони за трговските друштва на Босна и Херцеговина, Словенија, Србија, Хрватска и Црна Гора.  </w:t>
      </w:r>
    </w:p>
    <w:p w14:paraId="4BD8AFB4" w14:textId="77777777" w:rsidR="00ED2B59" w:rsidRPr="00F53881" w:rsidRDefault="00ED2B59" w:rsidP="00ED2B59">
      <w:pPr>
        <w:adjustRightInd w:val="0"/>
        <w:spacing w:before="240" w:after="240"/>
        <w:jc w:val="both"/>
        <w:rPr>
          <w:bCs/>
          <w:sz w:val="24"/>
          <w:szCs w:val="24"/>
          <w:lang w:val="en-US"/>
        </w:rPr>
      </w:pPr>
      <w:r w:rsidRPr="00F53881">
        <w:rPr>
          <w:bCs/>
          <w:sz w:val="24"/>
          <w:szCs w:val="24"/>
          <w:lang w:val="mk-MK"/>
        </w:rPr>
        <w:t>Закони за трговските друштва на Австралија, Австрија, Аргентина, Бразил, Германија, Франција, Италија, САД, ОК, Кина, Канада, Јапонија, Сингапур, Шпанија и релеванатната легислатива од Европската Унија.</w:t>
      </w:r>
    </w:p>
    <w:p w14:paraId="52D9610F" w14:textId="77777777" w:rsidR="00ED2B59" w:rsidRPr="00F53881" w:rsidRDefault="00ED2B59" w:rsidP="00ED2B59">
      <w:pPr>
        <w:adjustRightInd w:val="0"/>
        <w:spacing w:before="240" w:after="240"/>
        <w:jc w:val="both"/>
        <w:rPr>
          <w:bCs/>
          <w:sz w:val="24"/>
          <w:szCs w:val="24"/>
          <w:lang w:val="en-US"/>
        </w:rPr>
      </w:pPr>
      <w:r w:rsidRPr="00F53881">
        <w:rPr>
          <w:bCs/>
          <w:sz w:val="24"/>
          <w:szCs w:val="24"/>
          <w:lang w:val="en-US"/>
        </w:rPr>
        <w:t>Directive (EU) 2022/2381 of the European Parliament and of the Council of 23 November 2022 on improving the gender balance among directors of listed companies.</w:t>
      </w:r>
    </w:p>
    <w:p w14:paraId="1709D5BF" w14:textId="77777777" w:rsidR="00ED2B59" w:rsidRPr="00F53881" w:rsidRDefault="00ED2B59" w:rsidP="00ED2B59">
      <w:pPr>
        <w:adjustRightInd w:val="0"/>
        <w:spacing w:after="240"/>
        <w:jc w:val="both"/>
        <w:rPr>
          <w:sz w:val="24"/>
          <w:szCs w:val="24"/>
        </w:rPr>
      </w:pPr>
      <w:r w:rsidRPr="00F53881">
        <w:rPr>
          <w:sz w:val="24"/>
          <w:szCs w:val="24"/>
        </w:rPr>
        <w:t xml:space="preserve">Farnsworth, E. A. (1967). „Значењето“ во </w:t>
      </w:r>
      <w:r w:rsidRPr="00F53881">
        <w:rPr>
          <w:sz w:val="24"/>
          <w:szCs w:val="24"/>
          <w:lang w:val="mk-MK"/>
        </w:rPr>
        <w:t xml:space="preserve">трговското </w:t>
      </w:r>
      <w:r w:rsidRPr="00F53881">
        <w:rPr>
          <w:sz w:val="24"/>
          <w:szCs w:val="24"/>
        </w:rPr>
        <w:t>право. The Yale Law Journal, 76(5), 939-965.</w:t>
      </w:r>
    </w:p>
    <w:p w14:paraId="6F59B4C2" w14:textId="77777777" w:rsidR="00ED2B59" w:rsidRPr="00F53881" w:rsidRDefault="00ED2B59" w:rsidP="00ED2B59">
      <w:pPr>
        <w:adjustRightInd w:val="0"/>
        <w:spacing w:after="240"/>
        <w:jc w:val="both"/>
        <w:rPr>
          <w:sz w:val="24"/>
          <w:szCs w:val="24"/>
        </w:rPr>
      </w:pPr>
      <w:r w:rsidRPr="00F53881">
        <w:rPr>
          <w:sz w:val="24"/>
          <w:szCs w:val="24"/>
        </w:rPr>
        <w:t>Honnold, J. O. (1995). Uniform Laws for Internation</w:t>
      </w:r>
      <w:r w:rsidRPr="00F53881">
        <w:rPr>
          <w:sz w:val="24"/>
          <w:szCs w:val="24"/>
          <w:lang w:val="mk-MK"/>
        </w:rPr>
        <w:t>а</w:t>
      </w:r>
      <w:r w:rsidRPr="00F53881">
        <w:rPr>
          <w:sz w:val="24"/>
          <w:szCs w:val="24"/>
        </w:rPr>
        <w:t>l Trade: Early Care and Feeding for Uniform Growth. Int'l Trade &amp; Bus. LJ, 1, 1.</w:t>
      </w:r>
    </w:p>
    <w:p w14:paraId="5F787567" w14:textId="77777777" w:rsidR="00ED2B59" w:rsidRPr="00F53881" w:rsidRDefault="00ED2B59" w:rsidP="00ED2B59">
      <w:pPr>
        <w:adjustRightInd w:val="0"/>
        <w:spacing w:after="240"/>
        <w:jc w:val="both"/>
        <w:rPr>
          <w:sz w:val="24"/>
          <w:szCs w:val="24"/>
          <w:lang w:val="en-US"/>
        </w:rPr>
      </w:pPr>
      <w:r w:rsidRPr="00F53881">
        <w:rPr>
          <w:sz w:val="24"/>
          <w:szCs w:val="24"/>
          <w:lang w:val="en-US"/>
        </w:rPr>
        <w:t>Вукадиновиќ, Р. (2012). Меѓународно деловно право. Крагуевац: Центар за право на Европската унија.</w:t>
      </w:r>
    </w:p>
    <w:p w14:paraId="5A32E917" w14:textId="77777777" w:rsidR="00ED2B59" w:rsidRDefault="00ED2B59" w:rsidP="00ED2B59">
      <w:pPr>
        <w:adjustRightInd w:val="0"/>
        <w:spacing w:after="240"/>
        <w:jc w:val="both"/>
        <w:rPr>
          <w:sz w:val="24"/>
          <w:szCs w:val="24"/>
          <w:lang w:val="mk-MK"/>
        </w:rPr>
      </w:pPr>
      <w:r w:rsidRPr="00F53881">
        <w:rPr>
          <w:sz w:val="24"/>
          <w:szCs w:val="24"/>
          <w:lang w:val="mk-MK"/>
        </w:rPr>
        <w:t xml:space="preserve">Веб-страница со достапност на пречистена верзија на законите во Република Македонија, вклучително и последните измени и дополнувања: </w:t>
      </w:r>
      <w:hyperlink r:id="rId78" w:history="1">
        <w:r w:rsidRPr="00F53881">
          <w:rPr>
            <w:rStyle w:val="Hyperlink"/>
            <w:sz w:val="24"/>
            <w:szCs w:val="24"/>
          </w:rPr>
          <w:t>dejure.mk/zakon/zakon</w:t>
        </w:r>
      </w:hyperlink>
      <w:r w:rsidRPr="00F53881">
        <w:rPr>
          <w:sz w:val="24"/>
          <w:szCs w:val="24"/>
          <w:lang w:val="mk-MK"/>
        </w:rPr>
        <w:t xml:space="preserve">. </w:t>
      </w:r>
    </w:p>
    <w:p w14:paraId="31A1FDF6" w14:textId="51B0A0F9" w:rsidR="002D3C97" w:rsidRDefault="002D3C97" w:rsidP="00ED2B59">
      <w:pPr>
        <w:adjustRightInd w:val="0"/>
        <w:spacing w:after="240"/>
        <w:jc w:val="both"/>
        <w:rPr>
          <w:sz w:val="24"/>
          <w:szCs w:val="24"/>
          <w:lang w:val="mk-MK"/>
        </w:rPr>
      </w:pPr>
      <w:r w:rsidRPr="002D3C97">
        <w:rPr>
          <w:sz w:val="24"/>
          <w:szCs w:val="24"/>
          <w:lang w:val="mk-MK"/>
        </w:rPr>
        <w:t xml:space="preserve">Centralni registar hartija od vrednosti. (2025). Statistika vlasništva akcionarskih društava. </w:t>
      </w:r>
      <w:hyperlink r:id="rId79" w:history="1">
        <w:r w:rsidRPr="005E09D8">
          <w:rPr>
            <w:rStyle w:val="Hyperlink"/>
            <w:sz w:val="24"/>
            <w:szCs w:val="24"/>
            <w:lang w:val="mk-MK"/>
          </w:rPr>
          <w:t>https://www.crhov.rs/</w:t>
        </w:r>
      </w:hyperlink>
      <w:r>
        <w:rPr>
          <w:sz w:val="24"/>
          <w:szCs w:val="24"/>
          <w:lang w:val="mk-MK"/>
        </w:rPr>
        <w:t xml:space="preserve"> </w:t>
      </w:r>
    </w:p>
    <w:p w14:paraId="39173073" w14:textId="45E60C6F" w:rsidR="00BB47BB" w:rsidRPr="00F53881" w:rsidRDefault="00BB47BB" w:rsidP="00ED2B59">
      <w:pPr>
        <w:adjustRightInd w:val="0"/>
        <w:spacing w:after="240"/>
        <w:jc w:val="both"/>
        <w:rPr>
          <w:sz w:val="24"/>
          <w:szCs w:val="24"/>
          <w:lang w:val="mk-MK"/>
        </w:rPr>
      </w:pPr>
      <w:r w:rsidRPr="00BB47BB">
        <w:rPr>
          <w:sz w:val="24"/>
          <w:szCs w:val="24"/>
          <w:lang w:val="mk-MK"/>
        </w:rPr>
        <w:t xml:space="preserve">NIS Investitori. (2025). Akcije i vlasnička struktura. </w:t>
      </w:r>
      <w:hyperlink r:id="rId80" w:history="1">
        <w:r w:rsidRPr="005E09D8">
          <w:rPr>
            <w:rStyle w:val="Hyperlink"/>
            <w:sz w:val="24"/>
            <w:szCs w:val="24"/>
            <w:lang w:val="mk-MK"/>
          </w:rPr>
          <w:t>https://ir.nis.rs/akcije-i-dividenda/akcije-i-vlasnicka-struktura/</w:t>
        </w:r>
      </w:hyperlink>
      <w:r>
        <w:rPr>
          <w:sz w:val="24"/>
          <w:szCs w:val="24"/>
          <w:lang w:val="mk-MK"/>
        </w:rPr>
        <w:t xml:space="preserve"> </w:t>
      </w:r>
    </w:p>
    <w:p w14:paraId="1C1787E3" w14:textId="77777777" w:rsidR="00ED2B59" w:rsidRPr="00451A81" w:rsidRDefault="00ED2B59" w:rsidP="00ED2B59">
      <w:pPr>
        <w:adjustRightInd w:val="0"/>
        <w:spacing w:after="240"/>
        <w:jc w:val="both"/>
        <w:rPr>
          <w:sz w:val="24"/>
          <w:szCs w:val="24"/>
          <w:lang w:val="mk-MK"/>
        </w:rPr>
      </w:pPr>
    </w:p>
    <w:p w14:paraId="4DC4D96B" w14:textId="502CAA8C" w:rsidR="00ED2B59" w:rsidRPr="004618DD" w:rsidRDefault="00ED2B59" w:rsidP="000B2834">
      <w:pPr>
        <w:pStyle w:val="Heading1"/>
        <w:ind w:left="0"/>
        <w:rPr>
          <w:sz w:val="28"/>
          <w:szCs w:val="28"/>
        </w:rPr>
      </w:pPr>
      <w:bookmarkStart w:id="138" w:name="_Toc230523991"/>
      <w:r w:rsidRPr="004618DD">
        <w:rPr>
          <w:sz w:val="28"/>
          <w:szCs w:val="28"/>
          <w:lang w:val="mk-MK"/>
        </w:rPr>
        <w:lastRenderedPageBreak/>
        <w:t>П</w:t>
      </w:r>
      <w:r w:rsidR="004618DD">
        <w:rPr>
          <w:sz w:val="28"/>
          <w:szCs w:val="28"/>
          <w:lang w:val="mk-MK"/>
        </w:rPr>
        <w:t>РИЛОЗИ</w:t>
      </w:r>
      <w:bookmarkEnd w:id="138"/>
    </w:p>
    <w:p w14:paraId="13D5C26E" w14:textId="77777777" w:rsidR="00ED2B59" w:rsidRPr="00F53881" w:rsidRDefault="00ED2B59" w:rsidP="005B6149">
      <w:pPr>
        <w:pStyle w:val="BodyText"/>
        <w:rPr>
          <w:lang w:val="mk-MK"/>
        </w:rPr>
      </w:pPr>
    </w:p>
    <w:p w14:paraId="0A90A04D" w14:textId="37568CC2" w:rsidR="00ED2B59" w:rsidRPr="00F53881" w:rsidRDefault="00ED2B59" w:rsidP="00F87AAD">
      <w:pPr>
        <w:pStyle w:val="Heading1"/>
        <w:jc w:val="both"/>
      </w:pPr>
      <w:bookmarkStart w:id="139" w:name="_Toc230523992"/>
      <w:r w:rsidRPr="00F53881">
        <w:rPr>
          <w:lang w:val="mk-MK"/>
        </w:rPr>
        <w:t>Прилог 1</w:t>
      </w:r>
      <w:r w:rsidR="00D32210">
        <w:rPr>
          <w:lang w:val="mk-MK"/>
        </w:rPr>
        <w:t>:</w:t>
      </w:r>
      <w:r w:rsidRPr="00F53881">
        <w:rPr>
          <w:lang w:val="en-US"/>
        </w:rPr>
        <w:t xml:space="preserve"> </w:t>
      </w:r>
      <w:r w:rsidRPr="00F53881">
        <w:rPr>
          <w:lang w:val="mk-MK"/>
        </w:rPr>
        <w:t xml:space="preserve">Институции и организации </w:t>
      </w:r>
      <w:r w:rsidR="00F87AAD">
        <w:rPr>
          <w:lang w:val="mk-MK"/>
        </w:rPr>
        <w:t>вклучени</w:t>
      </w:r>
      <w:r w:rsidRPr="00F53881">
        <w:rPr>
          <w:lang w:val="mk-MK"/>
        </w:rPr>
        <w:t xml:space="preserve"> во корпоративното управување</w:t>
      </w:r>
      <w:bookmarkEnd w:id="139"/>
    </w:p>
    <w:p w14:paraId="69624F23" w14:textId="77777777" w:rsidR="00ED2B59" w:rsidRPr="00F53881" w:rsidRDefault="00ED2B59" w:rsidP="00ED2B59">
      <w:pPr>
        <w:pStyle w:val="BodyText"/>
        <w:jc w:val="center"/>
        <w:rPr>
          <w:lang w:val="mk-MK"/>
        </w:rPr>
      </w:pPr>
    </w:p>
    <w:p w14:paraId="7B82CF26" w14:textId="77777777" w:rsidR="00ED2B59" w:rsidRPr="00F53881" w:rsidRDefault="00ED2B59" w:rsidP="00ED2B59">
      <w:pPr>
        <w:pStyle w:val="BodyText"/>
        <w:jc w:val="center"/>
        <w:rPr>
          <w:lang w:val="mk-MK"/>
        </w:rPr>
      </w:pPr>
    </w:p>
    <w:p w14:paraId="6451D20C" w14:textId="77777777" w:rsidR="00ED2B59" w:rsidRPr="00F53881" w:rsidRDefault="00ED2B59" w:rsidP="00ED2B59">
      <w:pPr>
        <w:pStyle w:val="BodyText"/>
        <w:jc w:val="center"/>
        <w:rPr>
          <w:lang w:val="mk-MK"/>
        </w:rPr>
      </w:pPr>
      <w:r w:rsidRPr="00F53881">
        <w:rPr>
          <w:noProof/>
          <w:lang w:val="en-US"/>
        </w:rPr>
        <w:drawing>
          <wp:inline distT="0" distB="0" distL="0" distR="0" wp14:anchorId="29601694" wp14:editId="664EF80A">
            <wp:extent cx="4045585" cy="4959985"/>
            <wp:effectExtent l="0" t="0" r="0" b="0"/>
            <wp:docPr id="404224629"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1">
                      <a:extLst>
                        <a:ext uri="{28A0092B-C50C-407E-A947-70E740481C1C}">
                          <a14:useLocalDpi xmlns:a14="http://schemas.microsoft.com/office/drawing/2010/main" val="0"/>
                        </a:ext>
                      </a:extLst>
                    </a:blip>
                    <a:srcRect/>
                    <a:stretch>
                      <a:fillRect/>
                    </a:stretch>
                  </pic:blipFill>
                  <pic:spPr bwMode="auto">
                    <a:xfrm>
                      <a:off x="0" y="0"/>
                      <a:ext cx="4045585" cy="4959985"/>
                    </a:xfrm>
                    <a:prstGeom prst="rect">
                      <a:avLst/>
                    </a:prstGeom>
                    <a:noFill/>
                    <a:ln>
                      <a:noFill/>
                    </a:ln>
                  </pic:spPr>
                </pic:pic>
              </a:graphicData>
            </a:graphic>
          </wp:inline>
        </w:drawing>
      </w:r>
    </w:p>
    <w:p w14:paraId="31F41045" w14:textId="77777777" w:rsidR="00ED2B59" w:rsidRPr="00F53881" w:rsidRDefault="00ED2B59" w:rsidP="00ED2B59">
      <w:pPr>
        <w:pStyle w:val="BodyText"/>
        <w:jc w:val="center"/>
        <w:rPr>
          <w:b/>
          <w:bCs/>
          <w:lang w:val="mk-MK"/>
        </w:rPr>
      </w:pPr>
    </w:p>
    <w:p w14:paraId="7B20EED8" w14:textId="77777777" w:rsidR="00ED2B59" w:rsidRPr="00F53881" w:rsidRDefault="00ED2B59" w:rsidP="00ED2B59">
      <w:pPr>
        <w:pStyle w:val="BodyText"/>
        <w:jc w:val="center"/>
        <w:rPr>
          <w:lang w:val="mk-MK"/>
        </w:rPr>
      </w:pPr>
      <w:r w:rsidRPr="00F53881">
        <w:rPr>
          <w:lang w:val="mk-MK"/>
        </w:rPr>
        <w:t xml:space="preserve">Извор: </w:t>
      </w:r>
      <w:r w:rsidRPr="00F53881">
        <w:rPr>
          <w:i/>
          <w:iCs/>
          <w:lang w:val="mk-MK"/>
        </w:rPr>
        <w:t>Коевски Г. (2011), страници број 40-41.</w:t>
      </w:r>
    </w:p>
    <w:p w14:paraId="3977D51F" w14:textId="77777777" w:rsidR="00ED2B59" w:rsidRDefault="00ED2B59" w:rsidP="00717CC3">
      <w:pPr>
        <w:pStyle w:val="BodyText"/>
        <w:rPr>
          <w:lang w:val="mk-MK"/>
        </w:rPr>
      </w:pPr>
    </w:p>
    <w:p w14:paraId="3FA01077" w14:textId="77777777" w:rsidR="00717CC3" w:rsidRDefault="00717CC3" w:rsidP="00717CC3">
      <w:pPr>
        <w:pStyle w:val="BodyText"/>
        <w:rPr>
          <w:lang w:val="mk-MK"/>
        </w:rPr>
      </w:pPr>
      <w:r w:rsidRPr="00717CC3">
        <w:rPr>
          <w:b/>
          <w:bCs/>
          <w:lang w:val="mk-MK"/>
        </w:rPr>
        <w:t>Методолошка белешка</w:t>
      </w:r>
      <w:r w:rsidRPr="00717CC3">
        <w:rPr>
          <w:lang w:val="mk-MK"/>
        </w:rPr>
        <w:t xml:space="preserve"> </w:t>
      </w:r>
    </w:p>
    <w:p w14:paraId="6FDBE50E" w14:textId="77777777" w:rsidR="00F86649" w:rsidRDefault="00717CC3" w:rsidP="00717CC3">
      <w:pPr>
        <w:pStyle w:val="BodyText"/>
        <w:spacing w:after="240"/>
        <w:jc w:val="both"/>
        <w:rPr>
          <w:lang w:val="mk-MK"/>
        </w:rPr>
      </w:pPr>
      <w:r w:rsidRPr="00717CC3">
        <w:rPr>
          <w:lang w:val="mk-MK"/>
        </w:rPr>
        <w:t>Овој прилог обезбедува мапирање на клучните институции и организации вклучени во системот на корпоративно управување во Македонија, врз основа на секундарен извор. Класификацијата е преземена од Коевски (2011) и е структурирана според секторска припадност</w:t>
      </w:r>
      <w:r w:rsidR="00B172AF">
        <w:rPr>
          <w:lang w:val="mk-MK"/>
        </w:rPr>
        <w:t xml:space="preserve"> во следниот редослед</w:t>
      </w:r>
      <w:r w:rsidRPr="00717CC3">
        <w:rPr>
          <w:lang w:val="mk-MK"/>
        </w:rPr>
        <w:t xml:space="preserve">: јавен сектор, приватен сектор, останати организации, универзитетска јавност и меѓународни организации. Методологијата е описна и институционална, со фокус на формалните актери кои учествуваат во регулацијата, надзорот, саморегулацијата и промоцијата на корпоративното управување. </w:t>
      </w:r>
    </w:p>
    <w:p w14:paraId="653477D4" w14:textId="13D1BA11" w:rsidR="00717CC3" w:rsidRDefault="00717CC3" w:rsidP="00717CC3">
      <w:pPr>
        <w:pStyle w:val="BodyText"/>
        <w:spacing w:after="240"/>
        <w:jc w:val="both"/>
        <w:rPr>
          <w:lang w:val="mk-MK"/>
        </w:rPr>
      </w:pPr>
      <w:r w:rsidRPr="00717CC3">
        <w:rPr>
          <w:lang w:val="mk-MK"/>
        </w:rPr>
        <w:t>Прилогот не претставува емпириска анализа на реалната распределба на моќ, влијание или ефективност на наведените институции, туку служи како аналитичка основа за разбирање на нормативната и организациската архитектура на системот</w:t>
      </w:r>
      <w:r w:rsidR="00B172AF">
        <w:rPr>
          <w:lang w:val="mk-MK"/>
        </w:rPr>
        <w:t xml:space="preserve"> при читање на </w:t>
      </w:r>
      <w:r w:rsidR="00B172AF">
        <w:rPr>
          <w:lang w:val="mk-MK"/>
        </w:rPr>
        <w:lastRenderedPageBreak/>
        <w:t>докторската дисертација</w:t>
      </w:r>
      <w:r w:rsidRPr="00717CC3">
        <w:rPr>
          <w:lang w:val="mk-MK"/>
        </w:rPr>
        <w:t>. Податоците ја рефлектираат состојбата во периодот на изработка на изворот и се користат како референтна точка за понатамошна критичка и компаративна анализа во дисертацијата</w:t>
      </w:r>
      <w:r w:rsidR="00B172AF">
        <w:rPr>
          <w:lang w:val="mk-MK"/>
        </w:rPr>
        <w:t xml:space="preserve"> имајќи ги предвид предлог-членовите на новиот Закон за трговските друштва</w:t>
      </w:r>
      <w:r w:rsidRPr="00717CC3">
        <w:rPr>
          <w:lang w:val="mk-MK"/>
        </w:rPr>
        <w:t>.</w:t>
      </w:r>
    </w:p>
    <w:p w14:paraId="67156EF0" w14:textId="77777777" w:rsidR="00E27D2F" w:rsidRPr="00E27D2F" w:rsidRDefault="00E27D2F" w:rsidP="00E27D2F">
      <w:pPr>
        <w:pStyle w:val="BodyText"/>
        <w:jc w:val="both"/>
        <w:rPr>
          <w:b/>
          <w:bCs/>
          <w:lang w:val="mk-MK"/>
        </w:rPr>
      </w:pPr>
      <w:r w:rsidRPr="00E27D2F">
        <w:rPr>
          <w:b/>
          <w:bCs/>
          <w:lang w:val="mk-MK"/>
        </w:rPr>
        <w:t xml:space="preserve">Напомена </w:t>
      </w:r>
    </w:p>
    <w:p w14:paraId="704CF3CE" w14:textId="3437FEB1" w:rsidR="00E27D2F" w:rsidRDefault="00E27D2F" w:rsidP="00717CC3">
      <w:pPr>
        <w:pStyle w:val="BodyText"/>
        <w:spacing w:after="240"/>
        <w:jc w:val="both"/>
        <w:rPr>
          <w:lang w:val="mk-MK"/>
        </w:rPr>
      </w:pPr>
      <w:r w:rsidRPr="00E27D2F">
        <w:rPr>
          <w:lang w:val="mk-MK"/>
        </w:rPr>
        <w:t>Иако прилогот прикажува релативно широк и формално плуралистички институционален пејзаж, присуството на голем број актери не треба автоматски да се поистоветува со функционална рамнотежа или ефективна поделба на улоги. Во практиката, значителен дел од наведените институции имаат ограничена оперативна моќ, преклопувачки надлежности или претежно советодавна улога. Дополнително, учеството на претставници на трудот и вработените е институционално маргинализирано во однос на регулаторните и финансиските актери, што е релевантно за анализата на учеството на вработените во корпоративното управување.</w:t>
      </w:r>
    </w:p>
    <w:p w14:paraId="46295C89" w14:textId="04F23530" w:rsidR="00E27D2F" w:rsidRPr="00E27D2F" w:rsidRDefault="00E27D2F" w:rsidP="000129AB">
      <w:pPr>
        <w:pStyle w:val="BodyText"/>
        <w:jc w:val="both"/>
        <w:rPr>
          <w:b/>
          <w:bCs/>
          <w:lang w:val="mk-MK"/>
        </w:rPr>
      </w:pPr>
      <w:r w:rsidRPr="00E27D2F">
        <w:rPr>
          <w:b/>
          <w:bCs/>
          <w:lang w:val="mk-MK"/>
        </w:rPr>
        <w:t>Синтетички заклучок</w:t>
      </w:r>
    </w:p>
    <w:p w14:paraId="24E5C6CF" w14:textId="77777777" w:rsidR="00A05BC0" w:rsidRDefault="00B163B4" w:rsidP="00B163B4">
      <w:pPr>
        <w:pStyle w:val="BodyText"/>
        <w:jc w:val="both"/>
        <w:rPr>
          <w:lang w:val="mk-MK"/>
        </w:rPr>
      </w:pPr>
      <w:r w:rsidRPr="00B163B4">
        <w:rPr>
          <w:lang w:val="mk-MK"/>
        </w:rPr>
        <w:t>Прилогот јасно укажува дека македонскиот модел на корпоративно управување е изграден врз комплексна, но фрагментирана институционална структура, во која доминираат државните регулаторни тела и организации поврзани со пазарите на капитал, додека социјалните партнери и академската заедница имаат секундарна и индиректна улога. Овој институционален распоред ја одразува пошироката карактеристика на постсоцијалистичките системи, каде корпоративното управување е третирано пред сѐ како прашање на усогласување со меѓународни стандарди и инвестициска атрактивност, а помалку како алатка за внатрешна демократизација на фирмата.</w:t>
      </w:r>
    </w:p>
    <w:p w14:paraId="25421A56" w14:textId="26C08154" w:rsidR="00B163B4" w:rsidRPr="00F53881" w:rsidRDefault="00A05BC0" w:rsidP="00A05BC0">
      <w:pPr>
        <w:pStyle w:val="BodyText"/>
        <w:spacing w:before="240"/>
        <w:jc w:val="both"/>
        <w:rPr>
          <w:lang w:val="mk-MK"/>
        </w:rPr>
      </w:pPr>
      <w:r w:rsidRPr="00A05BC0">
        <w:rPr>
          <w:lang w:val="mk-MK"/>
        </w:rPr>
        <w:t xml:space="preserve">Отсуството на јасно институционализирани механизми за учество на вработените во рамките на оваа мрежа го зајакнува аргументот дека корпоративното управување во Македонија функционира претежно како технократска и регулаторна рамка, со ограничен капацитет за интернализација на социјалните ризици и интереси. Во тој контекст, прилогот не само што има описна вредност, туку и аналитичка функција, бидејќи ја поткрепува централната теза на дисертацијата за структурната неусогласеност </w:t>
      </w:r>
      <w:r w:rsidR="002D6170">
        <w:rPr>
          <w:lang w:val="mk-MK"/>
        </w:rPr>
        <w:t>по</w:t>
      </w:r>
      <w:r w:rsidRPr="00A05BC0">
        <w:rPr>
          <w:lang w:val="mk-MK"/>
        </w:rPr>
        <w:t>меѓу корпоративното управување и социјалната заштита.</w:t>
      </w:r>
    </w:p>
    <w:p w14:paraId="0AEADF24" w14:textId="77777777" w:rsidR="00ED2B59" w:rsidRPr="00F53881" w:rsidRDefault="00ED2B59" w:rsidP="000129AB">
      <w:pPr>
        <w:pStyle w:val="BodyText"/>
        <w:rPr>
          <w:lang w:val="mk-MK"/>
        </w:rPr>
      </w:pPr>
    </w:p>
    <w:p w14:paraId="6F7F0E10" w14:textId="77777777" w:rsidR="00ED2B59" w:rsidRPr="00F53881" w:rsidRDefault="00ED2B59" w:rsidP="00ED2B59">
      <w:pPr>
        <w:pStyle w:val="BodyText"/>
        <w:jc w:val="center"/>
        <w:rPr>
          <w:lang w:val="mk-MK"/>
        </w:rPr>
      </w:pPr>
    </w:p>
    <w:p w14:paraId="784B7F89" w14:textId="77777777" w:rsidR="00ED2B59" w:rsidRPr="00F53881" w:rsidRDefault="00ED2B59" w:rsidP="00ED2B59">
      <w:pPr>
        <w:pStyle w:val="BodyText"/>
        <w:jc w:val="center"/>
        <w:rPr>
          <w:lang w:val="mk-MK"/>
        </w:rPr>
      </w:pPr>
    </w:p>
    <w:p w14:paraId="03689133" w14:textId="77777777" w:rsidR="00ED2B59" w:rsidRPr="00F53881" w:rsidRDefault="00ED2B59" w:rsidP="00ED2B59">
      <w:pPr>
        <w:pStyle w:val="BodyText"/>
        <w:jc w:val="center"/>
        <w:rPr>
          <w:lang w:val="mk-MK"/>
        </w:rPr>
      </w:pPr>
    </w:p>
    <w:p w14:paraId="5D9710B1" w14:textId="77777777" w:rsidR="00ED2B59" w:rsidRPr="00F53881" w:rsidRDefault="00ED2B59" w:rsidP="00ED2B59">
      <w:pPr>
        <w:pStyle w:val="BodyText"/>
        <w:jc w:val="center"/>
        <w:rPr>
          <w:lang w:val="mk-MK"/>
        </w:rPr>
      </w:pPr>
    </w:p>
    <w:p w14:paraId="076834DD" w14:textId="77777777" w:rsidR="00ED2B59" w:rsidRPr="00F53881" w:rsidRDefault="00ED2B59" w:rsidP="00ED2B59">
      <w:pPr>
        <w:pStyle w:val="BodyText"/>
        <w:jc w:val="center"/>
        <w:rPr>
          <w:lang w:val="mk-MK"/>
        </w:rPr>
      </w:pPr>
    </w:p>
    <w:p w14:paraId="43C0BE9A" w14:textId="77777777" w:rsidR="00ED2B59" w:rsidRDefault="00ED2B59" w:rsidP="00ED2B59">
      <w:pPr>
        <w:pStyle w:val="BodyText"/>
        <w:jc w:val="center"/>
        <w:rPr>
          <w:lang w:val="mk-MK"/>
        </w:rPr>
      </w:pPr>
    </w:p>
    <w:p w14:paraId="0DC4B3E4" w14:textId="77777777" w:rsidR="00A05BC0" w:rsidRDefault="00A05BC0" w:rsidP="00ED2B59">
      <w:pPr>
        <w:pStyle w:val="BodyText"/>
        <w:jc w:val="center"/>
        <w:rPr>
          <w:lang w:val="mk-MK"/>
        </w:rPr>
      </w:pPr>
    </w:p>
    <w:p w14:paraId="06E6B947" w14:textId="77777777" w:rsidR="00A05BC0" w:rsidRDefault="00A05BC0" w:rsidP="00ED2B59">
      <w:pPr>
        <w:pStyle w:val="BodyText"/>
        <w:jc w:val="center"/>
        <w:rPr>
          <w:lang w:val="mk-MK"/>
        </w:rPr>
      </w:pPr>
    </w:p>
    <w:p w14:paraId="2FFBFE7A" w14:textId="77777777" w:rsidR="00A05BC0" w:rsidRDefault="00A05BC0" w:rsidP="00ED2B59">
      <w:pPr>
        <w:pStyle w:val="BodyText"/>
        <w:jc w:val="center"/>
        <w:rPr>
          <w:lang w:val="mk-MK"/>
        </w:rPr>
      </w:pPr>
    </w:p>
    <w:p w14:paraId="4A288899" w14:textId="77777777" w:rsidR="00A05BC0" w:rsidRDefault="00A05BC0" w:rsidP="00ED2B59">
      <w:pPr>
        <w:pStyle w:val="BodyText"/>
        <w:jc w:val="center"/>
        <w:rPr>
          <w:lang w:val="mk-MK"/>
        </w:rPr>
      </w:pPr>
    </w:p>
    <w:p w14:paraId="64515A5F" w14:textId="77777777" w:rsidR="00A05BC0" w:rsidRPr="00F53881" w:rsidRDefault="00A05BC0" w:rsidP="00ED2B59">
      <w:pPr>
        <w:pStyle w:val="BodyText"/>
        <w:jc w:val="center"/>
        <w:rPr>
          <w:lang w:val="mk-MK"/>
        </w:rPr>
      </w:pPr>
    </w:p>
    <w:p w14:paraId="545CFC40" w14:textId="77777777" w:rsidR="00ED2B59" w:rsidRPr="00F53881" w:rsidRDefault="00ED2B59" w:rsidP="00ED2B59">
      <w:pPr>
        <w:pStyle w:val="BodyText"/>
        <w:jc w:val="center"/>
        <w:rPr>
          <w:lang w:val="mk-MK"/>
        </w:rPr>
      </w:pPr>
    </w:p>
    <w:p w14:paraId="0E460915" w14:textId="77777777" w:rsidR="00ED2B59" w:rsidRPr="00F53881" w:rsidRDefault="00ED2B59" w:rsidP="00ED2B59">
      <w:pPr>
        <w:pStyle w:val="BodyText"/>
        <w:jc w:val="center"/>
        <w:rPr>
          <w:lang w:val="mk-MK"/>
        </w:rPr>
      </w:pPr>
    </w:p>
    <w:p w14:paraId="2FD71856" w14:textId="77777777" w:rsidR="00ED2B59" w:rsidRPr="00F53881" w:rsidRDefault="00ED2B59" w:rsidP="00ED2B59">
      <w:pPr>
        <w:pStyle w:val="BodyText"/>
        <w:jc w:val="center"/>
        <w:rPr>
          <w:lang w:val="mk-MK"/>
        </w:rPr>
      </w:pPr>
    </w:p>
    <w:p w14:paraId="08EC457F" w14:textId="77777777" w:rsidR="00ED2B59" w:rsidRPr="00F53881" w:rsidRDefault="00ED2B59" w:rsidP="00ED2B59">
      <w:pPr>
        <w:pStyle w:val="BodyText"/>
        <w:jc w:val="center"/>
        <w:rPr>
          <w:lang w:val="mk-MK"/>
        </w:rPr>
      </w:pPr>
    </w:p>
    <w:p w14:paraId="6B32CA83" w14:textId="26C659D8" w:rsidR="00ED2B59" w:rsidRPr="00F53881" w:rsidRDefault="00ED2B59" w:rsidP="00ED2B59">
      <w:pPr>
        <w:pStyle w:val="Heading1"/>
      </w:pPr>
      <w:bookmarkStart w:id="140" w:name="_Toc230523993"/>
      <w:r w:rsidRPr="00F53881">
        <w:lastRenderedPageBreak/>
        <w:t>Прилог 2</w:t>
      </w:r>
      <w:r w:rsidR="00D32210">
        <w:rPr>
          <w:lang w:val="mk-MK"/>
        </w:rPr>
        <w:t>:</w:t>
      </w:r>
      <w:r w:rsidRPr="00F53881">
        <w:t xml:space="preserve"> Разлики помеѓу трговските друштва и структура на органите на </w:t>
      </w:r>
      <w:r w:rsidRPr="00F53881">
        <w:rPr>
          <w:lang w:val="mk-MK"/>
        </w:rPr>
        <w:t>АД</w:t>
      </w:r>
      <w:bookmarkEnd w:id="140"/>
    </w:p>
    <w:p w14:paraId="168FF855" w14:textId="77777777" w:rsidR="00ED2B59" w:rsidRPr="00F53881" w:rsidRDefault="00ED2B59" w:rsidP="00ED2B59">
      <w:pPr>
        <w:pStyle w:val="BodyText"/>
        <w:jc w:val="center"/>
        <w:rPr>
          <w:lang w:val="mk-MK"/>
        </w:rPr>
      </w:pPr>
    </w:p>
    <w:p w14:paraId="2C36885B" w14:textId="77777777" w:rsidR="00ED2B59" w:rsidRPr="00F53881" w:rsidRDefault="00ED2B59" w:rsidP="00ED2B59">
      <w:pPr>
        <w:pStyle w:val="BodyText"/>
        <w:jc w:val="center"/>
        <w:rPr>
          <w:lang w:val="mk-MK"/>
        </w:rPr>
      </w:pPr>
    </w:p>
    <w:p w14:paraId="4319DCBB" w14:textId="77777777" w:rsidR="00ED2B59" w:rsidRPr="00F53881" w:rsidRDefault="00ED2B59" w:rsidP="00ED2B59">
      <w:pPr>
        <w:pStyle w:val="BodyText"/>
        <w:jc w:val="center"/>
      </w:pPr>
      <w:r w:rsidRPr="00F53881">
        <w:rPr>
          <w:noProof/>
        </w:rPr>
        <w:drawing>
          <wp:inline distT="0" distB="0" distL="0" distR="0" wp14:anchorId="7E8E9463" wp14:editId="3EDF845D">
            <wp:extent cx="4115374" cy="4020111"/>
            <wp:effectExtent l="0" t="0" r="0" b="0"/>
            <wp:docPr id="140628268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06282686" name=""/>
                    <pic:cNvPicPr/>
                  </pic:nvPicPr>
                  <pic:blipFill>
                    <a:blip r:embed="rId82"/>
                    <a:stretch>
                      <a:fillRect/>
                    </a:stretch>
                  </pic:blipFill>
                  <pic:spPr>
                    <a:xfrm>
                      <a:off x="0" y="0"/>
                      <a:ext cx="4115374" cy="4020111"/>
                    </a:xfrm>
                    <a:prstGeom prst="rect">
                      <a:avLst/>
                    </a:prstGeom>
                  </pic:spPr>
                </pic:pic>
              </a:graphicData>
            </a:graphic>
          </wp:inline>
        </w:drawing>
      </w:r>
    </w:p>
    <w:p w14:paraId="5235CB52" w14:textId="77777777" w:rsidR="00ED2B59" w:rsidRPr="00F53881" w:rsidRDefault="00ED2B59" w:rsidP="00ED2B59">
      <w:pPr>
        <w:pStyle w:val="BodyText"/>
        <w:jc w:val="center"/>
        <w:rPr>
          <w:lang w:val="mk-MK"/>
        </w:rPr>
      </w:pPr>
    </w:p>
    <w:p w14:paraId="74C5FD60" w14:textId="77777777" w:rsidR="00ED2B59" w:rsidRPr="00F53881" w:rsidRDefault="00ED2B59" w:rsidP="00ED2B59">
      <w:pPr>
        <w:pStyle w:val="BodyText"/>
        <w:jc w:val="center"/>
        <w:rPr>
          <w:lang w:val="mk-MK"/>
        </w:rPr>
      </w:pPr>
      <w:r w:rsidRPr="00F53881">
        <w:rPr>
          <w:lang w:val="mk-MK"/>
        </w:rPr>
        <w:t xml:space="preserve">Извор: </w:t>
      </w:r>
      <w:r w:rsidRPr="00F53881">
        <w:rPr>
          <w:i/>
          <w:iCs/>
          <w:lang w:val="mk-MK"/>
        </w:rPr>
        <w:t>Коевски Г. (2011), страница број 43.</w:t>
      </w:r>
    </w:p>
    <w:p w14:paraId="6A963DFD" w14:textId="77777777" w:rsidR="00ED2B59" w:rsidRDefault="00ED2B59" w:rsidP="00F42350">
      <w:pPr>
        <w:pStyle w:val="BodyText"/>
        <w:rPr>
          <w:lang w:val="mk-MK"/>
        </w:rPr>
      </w:pPr>
    </w:p>
    <w:p w14:paraId="298AD43C" w14:textId="77777777" w:rsidR="00F86649" w:rsidRDefault="00F86649" w:rsidP="00F86649">
      <w:pPr>
        <w:pStyle w:val="BodyText"/>
        <w:rPr>
          <w:lang w:val="mk-MK"/>
        </w:rPr>
      </w:pPr>
      <w:r w:rsidRPr="00717CC3">
        <w:rPr>
          <w:b/>
          <w:bCs/>
          <w:lang w:val="mk-MK"/>
        </w:rPr>
        <w:t>Методолошка белешка</w:t>
      </w:r>
      <w:r w:rsidRPr="00717CC3">
        <w:rPr>
          <w:lang w:val="mk-MK"/>
        </w:rPr>
        <w:t xml:space="preserve"> </w:t>
      </w:r>
    </w:p>
    <w:p w14:paraId="7C7A4D25" w14:textId="5C156492" w:rsidR="004608ED" w:rsidRDefault="00F86649" w:rsidP="004608ED">
      <w:pPr>
        <w:pStyle w:val="BodyText"/>
        <w:jc w:val="both"/>
        <w:rPr>
          <w:lang w:val="mk-MK"/>
        </w:rPr>
      </w:pPr>
      <w:r w:rsidRPr="00F86649">
        <w:rPr>
          <w:lang w:val="mk-MK"/>
        </w:rPr>
        <w:t>Овој прилог прикажува нормативна типологија на акционерските друштва во Македонија, врз основа на критериуми утврдени во Законот за трговските друштва и подзаконската регулатива, како што е систематизиран</w:t>
      </w:r>
      <w:r w:rsidR="004608ED">
        <w:rPr>
          <w:lang w:val="mk-MK"/>
        </w:rPr>
        <w:t>о</w:t>
      </w:r>
      <w:r w:rsidRPr="00F86649">
        <w:rPr>
          <w:lang w:val="mk-MK"/>
        </w:rPr>
        <w:t xml:space="preserve"> од Коевски (2011). Табелата ги разликува котираните друштва</w:t>
      </w:r>
      <w:r w:rsidR="00037510">
        <w:rPr>
          <w:lang w:val="mk-MK"/>
        </w:rPr>
        <w:t>,</w:t>
      </w:r>
      <w:r w:rsidRPr="00F86649">
        <w:rPr>
          <w:lang w:val="mk-MK"/>
        </w:rPr>
        <w:t xml:space="preserve"> суперкотирани и берзански котирани, јавно поседуваните друштва и останатите акционерски друштва, преку клучни правни параметри: минимален број на акционери, минимална основна главнина, обврски за слободен промет на акции и обем на објавување информации. </w:t>
      </w:r>
    </w:p>
    <w:p w14:paraId="75A72D89" w14:textId="10CF519A" w:rsidR="00F86649" w:rsidRDefault="00F86649" w:rsidP="004608ED">
      <w:pPr>
        <w:pStyle w:val="BodyText"/>
        <w:spacing w:before="240"/>
        <w:jc w:val="both"/>
        <w:rPr>
          <w:lang w:val="mk-MK"/>
        </w:rPr>
      </w:pPr>
      <w:r w:rsidRPr="00F86649">
        <w:rPr>
          <w:lang w:val="mk-MK"/>
        </w:rPr>
        <w:t>Методолошки, прилогот има нормативно дескриптивен карактер. Тој ги рефлектира формалните законски барања и не претендира да ја прикаже фактичката состојба на пазарот, ниту степенот на усогласеност на поединечните друштва со пропишаните стандарди. Прилогот служи како структурна основа за анализа на корпоративното управување во акционерските друштва и за идентификација на просторот во кој можат да се воведат механизми за учество на вработените.</w:t>
      </w:r>
    </w:p>
    <w:p w14:paraId="2D296A55" w14:textId="7C16C655" w:rsidR="00CA4D51" w:rsidRDefault="00CA4D51" w:rsidP="004608ED">
      <w:pPr>
        <w:pStyle w:val="BodyText"/>
        <w:spacing w:before="240"/>
        <w:jc w:val="both"/>
        <w:rPr>
          <w:b/>
          <w:bCs/>
          <w:lang w:val="mk-MK"/>
        </w:rPr>
      </w:pPr>
      <w:r>
        <w:rPr>
          <w:b/>
          <w:bCs/>
          <w:lang w:val="mk-MK"/>
        </w:rPr>
        <w:t>Напомена</w:t>
      </w:r>
    </w:p>
    <w:p w14:paraId="3AD5356A" w14:textId="411A2BBD" w:rsidR="00CA4D51" w:rsidRDefault="00D40093" w:rsidP="00CA4D51">
      <w:pPr>
        <w:pStyle w:val="BodyText"/>
        <w:jc w:val="both"/>
        <w:rPr>
          <w:lang w:val="mk-MK"/>
        </w:rPr>
      </w:pPr>
      <w:r w:rsidRPr="00D40093">
        <w:rPr>
          <w:lang w:val="mk-MK"/>
        </w:rPr>
        <w:t>Иако табелата укажува на значајни разлики во регулаторните барања помеѓу различните категории акционерски друштва, таа истовремено открива и клучна константа</w:t>
      </w:r>
      <w:r w:rsidR="00476945">
        <w:rPr>
          <w:lang w:val="mk-MK"/>
        </w:rPr>
        <w:t>. Тоа е фактот што</w:t>
      </w:r>
      <w:r w:rsidRPr="00D40093">
        <w:rPr>
          <w:lang w:val="mk-MK"/>
        </w:rPr>
        <w:t xml:space="preserve"> структурата на органите на управување е униформно дефинирана, без оглед </w:t>
      </w:r>
      <w:r w:rsidRPr="00D40093">
        <w:rPr>
          <w:lang w:val="mk-MK"/>
        </w:rPr>
        <w:lastRenderedPageBreak/>
        <w:t>на степенот на јавен интерес, распространетоста на сопственоста или економската тежина на друштвото. Во сите категории, учеството на вработените не е предвидено како задолжителен елемент на корпоративната структура, туку останува надвор од нормативното јадро на управувањето.</w:t>
      </w:r>
    </w:p>
    <w:p w14:paraId="1E361A65" w14:textId="0E6A5E57" w:rsidR="00476945" w:rsidRDefault="0073447F" w:rsidP="00476945">
      <w:pPr>
        <w:pStyle w:val="BodyText"/>
        <w:spacing w:before="240"/>
        <w:jc w:val="both"/>
        <w:rPr>
          <w:lang w:val="mk-MK"/>
        </w:rPr>
      </w:pPr>
      <w:r w:rsidRPr="0073447F">
        <w:rPr>
          <w:lang w:val="mk-MK"/>
        </w:rPr>
        <w:t>Дополнително, повисоките барања за транспарентност и објавување информации кај котираните друштва не се проследени со засилени механизми на внатрешна отчетност кон вработените, што ја нагласува доминацијата на акционерскиот и инвеститорскиот интерес во регулаторната логика.</w:t>
      </w:r>
    </w:p>
    <w:p w14:paraId="00D64349" w14:textId="0B8A2A1D" w:rsidR="0073447F" w:rsidRPr="0073447F" w:rsidRDefault="0073447F" w:rsidP="00476945">
      <w:pPr>
        <w:pStyle w:val="BodyText"/>
        <w:spacing w:before="240"/>
        <w:jc w:val="both"/>
        <w:rPr>
          <w:b/>
          <w:bCs/>
          <w:lang w:val="mk-MK"/>
        </w:rPr>
      </w:pPr>
      <w:r w:rsidRPr="0073447F">
        <w:rPr>
          <w:b/>
          <w:bCs/>
          <w:lang w:val="mk-MK"/>
        </w:rPr>
        <w:t>Синтетички заклучок</w:t>
      </w:r>
    </w:p>
    <w:p w14:paraId="072FAE38" w14:textId="773A0E87" w:rsidR="00F42350" w:rsidRDefault="0073447F" w:rsidP="00F42350">
      <w:pPr>
        <w:pStyle w:val="BodyText"/>
        <w:jc w:val="both"/>
        <w:rPr>
          <w:lang w:val="mk-MK"/>
        </w:rPr>
      </w:pPr>
      <w:r w:rsidRPr="0073447F">
        <w:rPr>
          <w:lang w:val="mk-MK"/>
        </w:rPr>
        <w:t>Прилогот ја илустрира централната карактеристика на македонскиот модел на корпоративно управување</w:t>
      </w:r>
      <w:r w:rsidR="005A109E">
        <w:rPr>
          <w:lang w:val="mk-MK"/>
        </w:rPr>
        <w:t>, тоа е</w:t>
      </w:r>
      <w:r w:rsidRPr="0073447F">
        <w:rPr>
          <w:lang w:val="mk-MK"/>
        </w:rPr>
        <w:t xml:space="preserve"> силна</w:t>
      </w:r>
      <w:r w:rsidR="005A109E">
        <w:rPr>
          <w:lang w:val="mk-MK"/>
        </w:rPr>
        <w:t>та</w:t>
      </w:r>
      <w:r w:rsidRPr="0073447F">
        <w:rPr>
          <w:lang w:val="mk-MK"/>
        </w:rPr>
        <w:t xml:space="preserve"> диференцијација според пазарна изложеност и јавен интерес, комбинирана со слаба диференцијација во однос на внатрешната демократска структура на фирмата. Иако законодавецот воведува построги услови за котираните и јавно поседуваните друштва во поглед на капитал, акционерска структура и транспарентност, управувачката архитектура останува идентична и во суштина затворена за трудот како засегната страна.</w:t>
      </w:r>
    </w:p>
    <w:p w14:paraId="774CB897" w14:textId="3F48CA26" w:rsidR="0073447F" w:rsidRDefault="0073447F" w:rsidP="0073447F">
      <w:pPr>
        <w:pStyle w:val="BodyText"/>
        <w:spacing w:before="240"/>
        <w:jc w:val="both"/>
        <w:rPr>
          <w:lang w:val="mk-MK"/>
        </w:rPr>
      </w:pPr>
      <w:r w:rsidRPr="0073447F">
        <w:rPr>
          <w:lang w:val="mk-MK"/>
        </w:rPr>
        <w:t xml:space="preserve">Оваа униформност има директни импликации за темата на дисертацијата. Таа укажува дека македонскиот правен систем </w:t>
      </w:r>
      <w:r w:rsidR="0011092F">
        <w:rPr>
          <w:lang w:val="mk-MK"/>
        </w:rPr>
        <w:t>го</w:t>
      </w:r>
      <w:r w:rsidRPr="0073447F">
        <w:rPr>
          <w:lang w:val="mk-MK"/>
        </w:rPr>
        <w:t xml:space="preserve"> третира </w:t>
      </w:r>
      <w:r w:rsidR="0011092F">
        <w:rPr>
          <w:lang w:val="mk-MK"/>
        </w:rPr>
        <w:t>друштвото</w:t>
      </w:r>
      <w:r w:rsidRPr="0073447F">
        <w:rPr>
          <w:lang w:val="mk-MK"/>
        </w:rPr>
        <w:t xml:space="preserve"> пред сѐ како објект на пазарна регулација, а не како социјална институција во која се распределуваат ризици, моќ и одговорности. Отсуството на диференциран пристап кон управувањето, особено кај големите и котирани друштва, ја ограничува можноста за воведување на значајни модели на учество на вработените, било преку управувачките органи, било преку структурирани форми на сопственост. </w:t>
      </w:r>
    </w:p>
    <w:p w14:paraId="3B2B1D77" w14:textId="5E050BBA" w:rsidR="000F2444" w:rsidRDefault="0073447F" w:rsidP="0016039E">
      <w:pPr>
        <w:pStyle w:val="BodyText"/>
        <w:spacing w:before="240"/>
        <w:jc w:val="both"/>
        <w:rPr>
          <w:lang w:val="mk-MK"/>
        </w:rPr>
      </w:pPr>
      <w:r w:rsidRPr="0073447F">
        <w:rPr>
          <w:lang w:val="mk-MK"/>
        </w:rPr>
        <w:t>Во таа смисла, прилогот ја зајакнува тезата дека секоја идна реформа насочена кон зголемување на учеството на вработените во корпоративното управување во Македонија не може да се потпре исклучиво на зголемување на транспарентноста или пазарната дисциплина, туку мора да вклучи интервенции во самата структура на органите на акционерските друштва, особено кај оние со најголемо економско и социјално влијание.</w:t>
      </w:r>
    </w:p>
    <w:p w14:paraId="6E5B08C1" w14:textId="77777777" w:rsidR="000F2444" w:rsidRDefault="000F2444" w:rsidP="000F2444">
      <w:pPr>
        <w:pStyle w:val="BodyText"/>
        <w:spacing w:line="360" w:lineRule="auto"/>
        <w:jc w:val="both"/>
        <w:rPr>
          <w:lang w:val="mk-MK"/>
        </w:rPr>
      </w:pPr>
    </w:p>
    <w:p w14:paraId="01560E13" w14:textId="77777777" w:rsidR="000F2444" w:rsidRDefault="000F2444" w:rsidP="000F2444">
      <w:pPr>
        <w:pStyle w:val="BodyText"/>
        <w:spacing w:line="360" w:lineRule="auto"/>
        <w:jc w:val="both"/>
        <w:rPr>
          <w:lang w:val="mk-MK"/>
        </w:rPr>
      </w:pPr>
    </w:p>
    <w:p w14:paraId="4533D7A1" w14:textId="77777777" w:rsidR="000F2444" w:rsidRDefault="000F2444" w:rsidP="000F2444">
      <w:pPr>
        <w:pStyle w:val="BodyText"/>
        <w:spacing w:line="360" w:lineRule="auto"/>
        <w:jc w:val="both"/>
        <w:rPr>
          <w:lang w:val="mk-MK"/>
        </w:rPr>
      </w:pPr>
    </w:p>
    <w:p w14:paraId="76726772" w14:textId="77777777" w:rsidR="000F2444" w:rsidRDefault="000F2444" w:rsidP="000F2444">
      <w:pPr>
        <w:pStyle w:val="BodyText"/>
        <w:spacing w:line="360" w:lineRule="auto"/>
        <w:jc w:val="both"/>
        <w:rPr>
          <w:lang w:val="mk-MK"/>
        </w:rPr>
      </w:pPr>
    </w:p>
    <w:p w14:paraId="3BC5F6DE" w14:textId="77777777" w:rsidR="000F2444" w:rsidRDefault="000F2444" w:rsidP="000F2444">
      <w:pPr>
        <w:pStyle w:val="BodyText"/>
        <w:spacing w:line="360" w:lineRule="auto"/>
        <w:jc w:val="both"/>
        <w:rPr>
          <w:lang w:val="mk-MK"/>
        </w:rPr>
      </w:pPr>
    </w:p>
    <w:p w14:paraId="7412A58D" w14:textId="77777777" w:rsidR="000F2444" w:rsidRDefault="000F2444" w:rsidP="000F2444">
      <w:pPr>
        <w:pStyle w:val="BodyText"/>
        <w:spacing w:line="360" w:lineRule="auto"/>
        <w:jc w:val="both"/>
        <w:rPr>
          <w:lang w:val="mk-MK"/>
        </w:rPr>
      </w:pPr>
    </w:p>
    <w:p w14:paraId="7F59ACB7" w14:textId="77777777" w:rsidR="000E3A7D" w:rsidRDefault="000E3A7D" w:rsidP="000F2444">
      <w:pPr>
        <w:pStyle w:val="BodyText"/>
        <w:spacing w:line="360" w:lineRule="auto"/>
        <w:jc w:val="both"/>
        <w:rPr>
          <w:lang w:val="mk-MK"/>
        </w:rPr>
      </w:pPr>
    </w:p>
    <w:p w14:paraId="7BEF4E03" w14:textId="77777777" w:rsidR="000E3A7D" w:rsidRDefault="000E3A7D" w:rsidP="000F2444">
      <w:pPr>
        <w:pStyle w:val="BodyText"/>
        <w:spacing w:line="360" w:lineRule="auto"/>
        <w:jc w:val="both"/>
        <w:rPr>
          <w:lang w:val="mk-MK"/>
        </w:rPr>
      </w:pPr>
    </w:p>
    <w:p w14:paraId="0787A0AA" w14:textId="77777777" w:rsidR="000F2444" w:rsidRDefault="000F2444" w:rsidP="000F2444">
      <w:pPr>
        <w:pStyle w:val="BodyText"/>
        <w:spacing w:line="360" w:lineRule="auto"/>
        <w:jc w:val="both"/>
        <w:rPr>
          <w:lang w:val="mk-MK"/>
        </w:rPr>
      </w:pPr>
    </w:p>
    <w:p w14:paraId="0BEE779A" w14:textId="77777777" w:rsidR="000F2444" w:rsidRDefault="000F2444" w:rsidP="000F2444">
      <w:pPr>
        <w:pStyle w:val="BodyText"/>
        <w:spacing w:line="360" w:lineRule="auto"/>
        <w:jc w:val="both"/>
        <w:rPr>
          <w:lang w:val="mk-MK"/>
        </w:rPr>
      </w:pPr>
    </w:p>
    <w:p w14:paraId="7EF2D5EA" w14:textId="77777777" w:rsidR="000F2444" w:rsidRDefault="000F2444" w:rsidP="000F2444">
      <w:pPr>
        <w:pStyle w:val="BodyText"/>
        <w:spacing w:line="360" w:lineRule="auto"/>
        <w:jc w:val="both"/>
        <w:rPr>
          <w:lang w:val="mk-MK"/>
        </w:rPr>
      </w:pPr>
    </w:p>
    <w:p w14:paraId="4B4D9383" w14:textId="77777777" w:rsidR="000F2444" w:rsidRPr="000F2444" w:rsidRDefault="000F2444" w:rsidP="000F2444">
      <w:pPr>
        <w:pStyle w:val="BodyText"/>
        <w:spacing w:line="360" w:lineRule="auto"/>
        <w:jc w:val="both"/>
        <w:rPr>
          <w:lang w:val="mk-MK"/>
        </w:rPr>
      </w:pPr>
    </w:p>
    <w:p w14:paraId="3B5C6B82" w14:textId="0D75862E" w:rsidR="00023D41" w:rsidRPr="00D32210" w:rsidRDefault="00023D41" w:rsidP="00D32210">
      <w:pPr>
        <w:pStyle w:val="Heading1"/>
        <w:rPr>
          <w:lang w:val="mk-MK"/>
        </w:rPr>
      </w:pPr>
      <w:bookmarkStart w:id="141" w:name="_Toc230523994"/>
      <w:r w:rsidRPr="00F53881">
        <w:rPr>
          <w:lang w:val="mk-MK"/>
        </w:rPr>
        <w:lastRenderedPageBreak/>
        <w:t xml:space="preserve">Прилог </w:t>
      </w:r>
      <w:r w:rsidR="00D32210">
        <w:rPr>
          <w:lang w:val="en-US"/>
        </w:rPr>
        <w:t xml:space="preserve">3: </w:t>
      </w:r>
      <w:r w:rsidR="00D32210">
        <w:rPr>
          <w:lang w:val="mk-MK"/>
        </w:rPr>
        <w:t>Табеларен приказ и компаративна синтеза на моделите за вклучување на вработените во корпоративното управување</w:t>
      </w:r>
      <w:bookmarkEnd w:id="141"/>
      <w:r w:rsidR="00D32210">
        <w:rPr>
          <w:lang w:val="mk-MK"/>
        </w:rPr>
        <w:t xml:space="preserve"> </w:t>
      </w:r>
    </w:p>
    <w:p w14:paraId="55814F19" w14:textId="77777777" w:rsidR="00365B02" w:rsidRPr="009C37AD" w:rsidRDefault="00365B02" w:rsidP="00365B02">
      <w:pPr>
        <w:pStyle w:val="BodyText"/>
        <w:spacing w:line="360" w:lineRule="auto"/>
        <w:jc w:val="both"/>
        <w:rPr>
          <w:lang w:val="en-US"/>
        </w:rPr>
      </w:pPr>
    </w:p>
    <w:p w14:paraId="1893C9FA" w14:textId="41E51518" w:rsidR="000F2444" w:rsidRPr="00B34E9A" w:rsidRDefault="006376CD" w:rsidP="00B34E9A">
      <w:pPr>
        <w:ind w:left="-810"/>
        <w:rPr>
          <w:lang w:val="en-US"/>
        </w:rPr>
      </w:pPr>
      <w:r w:rsidRPr="006376CD">
        <w:rPr>
          <w:noProof/>
          <w:lang w:val="en-US"/>
        </w:rPr>
        <w:drawing>
          <wp:inline distT="0" distB="0" distL="0" distR="0" wp14:anchorId="69F0483F" wp14:editId="1EB62840">
            <wp:extent cx="6983127" cy="3486150"/>
            <wp:effectExtent l="0" t="0" r="8255" b="0"/>
            <wp:docPr id="1412993065" name="Picture 1" descr="A black background with white tex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12993065" name="Picture 1" descr="A black background with white text&#10;&#10;AI-generated content may be incorrect."/>
                    <pic:cNvPicPr/>
                  </pic:nvPicPr>
                  <pic:blipFill>
                    <a:blip r:embed="rId83"/>
                    <a:stretch>
                      <a:fillRect/>
                    </a:stretch>
                  </pic:blipFill>
                  <pic:spPr>
                    <a:xfrm>
                      <a:off x="0" y="0"/>
                      <a:ext cx="6993671" cy="3491414"/>
                    </a:xfrm>
                    <a:prstGeom prst="rect">
                      <a:avLst/>
                    </a:prstGeom>
                  </pic:spPr>
                </pic:pic>
              </a:graphicData>
            </a:graphic>
          </wp:inline>
        </w:drawing>
      </w:r>
    </w:p>
    <w:p w14:paraId="208AF4A1" w14:textId="300E8927" w:rsidR="009C37AD" w:rsidRDefault="009C37AD" w:rsidP="009C37AD">
      <w:pPr>
        <w:ind w:left="-810"/>
        <w:rPr>
          <w:lang w:val="mk-MK"/>
        </w:rPr>
      </w:pPr>
      <w:r w:rsidRPr="009C37AD">
        <w:rPr>
          <w:noProof/>
          <w:lang w:val="en-US"/>
        </w:rPr>
        <w:drawing>
          <wp:inline distT="0" distB="0" distL="0" distR="0" wp14:anchorId="38B069D2" wp14:editId="12AC1768">
            <wp:extent cx="7087153" cy="4057650"/>
            <wp:effectExtent l="0" t="0" r="5080" b="0"/>
            <wp:docPr id="2067094011"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67094011" name="Picture 1" descr="A screenshot of a computer&#10;&#10;AI-generated content may be incorrect."/>
                    <pic:cNvPicPr/>
                  </pic:nvPicPr>
                  <pic:blipFill>
                    <a:blip r:embed="rId84"/>
                    <a:stretch>
                      <a:fillRect/>
                    </a:stretch>
                  </pic:blipFill>
                  <pic:spPr>
                    <a:xfrm>
                      <a:off x="0" y="0"/>
                      <a:ext cx="7087153" cy="4057650"/>
                    </a:xfrm>
                    <a:prstGeom prst="rect">
                      <a:avLst/>
                    </a:prstGeom>
                  </pic:spPr>
                </pic:pic>
              </a:graphicData>
            </a:graphic>
          </wp:inline>
        </w:drawing>
      </w:r>
    </w:p>
    <w:p w14:paraId="603F7EA0" w14:textId="77777777" w:rsidR="00372CD5" w:rsidRDefault="00372CD5" w:rsidP="009C37AD">
      <w:pPr>
        <w:ind w:left="-810"/>
        <w:rPr>
          <w:lang w:val="mk-MK"/>
        </w:rPr>
      </w:pPr>
    </w:p>
    <w:p w14:paraId="02982C80" w14:textId="4A647144" w:rsidR="000F2444" w:rsidRPr="00D52194" w:rsidRDefault="000F2444" w:rsidP="00D52194">
      <w:pPr>
        <w:ind w:left="-810" w:firstLine="810"/>
        <w:jc w:val="center"/>
        <w:rPr>
          <w:i/>
          <w:iCs/>
          <w:sz w:val="24"/>
          <w:szCs w:val="24"/>
          <w:lang w:val="mk-MK"/>
        </w:rPr>
      </w:pPr>
      <w:r w:rsidRPr="00D52194">
        <w:rPr>
          <w:i/>
          <w:iCs/>
          <w:sz w:val="24"/>
          <w:szCs w:val="24"/>
          <w:lang w:val="mk-MK"/>
        </w:rPr>
        <w:t xml:space="preserve">Извор: истражувањето и податоците изнесени во докторската дисертација. </w:t>
      </w:r>
    </w:p>
    <w:p w14:paraId="64A519FC" w14:textId="77777777" w:rsidR="0016039E" w:rsidRDefault="00372CD5" w:rsidP="0016039E">
      <w:pPr>
        <w:jc w:val="both"/>
        <w:rPr>
          <w:sz w:val="24"/>
          <w:szCs w:val="24"/>
          <w:lang w:val="mk-MK"/>
        </w:rPr>
      </w:pPr>
      <w:r w:rsidRPr="00A05BC0">
        <w:rPr>
          <w:b/>
          <w:bCs/>
          <w:sz w:val="24"/>
          <w:szCs w:val="24"/>
          <w:lang w:val="mk-MK"/>
        </w:rPr>
        <w:lastRenderedPageBreak/>
        <w:t>Методолошка белешка</w:t>
      </w:r>
      <w:r w:rsidRPr="00A05BC0">
        <w:rPr>
          <w:sz w:val="24"/>
          <w:szCs w:val="24"/>
          <w:lang w:val="mk-MK"/>
        </w:rPr>
        <w:t xml:space="preserve"> </w:t>
      </w:r>
    </w:p>
    <w:p w14:paraId="7D054B5F" w14:textId="77777777" w:rsidR="00FD6F99" w:rsidRDefault="00372CD5" w:rsidP="0016039E">
      <w:pPr>
        <w:jc w:val="both"/>
        <w:rPr>
          <w:sz w:val="24"/>
          <w:szCs w:val="24"/>
          <w:lang w:val="mk-MK"/>
        </w:rPr>
      </w:pPr>
      <w:r w:rsidRPr="00A05BC0">
        <w:rPr>
          <w:sz w:val="24"/>
          <w:szCs w:val="24"/>
          <w:lang w:val="mk-MK"/>
        </w:rPr>
        <w:t xml:space="preserve">Оваа табела претставува синтетички компаративен преглед на доминантните модели на корпоративно управување и механизмите за вклучување на вработените во тринаесет избрани правни системи. Класификацијата на моделите како „едностепени“ или „двостепени“ се заснова на статистички доминантната практика кај акционерските друштва, а не на сите формално дозволени законски опции. Категоријата „учество на вработените во органите на друштвото“ опфаќа исклучиво институционализирано и правно засновано учество во управувачките или надзорните тела, додека информирањето и консултацијата се третираат како посебна, пониска форма на вклученост. </w:t>
      </w:r>
    </w:p>
    <w:p w14:paraId="61D4FEAD" w14:textId="77777777" w:rsidR="00A23944" w:rsidRDefault="00372CD5" w:rsidP="00FD6F99">
      <w:pPr>
        <w:spacing w:before="240"/>
        <w:jc w:val="both"/>
        <w:rPr>
          <w:sz w:val="24"/>
          <w:szCs w:val="24"/>
          <w:lang w:val="mk-MK"/>
        </w:rPr>
      </w:pPr>
      <w:r w:rsidRPr="00A05BC0">
        <w:rPr>
          <w:sz w:val="24"/>
          <w:szCs w:val="24"/>
          <w:lang w:val="mk-MK"/>
        </w:rPr>
        <w:t xml:space="preserve">Проценката на „реалното управувачко влијание“ не произлегува само од позитивното право, туку и од емпириски согледувања, судска практика, институционална култура и споредбени истражувања, вклучително и теренски истражувачки престои и интервјуа наведени во текстот на дисертацијата. </w:t>
      </w:r>
    </w:p>
    <w:p w14:paraId="31A9F392" w14:textId="4E900902" w:rsidR="00372CD5" w:rsidRDefault="00372CD5" w:rsidP="00FD6F99">
      <w:pPr>
        <w:spacing w:before="240"/>
        <w:jc w:val="both"/>
        <w:rPr>
          <w:sz w:val="24"/>
          <w:szCs w:val="24"/>
          <w:lang w:val="mk-MK"/>
        </w:rPr>
      </w:pPr>
      <w:r w:rsidRPr="00A05BC0">
        <w:rPr>
          <w:sz w:val="24"/>
          <w:szCs w:val="24"/>
          <w:lang w:val="mk-MK"/>
        </w:rPr>
        <w:t xml:space="preserve">Табелата не претендира да понуди нормативна хиерархија на моделите, туку да обезбеди аналитичка основа за </w:t>
      </w:r>
      <w:r w:rsidRPr="00A23944">
        <w:rPr>
          <w:i/>
          <w:iCs/>
          <w:sz w:val="24"/>
          <w:szCs w:val="24"/>
          <w:lang w:val="mk-MK"/>
        </w:rPr>
        <w:t>de lege ferenda</w:t>
      </w:r>
      <w:r w:rsidRPr="00A05BC0">
        <w:rPr>
          <w:sz w:val="24"/>
          <w:szCs w:val="24"/>
          <w:lang w:val="mk-MK"/>
        </w:rPr>
        <w:t xml:space="preserve"> размислување во македонскиот контекст, преку јасно разграничување </w:t>
      </w:r>
      <w:r w:rsidR="00A23944">
        <w:rPr>
          <w:sz w:val="24"/>
          <w:szCs w:val="24"/>
          <w:lang w:val="mk-MK"/>
        </w:rPr>
        <w:t>по</w:t>
      </w:r>
      <w:r w:rsidRPr="00A05BC0">
        <w:rPr>
          <w:sz w:val="24"/>
          <w:szCs w:val="24"/>
          <w:lang w:val="mk-MK"/>
        </w:rPr>
        <w:t>меѓу формалната правна рамка и нејзиниот реален ефект врз распределбата на моќта во рамките на трговските друштва.</w:t>
      </w:r>
    </w:p>
    <w:p w14:paraId="76295F4E" w14:textId="77777777" w:rsidR="00A05BC0" w:rsidRDefault="00A05BC0" w:rsidP="0016039E">
      <w:pPr>
        <w:jc w:val="both"/>
        <w:rPr>
          <w:sz w:val="24"/>
          <w:szCs w:val="24"/>
          <w:lang w:val="mk-MK"/>
        </w:rPr>
      </w:pPr>
    </w:p>
    <w:p w14:paraId="7D9AEB5D" w14:textId="77777777" w:rsidR="0016039E" w:rsidRPr="0016039E" w:rsidRDefault="00A05BC0" w:rsidP="0016039E">
      <w:pPr>
        <w:jc w:val="both"/>
        <w:rPr>
          <w:b/>
          <w:bCs/>
          <w:sz w:val="24"/>
          <w:szCs w:val="24"/>
          <w:lang w:val="mk-MK"/>
        </w:rPr>
      </w:pPr>
      <w:r w:rsidRPr="0016039E">
        <w:rPr>
          <w:b/>
          <w:bCs/>
          <w:sz w:val="24"/>
          <w:szCs w:val="24"/>
          <w:lang w:val="mk-MK"/>
        </w:rPr>
        <w:t xml:space="preserve">Напомена </w:t>
      </w:r>
    </w:p>
    <w:p w14:paraId="3506A6D5" w14:textId="17951346" w:rsidR="00B20037" w:rsidRPr="0016039E" w:rsidRDefault="00A05BC0" w:rsidP="0016039E">
      <w:pPr>
        <w:jc w:val="both"/>
        <w:rPr>
          <w:sz w:val="24"/>
          <w:szCs w:val="24"/>
          <w:lang w:val="mk-MK"/>
        </w:rPr>
      </w:pPr>
      <w:r w:rsidRPr="00A05BC0">
        <w:rPr>
          <w:sz w:val="24"/>
          <w:szCs w:val="24"/>
          <w:lang w:val="mk-MK"/>
        </w:rPr>
        <w:t>Оваа табела служи како синтетички компаративен референтен инструмент, прикажувајќи дека само Германија обезбедува трајно и ефективно управувачко учество на вработените</w:t>
      </w:r>
      <w:r w:rsidR="00D868C6">
        <w:rPr>
          <w:sz w:val="24"/>
          <w:szCs w:val="24"/>
          <w:lang w:val="mk-MK"/>
        </w:rPr>
        <w:t>.</w:t>
      </w:r>
      <w:r w:rsidRPr="00A05BC0">
        <w:rPr>
          <w:sz w:val="24"/>
          <w:szCs w:val="24"/>
          <w:lang w:val="mk-MK"/>
        </w:rPr>
        <w:t xml:space="preserve"> </w:t>
      </w:r>
      <w:r w:rsidR="00D868C6">
        <w:rPr>
          <w:sz w:val="24"/>
          <w:szCs w:val="24"/>
          <w:lang w:val="mk-MK"/>
        </w:rPr>
        <w:t>А</w:t>
      </w:r>
      <w:r w:rsidRPr="00A05BC0">
        <w:rPr>
          <w:sz w:val="24"/>
          <w:szCs w:val="24"/>
          <w:lang w:val="mk-MK"/>
        </w:rPr>
        <w:t xml:space="preserve">нглоамериканските модели ја заменуваат демократијата со сопственост без моќ, постсоцијалистичките системи остануваат институционално недовршени, Кина и Јапонија нудат алтернативи што не се нормативно применливи </w:t>
      </w:r>
      <w:r w:rsidR="00D868C6">
        <w:rPr>
          <w:sz w:val="24"/>
          <w:szCs w:val="24"/>
          <w:lang w:val="mk-MK"/>
        </w:rPr>
        <w:t>во</w:t>
      </w:r>
      <w:r w:rsidRPr="00A05BC0">
        <w:rPr>
          <w:sz w:val="24"/>
          <w:szCs w:val="24"/>
          <w:lang w:val="mk-MK"/>
        </w:rPr>
        <w:t xml:space="preserve"> ЕУ-контекст, </w:t>
      </w:r>
      <w:r w:rsidR="00D868C6">
        <w:rPr>
          <w:sz w:val="24"/>
          <w:szCs w:val="24"/>
          <w:lang w:val="mk-MK"/>
        </w:rPr>
        <w:t>а</w:t>
      </w:r>
      <w:r w:rsidRPr="00A05BC0">
        <w:rPr>
          <w:sz w:val="24"/>
          <w:szCs w:val="24"/>
          <w:lang w:val="mk-MK"/>
        </w:rPr>
        <w:t xml:space="preserve"> Македонија има простор за селективна, но храбра</w:t>
      </w:r>
      <w:r w:rsidR="00D868C6">
        <w:rPr>
          <w:sz w:val="24"/>
          <w:szCs w:val="24"/>
          <w:lang w:val="mk-MK"/>
        </w:rPr>
        <w:t xml:space="preserve"> и одлучувачка</w:t>
      </w:r>
      <w:r w:rsidRPr="00A05BC0">
        <w:rPr>
          <w:sz w:val="24"/>
          <w:szCs w:val="24"/>
          <w:lang w:val="mk-MK"/>
        </w:rPr>
        <w:t xml:space="preserve"> реформа.</w:t>
      </w:r>
    </w:p>
    <w:p w14:paraId="5B85FC3A" w14:textId="77777777" w:rsidR="0016039E" w:rsidRDefault="00B20037" w:rsidP="0016039E">
      <w:pPr>
        <w:spacing w:before="240"/>
        <w:jc w:val="both"/>
        <w:rPr>
          <w:sz w:val="24"/>
          <w:szCs w:val="24"/>
          <w:lang w:val="mk-MK"/>
        </w:rPr>
      </w:pPr>
      <w:r w:rsidRPr="00A05BC0">
        <w:rPr>
          <w:b/>
          <w:bCs/>
          <w:sz w:val="24"/>
          <w:szCs w:val="24"/>
          <w:lang w:val="mk-MK"/>
        </w:rPr>
        <w:t xml:space="preserve">Синтетички заклучок </w:t>
      </w:r>
    </w:p>
    <w:p w14:paraId="5F059CFC" w14:textId="68FCEC9D" w:rsidR="009C567B" w:rsidRDefault="00B20037" w:rsidP="00E15C0B">
      <w:pPr>
        <w:jc w:val="both"/>
        <w:rPr>
          <w:sz w:val="24"/>
          <w:szCs w:val="24"/>
          <w:lang w:val="mk-MK"/>
        </w:rPr>
      </w:pPr>
      <w:r w:rsidRPr="00A05BC0">
        <w:rPr>
          <w:sz w:val="24"/>
          <w:szCs w:val="24"/>
          <w:lang w:val="mk-MK"/>
        </w:rPr>
        <w:t>Табелата јасно потврдува дека моделот на корпоративно управување сам по себе не е доволен. Одлучувачки се јачината на правната гаранција, институционалната култура и нормативната визија за улогата на вработените. За Македонија, компаративниот преглед укажува дека англоамериканскиот модел на акции не обезбедува демократизација, постсоцијалистичките минималистички решенија водат кон симболично учество</w:t>
      </w:r>
      <w:r w:rsidR="00FA6954">
        <w:rPr>
          <w:sz w:val="24"/>
          <w:szCs w:val="24"/>
          <w:lang w:val="mk-MK"/>
        </w:rPr>
        <w:t xml:space="preserve"> и дека</w:t>
      </w:r>
      <w:r w:rsidRPr="00A05BC0">
        <w:rPr>
          <w:sz w:val="24"/>
          <w:szCs w:val="24"/>
          <w:lang w:val="mk-MK"/>
        </w:rPr>
        <w:t xml:space="preserve"> германско-словенечката линија нуди единствено одржлива референтна рамка</w:t>
      </w:r>
      <w:r w:rsidR="00FA6954">
        <w:rPr>
          <w:sz w:val="24"/>
          <w:szCs w:val="24"/>
          <w:lang w:val="mk-MK"/>
        </w:rPr>
        <w:t xml:space="preserve"> за нашиот контекст. Дури и тоа</w:t>
      </w:r>
      <w:r w:rsidRPr="00A05BC0">
        <w:rPr>
          <w:sz w:val="24"/>
          <w:szCs w:val="24"/>
          <w:lang w:val="mk-MK"/>
        </w:rPr>
        <w:t xml:space="preserve"> само ако е адаптирана</w:t>
      </w:r>
      <w:r w:rsidR="00FA6954">
        <w:rPr>
          <w:sz w:val="24"/>
          <w:szCs w:val="24"/>
          <w:lang w:val="mk-MK"/>
        </w:rPr>
        <w:t xml:space="preserve"> и</w:t>
      </w:r>
      <w:r w:rsidRPr="00A05BC0">
        <w:rPr>
          <w:sz w:val="24"/>
          <w:szCs w:val="24"/>
          <w:lang w:val="mk-MK"/>
        </w:rPr>
        <w:t xml:space="preserve"> не</w:t>
      </w:r>
      <w:r w:rsidR="00FA6954">
        <w:rPr>
          <w:sz w:val="24"/>
          <w:szCs w:val="24"/>
          <w:lang w:val="mk-MK"/>
        </w:rPr>
        <w:t xml:space="preserve"> е</w:t>
      </w:r>
      <w:r w:rsidRPr="00A05BC0">
        <w:rPr>
          <w:sz w:val="24"/>
          <w:szCs w:val="24"/>
          <w:lang w:val="mk-MK"/>
        </w:rPr>
        <w:t xml:space="preserve"> механички</w:t>
      </w:r>
      <w:r w:rsidR="00FA6954">
        <w:rPr>
          <w:sz w:val="24"/>
          <w:szCs w:val="24"/>
          <w:lang w:val="mk-MK"/>
        </w:rPr>
        <w:t xml:space="preserve"> и автоматски</w:t>
      </w:r>
      <w:r w:rsidRPr="00A05BC0">
        <w:rPr>
          <w:sz w:val="24"/>
          <w:szCs w:val="24"/>
          <w:lang w:val="mk-MK"/>
        </w:rPr>
        <w:t xml:space="preserve"> преземена.</w:t>
      </w:r>
    </w:p>
    <w:p w14:paraId="372E057F" w14:textId="77777777" w:rsidR="00E15C0B" w:rsidRDefault="00E15C0B" w:rsidP="00E15C0B">
      <w:pPr>
        <w:jc w:val="both"/>
        <w:rPr>
          <w:sz w:val="24"/>
          <w:szCs w:val="24"/>
          <w:lang w:val="mk-MK"/>
        </w:rPr>
      </w:pPr>
    </w:p>
    <w:p w14:paraId="36F7B55D" w14:textId="77777777" w:rsidR="00E15C0B" w:rsidRDefault="00E15C0B" w:rsidP="00E15C0B">
      <w:pPr>
        <w:jc w:val="both"/>
        <w:rPr>
          <w:sz w:val="24"/>
          <w:szCs w:val="24"/>
          <w:lang w:val="mk-MK"/>
        </w:rPr>
      </w:pPr>
    </w:p>
    <w:p w14:paraId="4D29ED7C" w14:textId="77777777" w:rsidR="009C567B" w:rsidRDefault="009C567B" w:rsidP="009C567B">
      <w:pPr>
        <w:pStyle w:val="BodyText"/>
        <w:spacing w:line="360" w:lineRule="auto"/>
        <w:jc w:val="both"/>
        <w:rPr>
          <w:rFonts w:eastAsia="Arial Unicode MS"/>
          <w:b/>
          <w:bCs/>
          <w:color w:val="000000"/>
          <w:sz w:val="26"/>
          <w:szCs w:val="26"/>
          <w:u w:val="single"/>
          <w:bdr w:val="nil"/>
          <w:lang w:val="mk-MK"/>
        </w:rPr>
      </w:pPr>
    </w:p>
    <w:p w14:paraId="2997F867"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05FC7C6D"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60EC8065"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51850C53"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206A3B5E" w14:textId="77777777" w:rsidR="00263DD8" w:rsidRDefault="00263DD8" w:rsidP="009C567B">
      <w:pPr>
        <w:pStyle w:val="BodyText"/>
        <w:spacing w:line="360" w:lineRule="auto"/>
        <w:jc w:val="both"/>
        <w:rPr>
          <w:rFonts w:eastAsia="Arial Unicode MS"/>
          <w:b/>
          <w:bCs/>
          <w:color w:val="000000"/>
          <w:sz w:val="26"/>
          <w:szCs w:val="26"/>
          <w:u w:val="single"/>
          <w:bdr w:val="nil"/>
          <w:lang w:val="mk-MK"/>
        </w:rPr>
      </w:pPr>
    </w:p>
    <w:p w14:paraId="0BBD1118" w14:textId="085CC44A" w:rsidR="00D52194" w:rsidRDefault="00D52194" w:rsidP="002366B6">
      <w:pPr>
        <w:pStyle w:val="Heading1"/>
        <w:jc w:val="both"/>
        <w:rPr>
          <w:lang w:val="mk-MK"/>
        </w:rPr>
      </w:pPr>
      <w:bookmarkStart w:id="142" w:name="_Toc230523995"/>
      <w:r w:rsidRPr="00F53881">
        <w:rPr>
          <w:lang w:val="mk-MK"/>
        </w:rPr>
        <w:lastRenderedPageBreak/>
        <w:t xml:space="preserve">Прилог </w:t>
      </w:r>
      <w:r>
        <w:rPr>
          <w:lang w:val="mk-MK"/>
        </w:rPr>
        <w:t>4</w:t>
      </w:r>
      <w:r>
        <w:rPr>
          <w:lang w:val="en-US"/>
        </w:rPr>
        <w:t xml:space="preserve">: </w:t>
      </w:r>
      <w:r w:rsidR="004F427F">
        <w:rPr>
          <w:lang w:val="mk-MK"/>
        </w:rPr>
        <w:t>С</w:t>
      </w:r>
      <w:r w:rsidR="004F427F" w:rsidRPr="004F427F">
        <w:rPr>
          <w:lang w:val="mk-MK"/>
        </w:rPr>
        <w:t>истематски преглед на релевантната литература од областа на корпоративното управување и јавните политики</w:t>
      </w:r>
      <w:r w:rsidR="002366B6">
        <w:rPr>
          <w:lang w:val="mk-MK"/>
        </w:rPr>
        <w:t xml:space="preserve"> за спроведување на реформа</w:t>
      </w:r>
      <w:bookmarkEnd w:id="142"/>
    </w:p>
    <w:p w14:paraId="4433A1DF" w14:textId="77777777" w:rsidR="002366B6" w:rsidRDefault="002366B6" w:rsidP="00465816">
      <w:pPr>
        <w:pStyle w:val="BodyText"/>
        <w:rPr>
          <w:lang w:val="mk-MK"/>
        </w:rPr>
      </w:pPr>
    </w:p>
    <w:p w14:paraId="205E322F" w14:textId="2DB69121" w:rsidR="002366B6" w:rsidRDefault="00465816" w:rsidP="00465816">
      <w:pPr>
        <w:pStyle w:val="BodyText"/>
        <w:jc w:val="center"/>
        <w:rPr>
          <w:lang w:val="mk-MK"/>
        </w:rPr>
      </w:pPr>
      <w:r w:rsidRPr="00465816">
        <w:rPr>
          <w:noProof/>
          <w:lang w:val="mk-MK"/>
        </w:rPr>
        <w:drawing>
          <wp:inline distT="0" distB="0" distL="0" distR="0" wp14:anchorId="4FEA729C" wp14:editId="61A6A3D1">
            <wp:extent cx="5734050" cy="4172585"/>
            <wp:effectExtent l="0" t="0" r="0" b="0"/>
            <wp:docPr id="283283814" name="Picture 1" descr="A diagram of a company&#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3283814" name="Picture 1" descr="A diagram of a company&#10;&#10;AI-generated content may be incorrect."/>
                    <pic:cNvPicPr/>
                  </pic:nvPicPr>
                  <pic:blipFill>
                    <a:blip r:embed="rId85"/>
                    <a:stretch>
                      <a:fillRect/>
                    </a:stretch>
                  </pic:blipFill>
                  <pic:spPr>
                    <a:xfrm>
                      <a:off x="0" y="0"/>
                      <a:ext cx="5734050" cy="4172585"/>
                    </a:xfrm>
                    <a:prstGeom prst="rect">
                      <a:avLst/>
                    </a:prstGeom>
                  </pic:spPr>
                </pic:pic>
              </a:graphicData>
            </a:graphic>
          </wp:inline>
        </w:drawing>
      </w:r>
    </w:p>
    <w:p w14:paraId="1FD497BE" w14:textId="77777777" w:rsidR="00465816" w:rsidRPr="00D52194" w:rsidRDefault="00465816" w:rsidP="00465816">
      <w:pPr>
        <w:ind w:left="-810" w:firstLine="810"/>
        <w:jc w:val="center"/>
        <w:rPr>
          <w:i/>
          <w:iCs/>
          <w:sz w:val="24"/>
          <w:szCs w:val="24"/>
          <w:lang w:val="mk-MK"/>
        </w:rPr>
      </w:pPr>
      <w:r w:rsidRPr="00D52194">
        <w:rPr>
          <w:i/>
          <w:iCs/>
          <w:sz w:val="24"/>
          <w:szCs w:val="24"/>
          <w:lang w:val="mk-MK"/>
        </w:rPr>
        <w:t xml:space="preserve">Извор: истражувањето и податоците изнесени во докторската дисертација. </w:t>
      </w:r>
    </w:p>
    <w:p w14:paraId="3B98C1CD" w14:textId="77777777" w:rsidR="00465816" w:rsidRPr="00772E70" w:rsidRDefault="00465816" w:rsidP="00465816">
      <w:pPr>
        <w:pStyle w:val="BodyText"/>
        <w:jc w:val="center"/>
        <w:rPr>
          <w:lang w:val="en-US"/>
        </w:rPr>
      </w:pPr>
    </w:p>
    <w:p w14:paraId="6EEFA1AB" w14:textId="77777777" w:rsidR="00772E70" w:rsidRDefault="00772E70" w:rsidP="00772E70">
      <w:pPr>
        <w:spacing w:before="240"/>
        <w:jc w:val="both"/>
        <w:rPr>
          <w:sz w:val="24"/>
          <w:szCs w:val="24"/>
          <w:lang w:val="mk-MK"/>
        </w:rPr>
      </w:pPr>
      <w:r w:rsidRPr="00A05BC0">
        <w:rPr>
          <w:b/>
          <w:bCs/>
          <w:sz w:val="24"/>
          <w:szCs w:val="24"/>
          <w:lang w:val="mk-MK"/>
        </w:rPr>
        <w:t>Методолошка белешка</w:t>
      </w:r>
      <w:r w:rsidRPr="00A05BC0">
        <w:rPr>
          <w:sz w:val="24"/>
          <w:szCs w:val="24"/>
          <w:lang w:val="mk-MK"/>
        </w:rPr>
        <w:t xml:space="preserve"> </w:t>
      </w:r>
    </w:p>
    <w:p w14:paraId="7B806CF2" w14:textId="77777777" w:rsidR="00803082" w:rsidRDefault="00931A7A" w:rsidP="00931A7A">
      <w:pPr>
        <w:jc w:val="both"/>
        <w:rPr>
          <w:sz w:val="24"/>
          <w:szCs w:val="24"/>
          <w:lang w:val="mk-MK"/>
        </w:rPr>
      </w:pPr>
      <w:r w:rsidRPr="00931A7A">
        <w:rPr>
          <w:sz w:val="24"/>
          <w:szCs w:val="24"/>
          <w:lang w:val="mk-MK"/>
        </w:rPr>
        <w:t xml:space="preserve">Оваа </w:t>
      </w:r>
      <w:r w:rsidR="00E304A8">
        <w:rPr>
          <w:sz w:val="24"/>
          <w:szCs w:val="24"/>
          <w:lang w:val="mk-MK"/>
        </w:rPr>
        <w:t>визуел</w:t>
      </w:r>
      <w:r w:rsidR="006C19E1">
        <w:rPr>
          <w:sz w:val="24"/>
          <w:szCs w:val="24"/>
          <w:lang w:val="mk-MK"/>
        </w:rPr>
        <w:t>изација</w:t>
      </w:r>
      <w:r w:rsidRPr="00931A7A">
        <w:rPr>
          <w:sz w:val="24"/>
          <w:szCs w:val="24"/>
          <w:lang w:val="mk-MK"/>
        </w:rPr>
        <w:t xml:space="preserve"> претставува синтетичка теоретска архитектура која ги интегрира клучните аналитички пристапи од литературата за јавни политики, институционалната теорија и политичката економија со цел да се разбере динамиката на реформите во корпоративното управување во Македонија. Наместо да се потпира на единствен теоретски модел, рамката комбинира повеќе комплементарни пристапи и ги организира во четири аналитички слоја кои се однесуваат на различни механизми на политичко одлучување и институционална промена. </w:t>
      </w:r>
    </w:p>
    <w:p w14:paraId="2785F1E3" w14:textId="77777777" w:rsidR="00803082" w:rsidRDefault="00803082" w:rsidP="00931A7A">
      <w:pPr>
        <w:jc w:val="both"/>
        <w:rPr>
          <w:sz w:val="24"/>
          <w:szCs w:val="24"/>
          <w:lang w:val="mk-MK"/>
        </w:rPr>
      </w:pPr>
    </w:p>
    <w:p w14:paraId="21D41D84" w14:textId="77777777" w:rsidR="00EE4DE7" w:rsidRDefault="00931A7A" w:rsidP="00931A7A">
      <w:pPr>
        <w:jc w:val="both"/>
        <w:rPr>
          <w:sz w:val="24"/>
          <w:szCs w:val="24"/>
          <w:lang w:val="mk-MK"/>
        </w:rPr>
      </w:pPr>
      <w:r w:rsidRPr="00931A7A">
        <w:rPr>
          <w:sz w:val="24"/>
          <w:szCs w:val="24"/>
          <w:lang w:val="mk-MK"/>
        </w:rPr>
        <w:t>Првиот слој ги опфаќа когнитивните и процедур</w:t>
      </w:r>
      <w:r w:rsidR="00DA767E">
        <w:rPr>
          <w:sz w:val="24"/>
          <w:szCs w:val="24"/>
          <w:lang w:val="mk-MK"/>
        </w:rPr>
        <w:t>алните</w:t>
      </w:r>
      <w:r w:rsidRPr="00931A7A">
        <w:rPr>
          <w:sz w:val="24"/>
          <w:szCs w:val="24"/>
          <w:lang w:val="mk-MK"/>
        </w:rPr>
        <w:t xml:space="preserve"> ограничувања на одлучувањето, нагласени во делата на Herbert A. Simon и Charles E. Lindblom, како и институционалната перспектива развиена од Fritz W. Scharpf. Вториот слој се фокусира на динамиката на политичките агенди и прозорците на можности, како што ги формулира John W. Kingdon, како и на механизмите на постепена институционална промена опишани од Wolfgang Streeck и Kathleen Thelen. </w:t>
      </w:r>
    </w:p>
    <w:p w14:paraId="14C95A01" w14:textId="77777777" w:rsidR="00EE4DE7" w:rsidRDefault="00EE4DE7" w:rsidP="00931A7A">
      <w:pPr>
        <w:jc w:val="both"/>
        <w:rPr>
          <w:sz w:val="24"/>
          <w:szCs w:val="24"/>
          <w:lang w:val="mk-MK"/>
        </w:rPr>
      </w:pPr>
    </w:p>
    <w:p w14:paraId="50F93AC0" w14:textId="10496BE1" w:rsidR="00772E70" w:rsidRDefault="00931A7A" w:rsidP="00931A7A">
      <w:pPr>
        <w:jc w:val="both"/>
        <w:rPr>
          <w:sz w:val="24"/>
          <w:szCs w:val="24"/>
          <w:lang w:val="mk-MK"/>
        </w:rPr>
      </w:pPr>
      <w:r w:rsidRPr="00931A7A">
        <w:rPr>
          <w:sz w:val="24"/>
          <w:szCs w:val="24"/>
          <w:lang w:val="mk-MK"/>
        </w:rPr>
        <w:t xml:space="preserve">Третиот слој ја нагласува улогата на институционалните ограничувања и политичките вето-структури, следејќи ги аргументите на George Tsebelis, како и концептите за заедничко донесување одлуки и политички повратни ефекти развиени од Scharpf и од </w:t>
      </w:r>
      <w:r w:rsidRPr="00931A7A">
        <w:rPr>
          <w:sz w:val="24"/>
          <w:szCs w:val="24"/>
          <w:lang w:val="mk-MK"/>
        </w:rPr>
        <w:lastRenderedPageBreak/>
        <w:t xml:space="preserve">Paul Pierson. Конечно, четвртиот слој ја разгледува можноста за поширока институционална трансформација преку промена на политичките парадигми, како што ја разработува Peter A. Hall, како и преку процесите на политичка интеграција и институционално поврзување анализирани од Stefano Bartolini и Maurizio Ferrera. На овој начин, </w:t>
      </w:r>
      <w:r w:rsidR="00EE4DE7">
        <w:rPr>
          <w:sz w:val="24"/>
          <w:szCs w:val="24"/>
          <w:lang w:val="mk-MK"/>
        </w:rPr>
        <w:t>приказот</w:t>
      </w:r>
      <w:r w:rsidRPr="00931A7A">
        <w:rPr>
          <w:sz w:val="24"/>
          <w:szCs w:val="24"/>
          <w:lang w:val="mk-MK"/>
        </w:rPr>
        <w:t xml:space="preserve"> служи како аналитичка рамка за интегрирање на повеќе теоретски традиции во една кохерентна перспектива за институционалните реформи.</w:t>
      </w:r>
    </w:p>
    <w:p w14:paraId="044FAC20" w14:textId="77777777" w:rsidR="00772E70" w:rsidRDefault="00772E70" w:rsidP="00772E70">
      <w:pPr>
        <w:jc w:val="both"/>
        <w:rPr>
          <w:sz w:val="24"/>
          <w:szCs w:val="24"/>
          <w:lang w:val="mk-MK"/>
        </w:rPr>
      </w:pPr>
    </w:p>
    <w:p w14:paraId="7F8AE8F7" w14:textId="77777777" w:rsidR="00772E70" w:rsidRPr="0016039E" w:rsidRDefault="00772E70" w:rsidP="00772E70">
      <w:pPr>
        <w:jc w:val="both"/>
        <w:rPr>
          <w:b/>
          <w:bCs/>
          <w:sz w:val="24"/>
          <w:szCs w:val="24"/>
          <w:lang w:val="mk-MK"/>
        </w:rPr>
      </w:pPr>
      <w:r w:rsidRPr="0016039E">
        <w:rPr>
          <w:b/>
          <w:bCs/>
          <w:sz w:val="24"/>
          <w:szCs w:val="24"/>
          <w:lang w:val="mk-MK"/>
        </w:rPr>
        <w:t xml:space="preserve">Напомена </w:t>
      </w:r>
    </w:p>
    <w:p w14:paraId="1C509EF8" w14:textId="5D2BF516" w:rsidR="004F4B3A" w:rsidRDefault="00772E70" w:rsidP="004F4B3A">
      <w:pPr>
        <w:jc w:val="both"/>
        <w:rPr>
          <w:sz w:val="24"/>
          <w:szCs w:val="24"/>
          <w:lang w:val="mk-MK"/>
        </w:rPr>
      </w:pPr>
      <w:r w:rsidRPr="00A05BC0">
        <w:rPr>
          <w:sz w:val="24"/>
          <w:szCs w:val="24"/>
          <w:lang w:val="mk-MK"/>
        </w:rPr>
        <w:t>Оваа</w:t>
      </w:r>
      <w:r w:rsidR="004F4B3A" w:rsidRPr="004F4B3A">
        <w:t xml:space="preserve"> </w:t>
      </w:r>
      <w:r w:rsidR="004F4B3A">
        <w:rPr>
          <w:sz w:val="24"/>
          <w:szCs w:val="24"/>
          <w:lang w:val="mk-MK"/>
        </w:rPr>
        <w:t>визуелизација</w:t>
      </w:r>
      <w:r w:rsidR="004F4B3A" w:rsidRPr="004F4B3A">
        <w:rPr>
          <w:sz w:val="24"/>
          <w:szCs w:val="24"/>
          <w:lang w:val="mk-MK"/>
        </w:rPr>
        <w:t xml:space="preserve"> претставува аналитичка синтеза на теоретските пристапи релевантни за анализата на институционалните реформи и не претставува строга хронолошка или каузална секвенца на политички процеси. Слоевите треба да се разберат како меѓусебно поврзани аналитички нивоа кои ги нагласуваат различните аспекти на реформскиот процес</w:t>
      </w:r>
      <w:r w:rsidR="00780DDC">
        <w:rPr>
          <w:sz w:val="24"/>
          <w:szCs w:val="24"/>
          <w:lang w:val="mk-MK"/>
        </w:rPr>
        <w:t>,</w:t>
      </w:r>
      <w:r w:rsidR="004F4B3A" w:rsidRPr="004F4B3A">
        <w:rPr>
          <w:sz w:val="24"/>
          <w:szCs w:val="24"/>
          <w:lang w:val="mk-MK"/>
        </w:rPr>
        <w:t xml:space="preserve"> од когнитивните ограничувања на одлучувањето и институционалните правила, преку политичките прозорци на можности и механизмите на постепена институционална промена, до пошироките трансформации на политичките парадигми. Целта на оваа архитектура е да обезбеди концептуална рамка за систематско поврзување на различни теоретски перспективи при анализата на реформите во корпоративното управување.</w:t>
      </w:r>
    </w:p>
    <w:p w14:paraId="0802670E" w14:textId="77777777" w:rsidR="004F4B3A" w:rsidRDefault="004F4B3A" w:rsidP="004F4B3A">
      <w:pPr>
        <w:jc w:val="both"/>
        <w:rPr>
          <w:sz w:val="24"/>
          <w:szCs w:val="24"/>
          <w:lang w:val="mk-MK"/>
        </w:rPr>
      </w:pPr>
    </w:p>
    <w:p w14:paraId="312BCCC0" w14:textId="5BEF57A6" w:rsidR="00772E70" w:rsidRDefault="00772E70" w:rsidP="004F4B3A">
      <w:pPr>
        <w:jc w:val="both"/>
        <w:rPr>
          <w:sz w:val="24"/>
          <w:szCs w:val="24"/>
          <w:lang w:val="mk-MK"/>
        </w:rPr>
      </w:pPr>
      <w:r w:rsidRPr="00A05BC0">
        <w:rPr>
          <w:b/>
          <w:bCs/>
          <w:sz w:val="24"/>
          <w:szCs w:val="24"/>
          <w:lang w:val="mk-MK"/>
        </w:rPr>
        <w:t xml:space="preserve">Синтетички заклучок </w:t>
      </w:r>
    </w:p>
    <w:p w14:paraId="785AA209" w14:textId="5B1D81A9" w:rsidR="00772E70" w:rsidRDefault="00BF4A7F" w:rsidP="00772E70">
      <w:pPr>
        <w:jc w:val="both"/>
        <w:rPr>
          <w:sz w:val="24"/>
          <w:szCs w:val="24"/>
          <w:lang w:val="mk-MK"/>
        </w:rPr>
      </w:pPr>
      <w:r w:rsidRPr="00BF4A7F">
        <w:rPr>
          <w:sz w:val="24"/>
          <w:szCs w:val="24"/>
          <w:lang w:val="mk-MK"/>
        </w:rPr>
        <w:t xml:space="preserve">Теоретската архитектура прикажана во </w:t>
      </w:r>
      <w:r w:rsidR="001C322B">
        <w:rPr>
          <w:sz w:val="24"/>
          <w:szCs w:val="24"/>
          <w:lang w:val="mk-MK"/>
        </w:rPr>
        <w:t>табелата</w:t>
      </w:r>
      <w:r w:rsidRPr="00BF4A7F">
        <w:rPr>
          <w:sz w:val="24"/>
          <w:szCs w:val="24"/>
          <w:lang w:val="mk-MK"/>
        </w:rPr>
        <w:t xml:space="preserve"> сугерира дека реформите во корпоративното управување не можат да се објаснат преку единствен аналитички модел. Наместо тоа, тие претставуваат резултат на интеракцијата помеѓу когнитивните ограничувања на политичките актери, институционалните структури, динамиката на политичките агенди и пошироките процеси на институционална трансформација. Во контекстот на Македонија, ова подразбира дека реформите најверојатно ќе се одвиваат постепено, преку механизми на институциона</w:t>
      </w:r>
      <w:r w:rsidR="00B20B9D">
        <w:rPr>
          <w:sz w:val="24"/>
          <w:szCs w:val="24"/>
          <w:lang w:val="mk-MK"/>
        </w:rPr>
        <w:t>лни</w:t>
      </w:r>
      <w:r w:rsidRPr="00BF4A7F">
        <w:rPr>
          <w:sz w:val="24"/>
          <w:szCs w:val="24"/>
          <w:lang w:val="mk-MK"/>
        </w:rPr>
        <w:t xml:space="preserve"> слоев</w:t>
      </w:r>
      <w:r w:rsidR="00B20B9D">
        <w:rPr>
          <w:sz w:val="24"/>
          <w:szCs w:val="24"/>
          <w:lang w:val="mk-MK"/>
        </w:rPr>
        <w:t>и</w:t>
      </w:r>
      <w:r w:rsidRPr="00BF4A7F">
        <w:rPr>
          <w:sz w:val="24"/>
          <w:szCs w:val="24"/>
          <w:lang w:val="mk-MK"/>
        </w:rPr>
        <w:t xml:space="preserve"> и адаптација</w:t>
      </w:r>
      <w:r w:rsidR="00B20B9D">
        <w:rPr>
          <w:sz w:val="24"/>
          <w:szCs w:val="24"/>
          <w:lang w:val="mk-MK"/>
        </w:rPr>
        <w:t>. Истовремено</w:t>
      </w:r>
      <w:r w:rsidRPr="00BF4A7F">
        <w:rPr>
          <w:sz w:val="24"/>
          <w:szCs w:val="24"/>
          <w:lang w:val="mk-MK"/>
        </w:rPr>
        <w:t>, нивниот успех ќе зависи од способноста на политичките актери да ги искористат прозорците на можности во рамките на постојните институционални ограничувања и да ги усогласат реформските идеи со пошироките промени во политичките и економските парадигми.</w:t>
      </w:r>
    </w:p>
    <w:p w14:paraId="5BE38949"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650F0198" w14:textId="77777777" w:rsidR="00D52194" w:rsidRDefault="00D52194" w:rsidP="009C567B">
      <w:pPr>
        <w:pStyle w:val="BodyText"/>
        <w:spacing w:line="360" w:lineRule="auto"/>
        <w:jc w:val="both"/>
        <w:rPr>
          <w:rFonts w:eastAsia="Arial Unicode MS"/>
          <w:b/>
          <w:bCs/>
          <w:color w:val="000000"/>
          <w:sz w:val="26"/>
          <w:szCs w:val="26"/>
          <w:u w:val="single"/>
          <w:bdr w:val="nil"/>
          <w:lang w:val="mk-MK"/>
        </w:rPr>
      </w:pPr>
    </w:p>
    <w:p w14:paraId="2809AB2D"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7CE6F42A"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6D1B5ADB"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4511F797"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037455A4"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03D6D74A"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02B1FCC8"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57022C3E"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39F9269C" w14:textId="77777777" w:rsidR="00C42263" w:rsidRDefault="00C42263" w:rsidP="00C42263">
      <w:pPr>
        <w:pStyle w:val="BodyText"/>
        <w:spacing w:line="360" w:lineRule="auto"/>
        <w:jc w:val="both"/>
        <w:rPr>
          <w:rFonts w:eastAsia="Arial Unicode MS"/>
          <w:b/>
          <w:bCs/>
          <w:color w:val="000000"/>
          <w:sz w:val="26"/>
          <w:szCs w:val="26"/>
          <w:u w:val="single"/>
          <w:bdr w:val="nil"/>
          <w:lang w:val="mk-MK"/>
        </w:rPr>
      </w:pPr>
    </w:p>
    <w:p w14:paraId="264B1480" w14:textId="2BAD5692" w:rsidR="00C42263" w:rsidRDefault="00C42263" w:rsidP="00C42263">
      <w:pPr>
        <w:pStyle w:val="Heading1"/>
        <w:jc w:val="both"/>
        <w:rPr>
          <w:lang w:val="mk-MK"/>
        </w:rPr>
      </w:pPr>
      <w:bookmarkStart w:id="143" w:name="_Toc230523996"/>
      <w:r w:rsidRPr="00F53881">
        <w:rPr>
          <w:lang w:val="mk-MK"/>
        </w:rPr>
        <w:lastRenderedPageBreak/>
        <w:t xml:space="preserve">Прилог </w:t>
      </w:r>
      <w:r>
        <w:rPr>
          <w:lang w:val="mk-MK"/>
        </w:rPr>
        <w:t>5</w:t>
      </w:r>
      <w:r>
        <w:rPr>
          <w:lang w:val="en-US"/>
        </w:rPr>
        <w:t xml:space="preserve">: </w:t>
      </w:r>
      <w:r w:rsidR="009D1F2A">
        <w:rPr>
          <w:lang w:val="mk-MK"/>
        </w:rPr>
        <w:t>Патоказ</w:t>
      </w:r>
      <w:r w:rsidR="00792113">
        <w:rPr>
          <w:lang w:val="mk-MK"/>
        </w:rPr>
        <w:t xml:space="preserve"> за тригод</w:t>
      </w:r>
      <w:r w:rsidR="00ED61CB">
        <w:rPr>
          <w:lang w:val="mk-MK"/>
        </w:rPr>
        <w:t>ишна реформа на корпоративното управување во Македонија</w:t>
      </w:r>
      <w:bookmarkEnd w:id="143"/>
    </w:p>
    <w:p w14:paraId="295E4692" w14:textId="77777777" w:rsidR="00C42263" w:rsidRDefault="00C42263" w:rsidP="00C42263">
      <w:pPr>
        <w:pStyle w:val="BodyText"/>
        <w:rPr>
          <w:lang w:val="mk-MK"/>
        </w:rPr>
      </w:pPr>
    </w:p>
    <w:p w14:paraId="767D03DD" w14:textId="538DE778" w:rsidR="00BF4A7F" w:rsidRDefault="00C14748" w:rsidP="009C567B">
      <w:pPr>
        <w:pStyle w:val="BodyText"/>
        <w:spacing w:line="360" w:lineRule="auto"/>
        <w:jc w:val="both"/>
        <w:rPr>
          <w:rFonts w:eastAsia="Arial Unicode MS"/>
          <w:b/>
          <w:bCs/>
          <w:color w:val="000000"/>
          <w:sz w:val="26"/>
          <w:szCs w:val="26"/>
          <w:u w:val="single"/>
          <w:bdr w:val="nil"/>
          <w:lang w:val="mk-MK"/>
        </w:rPr>
      </w:pPr>
      <w:r>
        <w:rPr>
          <w:noProof/>
        </w:rPr>
        <w:drawing>
          <wp:inline distT="0" distB="0" distL="0" distR="0" wp14:anchorId="5E10D828" wp14:editId="4A6DE2B7">
            <wp:extent cx="5734050" cy="3738880"/>
            <wp:effectExtent l="0" t="0" r="0" b="0"/>
            <wp:docPr id="289900006" name="Picture 4"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9900006" name="Picture 4" descr="A screenshot of a computer&#10;&#10;AI-generated content may be incorrect."/>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5734050" cy="3738880"/>
                    </a:xfrm>
                    <a:prstGeom prst="rect">
                      <a:avLst/>
                    </a:prstGeom>
                    <a:noFill/>
                    <a:ln>
                      <a:noFill/>
                    </a:ln>
                  </pic:spPr>
                </pic:pic>
              </a:graphicData>
            </a:graphic>
          </wp:inline>
        </w:drawing>
      </w:r>
    </w:p>
    <w:p w14:paraId="4F41199E" w14:textId="77777777" w:rsidR="008875BF" w:rsidRPr="00D52194" w:rsidRDefault="008875BF" w:rsidP="008875BF">
      <w:pPr>
        <w:ind w:left="-810" w:firstLine="810"/>
        <w:jc w:val="center"/>
        <w:rPr>
          <w:i/>
          <w:iCs/>
          <w:sz w:val="24"/>
          <w:szCs w:val="24"/>
          <w:lang w:val="mk-MK"/>
        </w:rPr>
      </w:pPr>
      <w:r w:rsidRPr="00D52194">
        <w:rPr>
          <w:i/>
          <w:iCs/>
          <w:sz w:val="24"/>
          <w:szCs w:val="24"/>
          <w:lang w:val="mk-MK"/>
        </w:rPr>
        <w:t xml:space="preserve">Извор: истражувањето и податоците изнесени во докторската дисертација. </w:t>
      </w:r>
    </w:p>
    <w:p w14:paraId="0F80986B" w14:textId="77777777" w:rsidR="008875BF" w:rsidRPr="00772E70" w:rsidRDefault="008875BF" w:rsidP="008875BF">
      <w:pPr>
        <w:pStyle w:val="BodyText"/>
        <w:jc w:val="center"/>
        <w:rPr>
          <w:lang w:val="en-US"/>
        </w:rPr>
      </w:pPr>
    </w:p>
    <w:p w14:paraId="5364086D" w14:textId="77777777" w:rsidR="008875BF" w:rsidRDefault="008875BF" w:rsidP="008875BF">
      <w:pPr>
        <w:spacing w:before="240"/>
        <w:jc w:val="both"/>
        <w:rPr>
          <w:sz w:val="24"/>
          <w:szCs w:val="24"/>
          <w:lang w:val="mk-MK"/>
        </w:rPr>
      </w:pPr>
      <w:r w:rsidRPr="00A05BC0">
        <w:rPr>
          <w:b/>
          <w:bCs/>
          <w:sz w:val="24"/>
          <w:szCs w:val="24"/>
          <w:lang w:val="mk-MK"/>
        </w:rPr>
        <w:t>Методолошка белешка</w:t>
      </w:r>
      <w:r w:rsidRPr="00A05BC0">
        <w:rPr>
          <w:sz w:val="24"/>
          <w:szCs w:val="24"/>
          <w:lang w:val="mk-MK"/>
        </w:rPr>
        <w:t xml:space="preserve"> </w:t>
      </w:r>
    </w:p>
    <w:p w14:paraId="65FF3936" w14:textId="77777777" w:rsidR="00F646EF" w:rsidRDefault="00482981" w:rsidP="008875BF">
      <w:pPr>
        <w:jc w:val="both"/>
        <w:rPr>
          <w:sz w:val="24"/>
          <w:szCs w:val="24"/>
          <w:lang w:val="mk-MK"/>
        </w:rPr>
      </w:pPr>
      <w:r w:rsidRPr="00482981">
        <w:rPr>
          <w:sz w:val="24"/>
          <w:szCs w:val="24"/>
          <w:lang w:val="mk-MK"/>
        </w:rPr>
        <w:t>Прикажаната тр</w:t>
      </w:r>
      <w:r>
        <w:rPr>
          <w:sz w:val="24"/>
          <w:szCs w:val="24"/>
          <w:lang w:val="mk-MK"/>
        </w:rPr>
        <w:t>и</w:t>
      </w:r>
      <w:r w:rsidRPr="00482981">
        <w:rPr>
          <w:sz w:val="24"/>
          <w:szCs w:val="24"/>
          <w:lang w:val="mk-MK"/>
        </w:rPr>
        <w:t xml:space="preserve">годишна реформска рамка претставува нормативно-институционален модел базиран на фазен пристап кон промена на корпоративното управување во државните претпријатија. Методолошки, моделот комбинира елементи на компаративна правна анализа, </w:t>
      </w:r>
      <w:r w:rsidRPr="00F646EF">
        <w:rPr>
          <w:i/>
          <w:iCs/>
          <w:sz w:val="24"/>
          <w:szCs w:val="24"/>
          <w:lang w:val="mk-MK"/>
        </w:rPr>
        <w:t>policy sequencing</w:t>
      </w:r>
      <w:r w:rsidRPr="00482981">
        <w:rPr>
          <w:sz w:val="24"/>
          <w:szCs w:val="24"/>
          <w:lang w:val="mk-MK"/>
        </w:rPr>
        <w:t xml:space="preserve"> и пилотирање како инструмент за институционално учење. </w:t>
      </w:r>
    </w:p>
    <w:p w14:paraId="1A1D83F8" w14:textId="77777777" w:rsidR="00F646EF" w:rsidRDefault="00F646EF" w:rsidP="008875BF">
      <w:pPr>
        <w:jc w:val="both"/>
        <w:rPr>
          <w:sz w:val="24"/>
          <w:szCs w:val="24"/>
          <w:lang w:val="mk-MK"/>
        </w:rPr>
      </w:pPr>
    </w:p>
    <w:p w14:paraId="3F145E7B" w14:textId="0B42BB71" w:rsidR="008875BF" w:rsidRDefault="00482981" w:rsidP="008875BF">
      <w:pPr>
        <w:jc w:val="both"/>
        <w:rPr>
          <w:sz w:val="24"/>
          <w:szCs w:val="24"/>
          <w:lang w:val="mk-MK"/>
        </w:rPr>
      </w:pPr>
      <w:r w:rsidRPr="00482981">
        <w:rPr>
          <w:sz w:val="24"/>
          <w:szCs w:val="24"/>
          <w:lang w:val="mk-MK"/>
        </w:rPr>
        <w:t>Првата фаза се темели на правно слоевито воведување на нови правила преку ограничени интервенции во постојното законодавство и тестирање преку пилот ентитети. Втората фаза претставува функционална конверзија, при што се пренасочуваат надзорните и регулаторните механизми и се институционализираат нови практики преку административни тела и механизми на отчетност. Третата фаза се фокусира на нормативна кодификација и системско проширување, со цел трансформацијата да стане општ правен стандард.</w:t>
      </w:r>
    </w:p>
    <w:p w14:paraId="2190AAE4" w14:textId="77777777" w:rsidR="00036C19" w:rsidRDefault="00036C19" w:rsidP="008875BF">
      <w:pPr>
        <w:jc w:val="both"/>
        <w:rPr>
          <w:sz w:val="24"/>
          <w:szCs w:val="24"/>
          <w:lang w:val="mk-MK"/>
        </w:rPr>
      </w:pPr>
    </w:p>
    <w:p w14:paraId="72101521" w14:textId="1FE535A0" w:rsidR="00036C19" w:rsidRDefault="00036C19" w:rsidP="008875BF">
      <w:pPr>
        <w:jc w:val="both"/>
        <w:rPr>
          <w:sz w:val="24"/>
          <w:szCs w:val="24"/>
          <w:lang w:val="mk-MK"/>
        </w:rPr>
      </w:pPr>
      <w:r w:rsidRPr="00036C19">
        <w:rPr>
          <w:sz w:val="24"/>
          <w:szCs w:val="24"/>
          <w:lang w:val="mk-MK"/>
        </w:rPr>
        <w:t>Методолошкиот избор на постепеност е конзистентен со теориите на институционална инерција и path dependency, каде реформите се дизајнираат како акумулација на мали, но кумулативно значајни промени. Дополнително, моделот инкорпорира елементи на експериментална регулација преку пилот групи, со цел намалување на ризикот и отпорот.</w:t>
      </w:r>
    </w:p>
    <w:p w14:paraId="27D5A905" w14:textId="77777777" w:rsidR="00482981" w:rsidRDefault="00482981" w:rsidP="008875BF">
      <w:pPr>
        <w:jc w:val="both"/>
        <w:rPr>
          <w:sz w:val="24"/>
          <w:szCs w:val="24"/>
          <w:lang w:val="mk-MK"/>
        </w:rPr>
      </w:pPr>
    </w:p>
    <w:p w14:paraId="0B7976EB" w14:textId="77777777" w:rsidR="008875BF" w:rsidRPr="0016039E" w:rsidRDefault="008875BF" w:rsidP="008875BF">
      <w:pPr>
        <w:jc w:val="both"/>
        <w:rPr>
          <w:b/>
          <w:bCs/>
          <w:sz w:val="24"/>
          <w:szCs w:val="24"/>
          <w:lang w:val="mk-MK"/>
        </w:rPr>
      </w:pPr>
      <w:r w:rsidRPr="0016039E">
        <w:rPr>
          <w:b/>
          <w:bCs/>
          <w:sz w:val="24"/>
          <w:szCs w:val="24"/>
          <w:lang w:val="mk-MK"/>
        </w:rPr>
        <w:lastRenderedPageBreak/>
        <w:t xml:space="preserve">Напомена </w:t>
      </w:r>
    </w:p>
    <w:p w14:paraId="518D95D7" w14:textId="1F7DF50D" w:rsidR="008875BF" w:rsidRDefault="00613C8F" w:rsidP="008875BF">
      <w:pPr>
        <w:jc w:val="both"/>
        <w:rPr>
          <w:sz w:val="24"/>
          <w:szCs w:val="24"/>
          <w:lang w:val="mk-MK"/>
        </w:rPr>
      </w:pPr>
      <w:r w:rsidRPr="00613C8F">
        <w:rPr>
          <w:sz w:val="24"/>
          <w:szCs w:val="24"/>
          <w:lang w:val="mk-MK"/>
        </w:rPr>
        <w:t xml:space="preserve">Предложената рамка има концептуален карактер и не претставува директно применлив нормативен инструмент. Таа подразбира постоење на минимален институционален капацитет, политичка волја и координација помеѓу извршната, законодавната и надзорните структури. </w:t>
      </w:r>
      <w:r w:rsidR="00B56D88">
        <w:rPr>
          <w:sz w:val="24"/>
          <w:szCs w:val="24"/>
          <w:lang w:val="mk-MK"/>
        </w:rPr>
        <w:t>Успехот</w:t>
      </w:r>
      <w:r w:rsidRPr="00613C8F">
        <w:rPr>
          <w:sz w:val="24"/>
          <w:szCs w:val="24"/>
          <w:lang w:val="mk-MK"/>
        </w:rPr>
        <w:t xml:space="preserve"> на првата фаза</w:t>
      </w:r>
      <w:r w:rsidR="00B56D88">
        <w:rPr>
          <w:sz w:val="24"/>
          <w:szCs w:val="24"/>
          <w:lang w:val="mk-MK"/>
        </w:rPr>
        <w:t xml:space="preserve"> особено</w:t>
      </w:r>
      <w:r w:rsidRPr="00613C8F">
        <w:rPr>
          <w:sz w:val="24"/>
          <w:szCs w:val="24"/>
          <w:lang w:val="mk-MK"/>
        </w:rPr>
        <w:t xml:space="preserve"> зависи од квалитетот на правната ревизија и од прецизноста на пилот механизмите, додека втората фаза бара функционална автономија на регулаторните тела. Во третата фаза, ризикот се префрла кон прекумерна формализација без реална имплементација.</w:t>
      </w:r>
    </w:p>
    <w:p w14:paraId="1E6C85BA" w14:textId="77777777" w:rsidR="00B56D88" w:rsidRDefault="00B56D88" w:rsidP="008875BF">
      <w:pPr>
        <w:jc w:val="both"/>
        <w:rPr>
          <w:sz w:val="24"/>
          <w:szCs w:val="24"/>
          <w:lang w:val="mk-MK"/>
        </w:rPr>
      </w:pPr>
    </w:p>
    <w:p w14:paraId="2300DB65" w14:textId="77777777" w:rsidR="0061749F" w:rsidRDefault="00B56D88" w:rsidP="008875BF">
      <w:pPr>
        <w:jc w:val="both"/>
        <w:rPr>
          <w:lang w:val="mk-MK"/>
        </w:rPr>
      </w:pPr>
      <w:r w:rsidRPr="00B56D88">
        <w:rPr>
          <w:sz w:val="24"/>
          <w:szCs w:val="24"/>
          <w:lang w:val="mk-MK"/>
        </w:rPr>
        <w:t>Дополнително, финансиските проценки треба да се третираат како индикативни, со оглед на можните варијации во зависност од обемот на институционалната реформа и достапноста на надворешно финансирање, вклучително и европски инструменти.</w:t>
      </w:r>
      <w:r w:rsidR="0061749F" w:rsidRPr="0061749F">
        <w:t xml:space="preserve"> </w:t>
      </w:r>
    </w:p>
    <w:p w14:paraId="1BFDC9E0" w14:textId="77777777" w:rsidR="0061749F" w:rsidRDefault="0061749F" w:rsidP="008875BF">
      <w:pPr>
        <w:jc w:val="both"/>
        <w:rPr>
          <w:lang w:val="mk-MK"/>
        </w:rPr>
      </w:pPr>
    </w:p>
    <w:p w14:paraId="2C174FB1" w14:textId="24F62F54" w:rsidR="0061749F" w:rsidRPr="0061749F" w:rsidRDefault="0061749F" w:rsidP="008875BF">
      <w:pPr>
        <w:jc w:val="both"/>
        <w:rPr>
          <w:b/>
          <w:bCs/>
          <w:lang w:val="mk-MK"/>
        </w:rPr>
      </w:pPr>
      <w:r>
        <w:rPr>
          <w:b/>
          <w:bCs/>
          <w:lang w:val="mk-MK"/>
        </w:rPr>
        <w:t>Синтетички заклучок</w:t>
      </w:r>
    </w:p>
    <w:p w14:paraId="3F506080" w14:textId="723666EC" w:rsidR="00B56D88" w:rsidRDefault="0061749F" w:rsidP="008875BF">
      <w:pPr>
        <w:jc w:val="both"/>
        <w:rPr>
          <w:sz w:val="24"/>
          <w:szCs w:val="24"/>
          <w:lang w:val="mk-MK"/>
        </w:rPr>
      </w:pPr>
      <w:r w:rsidRPr="0061749F">
        <w:rPr>
          <w:sz w:val="24"/>
          <w:szCs w:val="24"/>
          <w:lang w:val="mk-MK"/>
        </w:rPr>
        <w:t>Реформската логика прикажана во моделот демонстрира дека трансформацијата на корпоративното управување во државните претпријатија не мора да биде резултат на дисконтинуитет или криза, туку може да се постигне преку контролирана, фазна и институционално вградена промена. Преку комбинација на пилотирање, институционално учење и постепена кодификација, се создава простор за намалување на отпорот и за градење легитимитет кај засегнатите актери.</w:t>
      </w:r>
    </w:p>
    <w:p w14:paraId="30F46D37" w14:textId="77777777" w:rsidR="006801E2" w:rsidRDefault="006801E2" w:rsidP="008875BF">
      <w:pPr>
        <w:jc w:val="both"/>
        <w:rPr>
          <w:sz w:val="24"/>
          <w:szCs w:val="24"/>
          <w:lang w:val="mk-MK"/>
        </w:rPr>
      </w:pPr>
    </w:p>
    <w:p w14:paraId="4A5A5D32" w14:textId="0F021FEC" w:rsidR="006801E2" w:rsidRDefault="006801E2" w:rsidP="008875BF">
      <w:pPr>
        <w:jc w:val="both"/>
        <w:rPr>
          <w:sz w:val="24"/>
          <w:szCs w:val="24"/>
          <w:lang w:val="mk-MK"/>
        </w:rPr>
      </w:pPr>
      <w:r w:rsidRPr="006801E2">
        <w:rPr>
          <w:sz w:val="24"/>
          <w:szCs w:val="24"/>
          <w:lang w:val="mk-MK"/>
        </w:rPr>
        <w:t>Во тој поглед, моделот укажува дека успешната европеизација во областа на корпоративното управување не се состои само во формално усогласување со надворешни стандарди, туку во нивна адаптација и интернализација во домашниот институционален контекст. Оттука, предложениот пристап нуди реалистична патека кон воведување на поинклузивни модели на управување, вклучително и учество на вработените, без нарушување на економската стабилност и со зачувување на социјалната кохезија.</w:t>
      </w:r>
    </w:p>
    <w:p w14:paraId="38005D48" w14:textId="77777777" w:rsidR="001E2FC8" w:rsidRDefault="001E2FC8" w:rsidP="008875BF">
      <w:pPr>
        <w:jc w:val="both"/>
        <w:rPr>
          <w:sz w:val="24"/>
          <w:szCs w:val="24"/>
          <w:lang w:val="mk-MK"/>
        </w:rPr>
      </w:pPr>
    </w:p>
    <w:p w14:paraId="2BE1E295"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2C23E7C1" w14:textId="77777777" w:rsidR="003E547E" w:rsidRDefault="003E547E" w:rsidP="009C567B">
      <w:pPr>
        <w:pStyle w:val="BodyText"/>
        <w:spacing w:line="360" w:lineRule="auto"/>
        <w:jc w:val="both"/>
        <w:rPr>
          <w:rFonts w:eastAsia="Arial Unicode MS"/>
          <w:b/>
          <w:bCs/>
          <w:color w:val="000000"/>
          <w:sz w:val="26"/>
          <w:szCs w:val="26"/>
          <w:u w:val="single"/>
          <w:bdr w:val="nil"/>
          <w:lang w:val="mk-MK"/>
        </w:rPr>
      </w:pPr>
    </w:p>
    <w:p w14:paraId="2ADC65EA" w14:textId="77777777" w:rsidR="003E547E" w:rsidRDefault="003E547E" w:rsidP="009C567B">
      <w:pPr>
        <w:pStyle w:val="BodyText"/>
        <w:spacing w:line="360" w:lineRule="auto"/>
        <w:jc w:val="both"/>
        <w:rPr>
          <w:rFonts w:eastAsia="Arial Unicode MS"/>
          <w:b/>
          <w:bCs/>
          <w:color w:val="000000"/>
          <w:sz w:val="26"/>
          <w:szCs w:val="26"/>
          <w:u w:val="single"/>
          <w:bdr w:val="nil"/>
          <w:lang w:val="mk-MK"/>
        </w:rPr>
      </w:pPr>
    </w:p>
    <w:p w14:paraId="50132F55" w14:textId="77777777" w:rsidR="003E547E" w:rsidRDefault="003E547E" w:rsidP="009C567B">
      <w:pPr>
        <w:pStyle w:val="BodyText"/>
        <w:spacing w:line="360" w:lineRule="auto"/>
        <w:jc w:val="both"/>
        <w:rPr>
          <w:rFonts w:eastAsia="Arial Unicode MS"/>
          <w:b/>
          <w:bCs/>
          <w:color w:val="000000"/>
          <w:sz w:val="26"/>
          <w:szCs w:val="26"/>
          <w:u w:val="single"/>
          <w:bdr w:val="nil"/>
          <w:lang w:val="mk-MK"/>
        </w:rPr>
      </w:pPr>
    </w:p>
    <w:p w14:paraId="5A5AFF6D" w14:textId="77777777" w:rsidR="003E547E" w:rsidRDefault="003E547E" w:rsidP="009C567B">
      <w:pPr>
        <w:pStyle w:val="BodyText"/>
        <w:spacing w:line="360" w:lineRule="auto"/>
        <w:jc w:val="both"/>
        <w:rPr>
          <w:rFonts w:eastAsia="Arial Unicode MS"/>
          <w:b/>
          <w:bCs/>
          <w:color w:val="000000"/>
          <w:sz w:val="26"/>
          <w:szCs w:val="26"/>
          <w:u w:val="single"/>
          <w:bdr w:val="nil"/>
          <w:lang w:val="mk-MK"/>
        </w:rPr>
      </w:pPr>
    </w:p>
    <w:p w14:paraId="2DE7BC03" w14:textId="77777777" w:rsidR="003E547E" w:rsidRDefault="003E547E" w:rsidP="009C567B">
      <w:pPr>
        <w:pStyle w:val="BodyText"/>
        <w:spacing w:line="360" w:lineRule="auto"/>
        <w:jc w:val="both"/>
        <w:rPr>
          <w:rFonts w:eastAsia="Arial Unicode MS"/>
          <w:b/>
          <w:bCs/>
          <w:color w:val="000000"/>
          <w:sz w:val="26"/>
          <w:szCs w:val="26"/>
          <w:u w:val="single"/>
          <w:bdr w:val="nil"/>
          <w:lang w:val="mk-MK"/>
        </w:rPr>
      </w:pPr>
    </w:p>
    <w:p w14:paraId="4A0956CB" w14:textId="77777777" w:rsidR="003E547E" w:rsidRDefault="003E547E" w:rsidP="009C567B">
      <w:pPr>
        <w:pStyle w:val="BodyText"/>
        <w:spacing w:line="360" w:lineRule="auto"/>
        <w:jc w:val="both"/>
        <w:rPr>
          <w:rFonts w:eastAsia="Arial Unicode MS"/>
          <w:b/>
          <w:bCs/>
          <w:color w:val="000000"/>
          <w:sz w:val="26"/>
          <w:szCs w:val="26"/>
          <w:u w:val="single"/>
          <w:bdr w:val="nil"/>
          <w:lang w:val="en-US"/>
        </w:rPr>
      </w:pPr>
    </w:p>
    <w:p w14:paraId="47A0E1F2" w14:textId="77777777" w:rsidR="009E74B9" w:rsidRDefault="009E74B9" w:rsidP="009C567B">
      <w:pPr>
        <w:pStyle w:val="BodyText"/>
        <w:spacing w:line="360" w:lineRule="auto"/>
        <w:jc w:val="both"/>
        <w:rPr>
          <w:rFonts w:eastAsia="Arial Unicode MS"/>
          <w:b/>
          <w:bCs/>
          <w:color w:val="000000"/>
          <w:sz w:val="26"/>
          <w:szCs w:val="26"/>
          <w:u w:val="single"/>
          <w:bdr w:val="nil"/>
          <w:lang w:val="en-US"/>
        </w:rPr>
      </w:pPr>
    </w:p>
    <w:p w14:paraId="2AC53861" w14:textId="77777777" w:rsidR="009E74B9" w:rsidRDefault="009E74B9" w:rsidP="009C567B">
      <w:pPr>
        <w:pStyle w:val="BodyText"/>
        <w:spacing w:line="360" w:lineRule="auto"/>
        <w:jc w:val="both"/>
        <w:rPr>
          <w:rFonts w:eastAsia="Arial Unicode MS"/>
          <w:b/>
          <w:bCs/>
          <w:color w:val="000000"/>
          <w:sz w:val="26"/>
          <w:szCs w:val="26"/>
          <w:u w:val="single"/>
          <w:bdr w:val="nil"/>
          <w:lang w:val="en-US"/>
        </w:rPr>
      </w:pPr>
    </w:p>
    <w:p w14:paraId="79481512" w14:textId="77777777" w:rsidR="009E74B9" w:rsidRDefault="009E74B9" w:rsidP="009C567B">
      <w:pPr>
        <w:pStyle w:val="BodyText"/>
        <w:spacing w:line="360" w:lineRule="auto"/>
        <w:jc w:val="both"/>
        <w:rPr>
          <w:rFonts w:eastAsia="Arial Unicode MS"/>
          <w:b/>
          <w:bCs/>
          <w:color w:val="000000"/>
          <w:sz w:val="26"/>
          <w:szCs w:val="26"/>
          <w:u w:val="single"/>
          <w:bdr w:val="nil"/>
          <w:lang w:val="en-US"/>
        </w:rPr>
      </w:pPr>
    </w:p>
    <w:p w14:paraId="5F208041" w14:textId="77777777" w:rsidR="009E74B9" w:rsidRDefault="009E74B9" w:rsidP="009C567B">
      <w:pPr>
        <w:pStyle w:val="BodyText"/>
        <w:spacing w:line="360" w:lineRule="auto"/>
        <w:jc w:val="both"/>
        <w:rPr>
          <w:rFonts w:eastAsia="Arial Unicode MS"/>
          <w:b/>
          <w:bCs/>
          <w:color w:val="000000"/>
          <w:sz w:val="26"/>
          <w:szCs w:val="26"/>
          <w:u w:val="single"/>
          <w:bdr w:val="nil"/>
          <w:lang w:val="en-US"/>
        </w:rPr>
      </w:pPr>
    </w:p>
    <w:p w14:paraId="582451C3"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4826982C" w14:textId="56408BA7" w:rsidR="008875BF" w:rsidRDefault="008875BF" w:rsidP="008875BF">
      <w:pPr>
        <w:pStyle w:val="Heading1"/>
        <w:jc w:val="both"/>
        <w:rPr>
          <w:lang w:val="mk-MK"/>
        </w:rPr>
      </w:pPr>
      <w:bookmarkStart w:id="144" w:name="_Toc230523997"/>
      <w:r w:rsidRPr="00F53881">
        <w:rPr>
          <w:lang w:val="mk-MK"/>
        </w:rPr>
        <w:lastRenderedPageBreak/>
        <w:t xml:space="preserve">Прилог </w:t>
      </w:r>
      <w:r>
        <w:rPr>
          <w:lang w:val="mk-MK"/>
        </w:rPr>
        <w:t>6</w:t>
      </w:r>
      <w:r>
        <w:rPr>
          <w:lang w:val="en-US"/>
        </w:rPr>
        <w:t xml:space="preserve">: </w:t>
      </w:r>
      <w:r w:rsidR="003D1A3B">
        <w:rPr>
          <w:lang w:val="mk-MK"/>
        </w:rPr>
        <w:t xml:space="preserve">Распределба на </w:t>
      </w:r>
      <w:r w:rsidR="00E97CAE">
        <w:rPr>
          <w:lang w:val="mk-MK"/>
        </w:rPr>
        <w:t>засегнати</w:t>
      </w:r>
      <w:r w:rsidR="003E547E">
        <w:rPr>
          <w:lang w:val="mk-MK"/>
        </w:rPr>
        <w:t>те</w:t>
      </w:r>
      <w:r w:rsidR="00E97CAE">
        <w:rPr>
          <w:lang w:val="mk-MK"/>
        </w:rPr>
        <w:t xml:space="preserve"> страни </w:t>
      </w:r>
      <w:r w:rsidR="003E547E">
        <w:rPr>
          <w:lang w:val="mk-MK"/>
        </w:rPr>
        <w:t>кои имаат капацитет</w:t>
      </w:r>
      <w:r w:rsidR="00E97CAE">
        <w:rPr>
          <w:lang w:val="mk-MK"/>
        </w:rPr>
        <w:t xml:space="preserve"> да го блокираат реформскиот процес</w:t>
      </w:r>
      <w:bookmarkEnd w:id="144"/>
    </w:p>
    <w:p w14:paraId="0BA8B61D" w14:textId="77777777" w:rsidR="008875BF" w:rsidRDefault="008875BF" w:rsidP="008875BF">
      <w:pPr>
        <w:pStyle w:val="BodyText"/>
        <w:rPr>
          <w:lang w:val="mk-MK"/>
        </w:rPr>
      </w:pPr>
    </w:p>
    <w:p w14:paraId="625F401D" w14:textId="25E53EA7" w:rsidR="008875BF" w:rsidRDefault="009E74B9" w:rsidP="008875BF">
      <w:pPr>
        <w:pStyle w:val="BodyText"/>
        <w:spacing w:line="360" w:lineRule="auto"/>
        <w:jc w:val="both"/>
        <w:rPr>
          <w:rFonts w:eastAsia="Arial Unicode MS"/>
          <w:b/>
          <w:bCs/>
          <w:color w:val="000000"/>
          <w:sz w:val="26"/>
          <w:szCs w:val="26"/>
          <w:u w:val="single"/>
          <w:bdr w:val="nil"/>
          <w:lang w:val="mk-MK"/>
        </w:rPr>
      </w:pPr>
      <w:r>
        <w:rPr>
          <w:noProof/>
        </w:rPr>
        <w:drawing>
          <wp:inline distT="0" distB="0" distL="0" distR="0" wp14:anchorId="650FF8DB" wp14:editId="3EA4917B">
            <wp:extent cx="5734050" cy="4164965"/>
            <wp:effectExtent l="0" t="0" r="0" b="6985"/>
            <wp:docPr id="2010683169" name="Picture 1"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10683169" name="Picture 1" descr="A screenshot of a computer screen&#10;&#10;AI-generated content may be incorrect."/>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5734050" cy="4164965"/>
                    </a:xfrm>
                    <a:prstGeom prst="rect">
                      <a:avLst/>
                    </a:prstGeom>
                    <a:noFill/>
                    <a:ln>
                      <a:noFill/>
                    </a:ln>
                  </pic:spPr>
                </pic:pic>
              </a:graphicData>
            </a:graphic>
          </wp:inline>
        </w:drawing>
      </w:r>
    </w:p>
    <w:p w14:paraId="4EF1C5F9" w14:textId="5C890030" w:rsidR="008875BF" w:rsidRPr="003E6738" w:rsidRDefault="008875BF" w:rsidP="003E6738">
      <w:pPr>
        <w:ind w:left="-810" w:firstLine="810"/>
        <w:jc w:val="center"/>
        <w:rPr>
          <w:i/>
          <w:iCs/>
          <w:sz w:val="24"/>
          <w:szCs w:val="24"/>
          <w:lang w:val="en-US"/>
        </w:rPr>
      </w:pPr>
      <w:r w:rsidRPr="00D52194">
        <w:rPr>
          <w:i/>
          <w:iCs/>
          <w:sz w:val="24"/>
          <w:szCs w:val="24"/>
          <w:lang w:val="mk-MK"/>
        </w:rPr>
        <w:t xml:space="preserve">Извор: истражувањето и податоците изнесени во докторската дисертација. </w:t>
      </w:r>
    </w:p>
    <w:p w14:paraId="2C44D17A" w14:textId="77777777" w:rsidR="008875BF" w:rsidRDefault="008875BF" w:rsidP="008875BF">
      <w:pPr>
        <w:spacing w:before="240"/>
        <w:jc w:val="both"/>
        <w:rPr>
          <w:sz w:val="24"/>
          <w:szCs w:val="24"/>
          <w:lang w:val="mk-MK"/>
        </w:rPr>
      </w:pPr>
      <w:r w:rsidRPr="00A05BC0">
        <w:rPr>
          <w:b/>
          <w:bCs/>
          <w:sz w:val="24"/>
          <w:szCs w:val="24"/>
          <w:lang w:val="mk-MK"/>
        </w:rPr>
        <w:t>Методолошка белешка</w:t>
      </w:r>
      <w:r w:rsidRPr="00A05BC0">
        <w:rPr>
          <w:sz w:val="24"/>
          <w:szCs w:val="24"/>
          <w:lang w:val="mk-MK"/>
        </w:rPr>
        <w:t xml:space="preserve"> </w:t>
      </w:r>
    </w:p>
    <w:p w14:paraId="0A42466B" w14:textId="78A6DE4D" w:rsidR="003E547E" w:rsidRDefault="002870EC" w:rsidP="003E547E">
      <w:pPr>
        <w:jc w:val="both"/>
        <w:rPr>
          <w:sz w:val="24"/>
          <w:szCs w:val="24"/>
          <w:lang w:val="mk-MK"/>
        </w:rPr>
      </w:pPr>
      <w:r w:rsidRPr="002870EC">
        <w:rPr>
          <w:sz w:val="24"/>
          <w:szCs w:val="24"/>
          <w:lang w:val="mk-MK"/>
        </w:rPr>
        <w:t xml:space="preserve">Прикажаната шема претставува аналитички модел заснован на теоријата на </w:t>
      </w:r>
      <w:r w:rsidR="00D14A11">
        <w:rPr>
          <w:sz w:val="24"/>
          <w:szCs w:val="24"/>
          <w:lang w:val="mk-MK"/>
        </w:rPr>
        <w:t>вето играчи</w:t>
      </w:r>
      <w:r w:rsidRPr="002870EC">
        <w:rPr>
          <w:sz w:val="24"/>
          <w:szCs w:val="24"/>
          <w:lang w:val="mk-MK"/>
        </w:rPr>
        <w:t xml:space="preserve">, </w:t>
      </w:r>
      <w:r w:rsidR="00184FC1">
        <w:rPr>
          <w:sz w:val="24"/>
          <w:szCs w:val="24"/>
          <w:lang w:val="mk-MK"/>
        </w:rPr>
        <w:t>ис</w:t>
      </w:r>
      <w:r w:rsidRPr="002870EC">
        <w:rPr>
          <w:sz w:val="24"/>
          <w:szCs w:val="24"/>
          <w:lang w:val="mk-MK"/>
        </w:rPr>
        <w:t xml:space="preserve">комбинирана со елементи на неоинституционализам и политичка економија на реформи. Методолошки, моделот идентификува и диференцира формални и неформални актери со потенцијал да блокираат или разредуваат реформи во корпоративното управување, при што се прави јасна дистинкција помеѓу </w:t>
      </w:r>
      <w:r w:rsidRPr="00184FC1">
        <w:rPr>
          <w:i/>
          <w:iCs/>
          <w:sz w:val="24"/>
          <w:szCs w:val="24"/>
          <w:lang w:val="mk-MK"/>
        </w:rPr>
        <w:t>de jure</w:t>
      </w:r>
      <w:r w:rsidRPr="002870EC">
        <w:rPr>
          <w:sz w:val="24"/>
          <w:szCs w:val="24"/>
          <w:lang w:val="mk-MK"/>
        </w:rPr>
        <w:t xml:space="preserve"> овластувања и </w:t>
      </w:r>
      <w:r w:rsidRPr="00184FC1">
        <w:rPr>
          <w:i/>
          <w:iCs/>
          <w:sz w:val="24"/>
          <w:szCs w:val="24"/>
          <w:lang w:val="mk-MK"/>
        </w:rPr>
        <w:t>de facto</w:t>
      </w:r>
      <w:r w:rsidRPr="002870EC">
        <w:rPr>
          <w:sz w:val="24"/>
          <w:szCs w:val="24"/>
          <w:lang w:val="mk-MK"/>
        </w:rPr>
        <w:t xml:space="preserve"> влијание.</w:t>
      </w:r>
    </w:p>
    <w:p w14:paraId="23BD9E9E" w14:textId="77777777" w:rsidR="00184FC1" w:rsidRDefault="00184FC1" w:rsidP="003E547E">
      <w:pPr>
        <w:jc w:val="both"/>
        <w:rPr>
          <w:sz w:val="24"/>
          <w:szCs w:val="24"/>
          <w:lang w:val="mk-MK"/>
        </w:rPr>
      </w:pPr>
    </w:p>
    <w:p w14:paraId="4B29C41D" w14:textId="0684CE2A" w:rsidR="00184FC1" w:rsidRDefault="008A62B7" w:rsidP="003E547E">
      <w:pPr>
        <w:jc w:val="both"/>
        <w:rPr>
          <w:sz w:val="24"/>
          <w:szCs w:val="24"/>
          <w:lang w:val="mk-MK"/>
        </w:rPr>
      </w:pPr>
      <w:r w:rsidRPr="008A62B7">
        <w:rPr>
          <w:sz w:val="24"/>
          <w:szCs w:val="24"/>
          <w:lang w:val="mk-MK"/>
        </w:rPr>
        <w:t xml:space="preserve">Формалните </w:t>
      </w:r>
      <w:r>
        <w:rPr>
          <w:sz w:val="24"/>
          <w:szCs w:val="24"/>
          <w:lang w:val="mk-MK"/>
        </w:rPr>
        <w:t>вето</w:t>
      </w:r>
      <w:r w:rsidRPr="008A62B7">
        <w:rPr>
          <w:sz w:val="24"/>
          <w:szCs w:val="24"/>
          <w:lang w:val="mk-MK"/>
        </w:rPr>
        <w:t xml:space="preserve"> играчи се третираат како институционално вградени точки на одлучување, чија улога произлегува од уставни и законски надлежности. Неформалните </w:t>
      </w:r>
      <w:r w:rsidR="00B12157">
        <w:rPr>
          <w:sz w:val="24"/>
          <w:szCs w:val="24"/>
          <w:lang w:val="mk-MK"/>
        </w:rPr>
        <w:t>вето</w:t>
      </w:r>
      <w:r w:rsidRPr="008A62B7">
        <w:rPr>
          <w:sz w:val="24"/>
          <w:szCs w:val="24"/>
          <w:lang w:val="mk-MK"/>
        </w:rPr>
        <w:t xml:space="preserve"> играчи, пак, се анализираат преку призма на мрежи на влијание, интереси и неформални практики кои влијаат врз исходите без директна правна основа. Централниот аналитички фокус е поставен на интеракцијата помеѓу овие актери и нивната колективна способност да го стеснат </w:t>
      </w:r>
      <w:r w:rsidR="00B12157">
        <w:rPr>
          <w:sz w:val="24"/>
          <w:szCs w:val="24"/>
          <w:lang w:val="mk-MK"/>
        </w:rPr>
        <w:t xml:space="preserve">таканаречениот </w:t>
      </w:r>
      <w:r w:rsidRPr="008A62B7">
        <w:rPr>
          <w:sz w:val="24"/>
          <w:szCs w:val="24"/>
          <w:lang w:val="mk-MK"/>
        </w:rPr>
        <w:t>„policy space“.</w:t>
      </w:r>
    </w:p>
    <w:p w14:paraId="4BCECD41" w14:textId="77777777" w:rsidR="003E1289" w:rsidRDefault="003E1289" w:rsidP="003E547E">
      <w:pPr>
        <w:jc w:val="both"/>
        <w:rPr>
          <w:sz w:val="24"/>
          <w:szCs w:val="24"/>
          <w:lang w:val="mk-MK"/>
        </w:rPr>
      </w:pPr>
    </w:p>
    <w:p w14:paraId="54571918" w14:textId="7E0F7571" w:rsidR="0011449F" w:rsidRDefault="003E1289" w:rsidP="003E547E">
      <w:pPr>
        <w:jc w:val="both"/>
        <w:rPr>
          <w:sz w:val="24"/>
          <w:szCs w:val="24"/>
          <w:lang w:val="en-US"/>
        </w:rPr>
      </w:pPr>
      <w:r w:rsidRPr="003E1289">
        <w:rPr>
          <w:sz w:val="24"/>
          <w:szCs w:val="24"/>
          <w:lang w:val="mk-MK"/>
        </w:rPr>
        <w:t>Моделот користи причинско-последична логика</w:t>
      </w:r>
      <w:r w:rsidR="00B12157">
        <w:rPr>
          <w:sz w:val="24"/>
          <w:szCs w:val="24"/>
          <w:lang w:val="mk-MK"/>
        </w:rPr>
        <w:t>, односно</w:t>
      </w:r>
      <w:r w:rsidRPr="003E1289">
        <w:rPr>
          <w:sz w:val="24"/>
          <w:szCs w:val="24"/>
          <w:lang w:val="mk-MK"/>
        </w:rPr>
        <w:t xml:space="preserve"> кога </w:t>
      </w:r>
      <w:r w:rsidR="00B12157">
        <w:rPr>
          <w:sz w:val="24"/>
          <w:szCs w:val="24"/>
          <w:lang w:val="mk-MK"/>
        </w:rPr>
        <w:t>вето</w:t>
      </w:r>
      <w:r w:rsidRPr="003E1289">
        <w:rPr>
          <w:sz w:val="24"/>
          <w:szCs w:val="24"/>
          <w:lang w:val="mk-MK"/>
        </w:rPr>
        <w:t xml:space="preserve"> играчите не се усогласени, резултатот не е целосна блокада, туку минималистичка рамнотежа или policy drift. Дополнително, се инкорпорира концептот на „escape route“ преку криза и надворешен притисок, што се поврзува со теориите за критични пресвртници и проширување на policy winset.</w:t>
      </w:r>
    </w:p>
    <w:p w14:paraId="66BBE653" w14:textId="334E4E0E" w:rsidR="0011449F" w:rsidRPr="0011449F" w:rsidRDefault="0011449F" w:rsidP="003E547E">
      <w:pPr>
        <w:jc w:val="both"/>
        <w:rPr>
          <w:b/>
          <w:bCs/>
          <w:sz w:val="24"/>
          <w:szCs w:val="24"/>
          <w:lang w:val="mk-MK"/>
        </w:rPr>
      </w:pPr>
      <w:r w:rsidRPr="0011449F">
        <w:rPr>
          <w:b/>
          <w:bCs/>
          <w:sz w:val="24"/>
          <w:szCs w:val="24"/>
          <w:lang w:val="mk-MK"/>
        </w:rPr>
        <w:lastRenderedPageBreak/>
        <w:t>Напомена</w:t>
      </w:r>
    </w:p>
    <w:p w14:paraId="10C4F4B9" w14:textId="57A48B21" w:rsidR="0011449F" w:rsidRDefault="0011449F" w:rsidP="003E547E">
      <w:pPr>
        <w:jc w:val="both"/>
        <w:rPr>
          <w:sz w:val="24"/>
          <w:szCs w:val="24"/>
          <w:lang w:val="mk-MK"/>
        </w:rPr>
      </w:pPr>
      <w:r w:rsidRPr="0011449F">
        <w:rPr>
          <w:sz w:val="24"/>
          <w:szCs w:val="24"/>
          <w:lang w:val="mk-MK"/>
        </w:rPr>
        <w:t>Моделот има аналитичка и хе</w:t>
      </w:r>
      <w:r w:rsidR="006C4893">
        <w:rPr>
          <w:sz w:val="24"/>
          <w:szCs w:val="24"/>
          <w:lang w:val="mk-MK"/>
        </w:rPr>
        <w:t>в</w:t>
      </w:r>
      <w:r w:rsidRPr="0011449F">
        <w:rPr>
          <w:sz w:val="24"/>
          <w:szCs w:val="24"/>
          <w:lang w:val="mk-MK"/>
        </w:rPr>
        <w:t xml:space="preserve">ристичка функција и не претставува емпириски исцрпна мапа на сите релевантни актери. Класификацијата на </w:t>
      </w:r>
      <w:r w:rsidR="0002131C">
        <w:rPr>
          <w:sz w:val="24"/>
          <w:szCs w:val="24"/>
          <w:lang w:val="mk-MK"/>
        </w:rPr>
        <w:t>вето</w:t>
      </w:r>
      <w:r w:rsidRPr="0011449F">
        <w:rPr>
          <w:sz w:val="24"/>
          <w:szCs w:val="24"/>
          <w:lang w:val="mk-MK"/>
        </w:rPr>
        <w:t xml:space="preserve"> играчите е нужно редуктивна и служи за појаснување на доминантните обрасци на институционално однесување, а не за нивно целосно опфаќање.</w:t>
      </w:r>
    </w:p>
    <w:p w14:paraId="0619766F" w14:textId="77777777" w:rsidR="006C4893" w:rsidRDefault="006C4893" w:rsidP="003E547E">
      <w:pPr>
        <w:jc w:val="both"/>
        <w:rPr>
          <w:sz w:val="24"/>
          <w:szCs w:val="24"/>
          <w:lang w:val="mk-MK"/>
        </w:rPr>
      </w:pPr>
    </w:p>
    <w:p w14:paraId="6F2595CC" w14:textId="21B8D8DF" w:rsidR="006C4893" w:rsidRDefault="006C4893" w:rsidP="003E547E">
      <w:pPr>
        <w:jc w:val="both"/>
        <w:rPr>
          <w:sz w:val="24"/>
          <w:szCs w:val="24"/>
          <w:lang w:val="mk-MK"/>
        </w:rPr>
      </w:pPr>
      <w:r w:rsidRPr="006C4893">
        <w:rPr>
          <w:sz w:val="24"/>
          <w:szCs w:val="24"/>
          <w:lang w:val="mk-MK"/>
        </w:rPr>
        <w:t xml:space="preserve">Дополнително, претпоставката за „неусогласеност“ помеѓу </w:t>
      </w:r>
      <w:r w:rsidR="0002131C">
        <w:rPr>
          <w:sz w:val="24"/>
          <w:szCs w:val="24"/>
          <w:lang w:val="mk-MK"/>
        </w:rPr>
        <w:t>вето</w:t>
      </w:r>
      <w:r w:rsidRPr="006C4893">
        <w:rPr>
          <w:sz w:val="24"/>
          <w:szCs w:val="24"/>
          <w:lang w:val="mk-MK"/>
        </w:rPr>
        <w:t xml:space="preserve"> играчите не секогаш подразбира отворен конфликт, туку често се манифестира како пасивна резистенција, селективна имплементација или симболичка усогласеност. Во таа смисла, концептот на policy drift треба да се разбере како постепено оддалечување помеѓу нормативната рамка и практичната реалност, а не како целосен неуспех на реформата.</w:t>
      </w:r>
    </w:p>
    <w:p w14:paraId="709A00CA" w14:textId="77777777" w:rsidR="0002131C" w:rsidRDefault="0002131C" w:rsidP="003E547E">
      <w:pPr>
        <w:jc w:val="both"/>
        <w:rPr>
          <w:sz w:val="24"/>
          <w:szCs w:val="24"/>
          <w:lang w:val="mk-MK"/>
        </w:rPr>
      </w:pPr>
    </w:p>
    <w:p w14:paraId="0037465A" w14:textId="455DCB59" w:rsidR="0002131C" w:rsidRDefault="0002131C" w:rsidP="003E547E">
      <w:pPr>
        <w:jc w:val="both"/>
        <w:rPr>
          <w:sz w:val="24"/>
          <w:szCs w:val="24"/>
          <w:lang w:val="mk-MK"/>
        </w:rPr>
      </w:pPr>
      <w:r w:rsidRPr="0002131C">
        <w:rPr>
          <w:sz w:val="24"/>
          <w:szCs w:val="24"/>
          <w:lang w:val="mk-MK"/>
        </w:rPr>
        <w:t>Исто така, улогата на надворешниот притисок, особено од Европската унија, е прикажана како условна и временски ограничена, што значи дека не може да се третира како траен механизам за надминување на домашните институционални блокади</w:t>
      </w:r>
    </w:p>
    <w:p w14:paraId="675F0736" w14:textId="77777777" w:rsidR="007C7DAD" w:rsidRDefault="007C7DAD" w:rsidP="003E547E">
      <w:pPr>
        <w:jc w:val="both"/>
        <w:rPr>
          <w:sz w:val="24"/>
          <w:szCs w:val="24"/>
          <w:lang w:val="mk-MK"/>
        </w:rPr>
      </w:pPr>
    </w:p>
    <w:p w14:paraId="53494613" w14:textId="62ECBC78" w:rsidR="007C7DAD" w:rsidRDefault="007C7DAD" w:rsidP="003E547E">
      <w:pPr>
        <w:jc w:val="both"/>
        <w:rPr>
          <w:sz w:val="24"/>
          <w:szCs w:val="24"/>
          <w:lang w:val="mk-MK"/>
        </w:rPr>
      </w:pPr>
      <w:r w:rsidRPr="00A05BC0">
        <w:rPr>
          <w:b/>
          <w:bCs/>
          <w:sz w:val="24"/>
          <w:szCs w:val="24"/>
          <w:lang w:val="mk-MK"/>
        </w:rPr>
        <w:t xml:space="preserve">Синтетички заклучок </w:t>
      </w:r>
    </w:p>
    <w:p w14:paraId="1E2102CD" w14:textId="7B4E799F" w:rsidR="007C7DAD" w:rsidRDefault="007C7DAD" w:rsidP="003E547E">
      <w:pPr>
        <w:jc w:val="both"/>
        <w:rPr>
          <w:sz w:val="24"/>
          <w:szCs w:val="24"/>
          <w:lang w:val="mk-MK"/>
        </w:rPr>
      </w:pPr>
      <w:r w:rsidRPr="007C7DAD">
        <w:rPr>
          <w:sz w:val="24"/>
          <w:szCs w:val="24"/>
          <w:lang w:val="mk-MK"/>
        </w:rPr>
        <w:t xml:space="preserve">Шемата јасно укажува дека реформите во корпоративното управување во Македонија се соочуваат со повеќеслојна структура на </w:t>
      </w:r>
      <w:r w:rsidR="00BE7608">
        <w:rPr>
          <w:sz w:val="24"/>
          <w:szCs w:val="24"/>
          <w:lang w:val="mk-MK"/>
        </w:rPr>
        <w:t>вето</w:t>
      </w:r>
      <w:r w:rsidRPr="007C7DAD">
        <w:rPr>
          <w:sz w:val="24"/>
          <w:szCs w:val="24"/>
          <w:lang w:val="mk-MK"/>
        </w:rPr>
        <w:t xml:space="preserve"> точки, каде формалните институции и неформалните мрежи дејствуваат паралелно и често комплементарно во ограничување на реформскиот домет. Во таков контекст, исходот ретко е целосна институционална трансформација; наместо тоа, доминираат минималистички решенија и постепено одвојување на формалното право од фактичката практика.</w:t>
      </w:r>
    </w:p>
    <w:p w14:paraId="744CAF44" w14:textId="77777777" w:rsidR="00BE7608" w:rsidRDefault="00BE7608" w:rsidP="003E547E">
      <w:pPr>
        <w:jc w:val="both"/>
        <w:rPr>
          <w:sz w:val="24"/>
          <w:szCs w:val="24"/>
          <w:lang w:val="mk-MK"/>
        </w:rPr>
      </w:pPr>
    </w:p>
    <w:p w14:paraId="62890893" w14:textId="454AC0F3" w:rsidR="00BE7608" w:rsidRDefault="00BE7608" w:rsidP="003E547E">
      <w:pPr>
        <w:jc w:val="both"/>
        <w:rPr>
          <w:sz w:val="24"/>
          <w:szCs w:val="24"/>
          <w:lang w:val="mk-MK"/>
        </w:rPr>
      </w:pPr>
      <w:r w:rsidRPr="00BE7608">
        <w:rPr>
          <w:sz w:val="24"/>
          <w:szCs w:val="24"/>
          <w:lang w:val="mk-MK"/>
        </w:rPr>
        <w:t xml:space="preserve">Во тој поглед, клучниот аналитички увид е дека проблемот не лежи само во бројот на </w:t>
      </w:r>
      <w:r w:rsidR="00FF773B">
        <w:rPr>
          <w:sz w:val="24"/>
          <w:szCs w:val="24"/>
          <w:lang w:val="mk-MK"/>
        </w:rPr>
        <w:t>вето</w:t>
      </w:r>
      <w:r w:rsidRPr="00BE7608">
        <w:rPr>
          <w:sz w:val="24"/>
          <w:szCs w:val="24"/>
          <w:lang w:val="mk-MK"/>
        </w:rPr>
        <w:t xml:space="preserve"> играчи, туку во нивната меѓусебна неусогласеност и во недостатокот на координиран реформски коалициски капацитет. Оттука, ефективната реформа бара или </w:t>
      </w:r>
      <w:r w:rsidR="00A74DD1">
        <w:rPr>
          <w:sz w:val="24"/>
          <w:szCs w:val="24"/>
          <w:lang w:val="mk-MK"/>
        </w:rPr>
        <w:t xml:space="preserve">стратешко </w:t>
      </w:r>
      <w:r w:rsidRPr="00BE7608">
        <w:rPr>
          <w:sz w:val="24"/>
          <w:szCs w:val="24"/>
          <w:lang w:val="mk-MK"/>
        </w:rPr>
        <w:t>усогласување на дел од актерите околу заеднички интерес, или создавање на привремени „прозорци на можност“ преку криза и надворешен притисок</w:t>
      </w:r>
      <w:r w:rsidR="00A74DD1">
        <w:rPr>
          <w:sz w:val="24"/>
          <w:szCs w:val="24"/>
          <w:lang w:val="mk-MK"/>
        </w:rPr>
        <w:t>, како ЕУ.</w:t>
      </w:r>
    </w:p>
    <w:p w14:paraId="24741994" w14:textId="77777777" w:rsidR="00A74DD1" w:rsidRDefault="00A74DD1" w:rsidP="003E547E">
      <w:pPr>
        <w:jc w:val="both"/>
        <w:rPr>
          <w:sz w:val="24"/>
          <w:szCs w:val="24"/>
          <w:lang w:val="mk-MK"/>
        </w:rPr>
      </w:pPr>
    </w:p>
    <w:p w14:paraId="25B2616C" w14:textId="6F44726C" w:rsidR="00A74DD1" w:rsidRDefault="00CC43BC" w:rsidP="003E547E">
      <w:pPr>
        <w:jc w:val="both"/>
        <w:rPr>
          <w:sz w:val="24"/>
          <w:szCs w:val="24"/>
          <w:lang w:val="mk-MK"/>
        </w:rPr>
      </w:pPr>
      <w:r w:rsidRPr="00CC43BC">
        <w:rPr>
          <w:sz w:val="24"/>
          <w:szCs w:val="24"/>
          <w:lang w:val="mk-MK"/>
        </w:rPr>
        <w:t xml:space="preserve">Заклучно, моделот имплицира дека без свесно управување со </w:t>
      </w:r>
      <w:r>
        <w:rPr>
          <w:sz w:val="24"/>
          <w:szCs w:val="24"/>
          <w:lang w:val="mk-MK"/>
        </w:rPr>
        <w:t>вето</w:t>
      </w:r>
      <w:r w:rsidRPr="00CC43BC">
        <w:rPr>
          <w:sz w:val="24"/>
          <w:szCs w:val="24"/>
          <w:lang w:val="mk-MK"/>
        </w:rPr>
        <w:t xml:space="preserve"> структурата, реформите ќе продолжат да се движат во рамките на симболичка усогласеност, наместо кон суштинска институционална промена, што директно ја ограничува можноста за воведување на подлабоки механизми на транспарентност и учество на вработените.</w:t>
      </w:r>
    </w:p>
    <w:p w14:paraId="08E7D623" w14:textId="77777777" w:rsidR="00A74DD1" w:rsidRDefault="00A74DD1" w:rsidP="003E547E">
      <w:pPr>
        <w:jc w:val="both"/>
        <w:rPr>
          <w:sz w:val="24"/>
          <w:szCs w:val="24"/>
          <w:lang w:val="mk-MK"/>
        </w:rPr>
      </w:pPr>
    </w:p>
    <w:p w14:paraId="406F276D" w14:textId="77777777" w:rsidR="007C7DAD" w:rsidRDefault="007C7DAD" w:rsidP="003E547E">
      <w:pPr>
        <w:jc w:val="both"/>
        <w:rPr>
          <w:sz w:val="24"/>
          <w:szCs w:val="24"/>
          <w:lang w:val="mk-MK"/>
        </w:rPr>
      </w:pPr>
    </w:p>
    <w:p w14:paraId="09FBC9C7" w14:textId="77777777" w:rsidR="007C7DAD" w:rsidRPr="0011449F" w:rsidRDefault="007C7DAD" w:rsidP="003E547E">
      <w:pPr>
        <w:jc w:val="both"/>
        <w:rPr>
          <w:sz w:val="24"/>
          <w:szCs w:val="24"/>
          <w:lang w:val="mk-MK"/>
        </w:rPr>
      </w:pPr>
    </w:p>
    <w:p w14:paraId="25B9001B" w14:textId="77777777" w:rsidR="008875BF" w:rsidRDefault="008875BF" w:rsidP="008875BF">
      <w:pPr>
        <w:jc w:val="both"/>
        <w:rPr>
          <w:sz w:val="24"/>
          <w:szCs w:val="24"/>
          <w:lang w:val="mk-MK"/>
        </w:rPr>
      </w:pPr>
    </w:p>
    <w:p w14:paraId="5B1FD7CC" w14:textId="77777777" w:rsidR="00E34A55" w:rsidRDefault="00E34A55" w:rsidP="008875BF">
      <w:pPr>
        <w:jc w:val="both"/>
        <w:rPr>
          <w:sz w:val="24"/>
          <w:szCs w:val="24"/>
          <w:lang w:val="mk-MK"/>
        </w:rPr>
      </w:pPr>
    </w:p>
    <w:p w14:paraId="6353114F" w14:textId="77777777" w:rsidR="00E34A55" w:rsidRDefault="00E34A55" w:rsidP="008875BF">
      <w:pPr>
        <w:jc w:val="both"/>
        <w:rPr>
          <w:sz w:val="24"/>
          <w:szCs w:val="24"/>
          <w:lang w:val="mk-MK"/>
        </w:rPr>
      </w:pPr>
    </w:p>
    <w:p w14:paraId="205A16A1" w14:textId="77777777" w:rsidR="00E34A55" w:rsidRDefault="00E34A55" w:rsidP="008875BF">
      <w:pPr>
        <w:jc w:val="both"/>
        <w:rPr>
          <w:sz w:val="24"/>
          <w:szCs w:val="24"/>
          <w:lang w:val="mk-MK"/>
        </w:rPr>
      </w:pPr>
    </w:p>
    <w:p w14:paraId="43A3EDF8" w14:textId="77777777" w:rsidR="00E34A55" w:rsidRDefault="00E34A55" w:rsidP="008875BF">
      <w:pPr>
        <w:jc w:val="both"/>
        <w:rPr>
          <w:sz w:val="24"/>
          <w:szCs w:val="24"/>
          <w:lang w:val="mk-MK"/>
        </w:rPr>
      </w:pPr>
    </w:p>
    <w:p w14:paraId="5D92CD76" w14:textId="77777777" w:rsidR="00E34A55" w:rsidRDefault="00E34A55" w:rsidP="008875BF">
      <w:pPr>
        <w:jc w:val="both"/>
        <w:rPr>
          <w:sz w:val="24"/>
          <w:szCs w:val="24"/>
          <w:lang w:val="mk-MK"/>
        </w:rPr>
      </w:pPr>
    </w:p>
    <w:p w14:paraId="4AC91CE5" w14:textId="77777777" w:rsidR="00E34A55" w:rsidRDefault="00E34A55" w:rsidP="008875BF">
      <w:pPr>
        <w:jc w:val="both"/>
        <w:rPr>
          <w:sz w:val="24"/>
          <w:szCs w:val="24"/>
          <w:lang w:val="mk-MK"/>
        </w:rPr>
      </w:pPr>
    </w:p>
    <w:p w14:paraId="0F3455F4" w14:textId="77777777" w:rsidR="00E34A55" w:rsidRDefault="00E34A55" w:rsidP="008875BF">
      <w:pPr>
        <w:jc w:val="both"/>
        <w:rPr>
          <w:sz w:val="24"/>
          <w:szCs w:val="24"/>
          <w:lang w:val="mk-MK"/>
        </w:rPr>
      </w:pPr>
    </w:p>
    <w:p w14:paraId="740D9553" w14:textId="77777777" w:rsidR="008875BF" w:rsidRDefault="008875BF" w:rsidP="009C567B">
      <w:pPr>
        <w:pStyle w:val="BodyText"/>
        <w:spacing w:line="360" w:lineRule="auto"/>
        <w:jc w:val="both"/>
        <w:rPr>
          <w:rFonts w:eastAsia="Arial Unicode MS"/>
          <w:b/>
          <w:bCs/>
          <w:color w:val="000000"/>
          <w:sz w:val="26"/>
          <w:szCs w:val="26"/>
          <w:u w:val="single"/>
          <w:bdr w:val="nil"/>
          <w:lang w:val="mk-MK"/>
        </w:rPr>
      </w:pPr>
    </w:p>
    <w:p w14:paraId="626B1CE6"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73AF471F" w14:textId="3C0A9A5B" w:rsidR="008875BF" w:rsidRDefault="008875BF" w:rsidP="008875BF">
      <w:pPr>
        <w:pStyle w:val="Heading1"/>
        <w:jc w:val="both"/>
        <w:rPr>
          <w:lang w:val="mk-MK"/>
        </w:rPr>
      </w:pPr>
      <w:bookmarkStart w:id="145" w:name="_Toc230523998"/>
      <w:r w:rsidRPr="00F53881">
        <w:rPr>
          <w:lang w:val="mk-MK"/>
        </w:rPr>
        <w:lastRenderedPageBreak/>
        <w:t xml:space="preserve">Прилог </w:t>
      </w:r>
      <w:r>
        <w:rPr>
          <w:lang w:val="mk-MK"/>
        </w:rPr>
        <w:t>7</w:t>
      </w:r>
      <w:r>
        <w:rPr>
          <w:lang w:val="en-US"/>
        </w:rPr>
        <w:t xml:space="preserve">: </w:t>
      </w:r>
      <w:r w:rsidR="00BF2775">
        <w:rPr>
          <w:lang w:val="mk-MK"/>
        </w:rPr>
        <w:t>Фидбек</w:t>
      </w:r>
      <w:bookmarkEnd w:id="145"/>
    </w:p>
    <w:p w14:paraId="2648641A" w14:textId="77777777" w:rsidR="008875BF" w:rsidRDefault="008875BF" w:rsidP="008875BF">
      <w:pPr>
        <w:pStyle w:val="BodyText"/>
        <w:rPr>
          <w:lang w:val="mk-MK"/>
        </w:rPr>
      </w:pPr>
    </w:p>
    <w:p w14:paraId="42350C64" w14:textId="66C2A0DF" w:rsidR="008875BF" w:rsidRDefault="005829B1" w:rsidP="005829B1">
      <w:pPr>
        <w:pStyle w:val="BodyText"/>
        <w:spacing w:line="360" w:lineRule="auto"/>
        <w:jc w:val="center"/>
        <w:rPr>
          <w:rFonts w:eastAsia="Arial Unicode MS"/>
          <w:b/>
          <w:bCs/>
          <w:color w:val="000000"/>
          <w:sz w:val="26"/>
          <w:szCs w:val="26"/>
          <w:u w:val="single"/>
          <w:bdr w:val="nil"/>
          <w:lang w:val="mk-MK"/>
        </w:rPr>
      </w:pPr>
      <w:r>
        <w:rPr>
          <w:noProof/>
        </w:rPr>
        <w:drawing>
          <wp:inline distT="0" distB="0" distL="0" distR="0" wp14:anchorId="7CC0307B" wp14:editId="1B9BAF66">
            <wp:extent cx="5734050" cy="4394200"/>
            <wp:effectExtent l="0" t="0" r="0" b="6350"/>
            <wp:docPr id="1147383135" name="Picture 5" descr="A screenshot of a computer screen&#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47383135" name="Picture 5" descr="A screenshot of a computer screen&#10;&#10;AI-generated content may be incorrect."/>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734050" cy="4394200"/>
                    </a:xfrm>
                    <a:prstGeom prst="rect">
                      <a:avLst/>
                    </a:prstGeom>
                    <a:noFill/>
                    <a:ln>
                      <a:noFill/>
                    </a:ln>
                  </pic:spPr>
                </pic:pic>
              </a:graphicData>
            </a:graphic>
          </wp:inline>
        </w:drawing>
      </w:r>
    </w:p>
    <w:p w14:paraId="08293518" w14:textId="77777777" w:rsidR="008875BF" w:rsidRPr="00D52194" w:rsidRDefault="008875BF" w:rsidP="008875BF">
      <w:pPr>
        <w:ind w:left="-810" w:firstLine="810"/>
        <w:jc w:val="center"/>
        <w:rPr>
          <w:i/>
          <w:iCs/>
          <w:sz w:val="24"/>
          <w:szCs w:val="24"/>
          <w:lang w:val="mk-MK"/>
        </w:rPr>
      </w:pPr>
      <w:r w:rsidRPr="00D52194">
        <w:rPr>
          <w:i/>
          <w:iCs/>
          <w:sz w:val="24"/>
          <w:szCs w:val="24"/>
          <w:lang w:val="mk-MK"/>
        </w:rPr>
        <w:t xml:space="preserve">Извор: истражувањето и податоците изнесени во докторската дисертација. </w:t>
      </w:r>
    </w:p>
    <w:p w14:paraId="2FE68840" w14:textId="77777777" w:rsidR="008875BF" w:rsidRPr="00772E70" w:rsidRDefault="008875BF" w:rsidP="008875BF">
      <w:pPr>
        <w:pStyle w:val="BodyText"/>
        <w:jc w:val="center"/>
        <w:rPr>
          <w:lang w:val="en-US"/>
        </w:rPr>
      </w:pPr>
    </w:p>
    <w:p w14:paraId="3A05D15F" w14:textId="77777777" w:rsidR="008875BF" w:rsidRDefault="008875BF" w:rsidP="008875BF">
      <w:pPr>
        <w:spacing w:before="240"/>
        <w:jc w:val="both"/>
        <w:rPr>
          <w:sz w:val="24"/>
          <w:szCs w:val="24"/>
          <w:lang w:val="mk-MK"/>
        </w:rPr>
      </w:pPr>
      <w:r w:rsidRPr="00A05BC0">
        <w:rPr>
          <w:b/>
          <w:bCs/>
          <w:sz w:val="24"/>
          <w:szCs w:val="24"/>
          <w:lang w:val="mk-MK"/>
        </w:rPr>
        <w:t>Методолошка белешка</w:t>
      </w:r>
      <w:r w:rsidRPr="00A05BC0">
        <w:rPr>
          <w:sz w:val="24"/>
          <w:szCs w:val="24"/>
          <w:lang w:val="mk-MK"/>
        </w:rPr>
        <w:t xml:space="preserve"> </w:t>
      </w:r>
    </w:p>
    <w:p w14:paraId="7E788077" w14:textId="54E351DB" w:rsidR="00B365A7" w:rsidRDefault="00B365A7" w:rsidP="00B365A7">
      <w:pPr>
        <w:jc w:val="both"/>
        <w:rPr>
          <w:sz w:val="24"/>
          <w:szCs w:val="24"/>
          <w:lang w:val="mk-MK"/>
        </w:rPr>
      </w:pPr>
      <w:r w:rsidRPr="00B365A7">
        <w:rPr>
          <w:sz w:val="24"/>
          <w:szCs w:val="24"/>
          <w:lang w:val="mk-MK"/>
        </w:rPr>
        <w:t>Прикажаната шема претставува аналитички модел базиран на теоријата на policy feedback, особено во формулацијата на самозасилувачки (self-reinforcing) институционални циклуси. Методолошки, моделот ја реконструира причинско-последичната секвенца која започнува со раните избори на приватизација во 1990-тите и нивното долгорочно влијание врз структурата на сопственост, распределбата на моќ и институционалните капацитети.</w:t>
      </w:r>
    </w:p>
    <w:p w14:paraId="0C3E065A" w14:textId="77777777" w:rsidR="008875BF" w:rsidRDefault="008875BF" w:rsidP="008875BF">
      <w:pPr>
        <w:jc w:val="both"/>
        <w:rPr>
          <w:sz w:val="24"/>
          <w:szCs w:val="24"/>
          <w:lang w:val="mk-MK"/>
        </w:rPr>
      </w:pPr>
    </w:p>
    <w:p w14:paraId="0D1448E8" w14:textId="4F8F263C" w:rsidR="009503DD" w:rsidRDefault="00194201" w:rsidP="008875BF">
      <w:pPr>
        <w:jc w:val="both"/>
        <w:rPr>
          <w:sz w:val="24"/>
          <w:szCs w:val="24"/>
          <w:lang w:val="mk-MK"/>
        </w:rPr>
      </w:pPr>
      <w:r w:rsidRPr="00194201">
        <w:rPr>
          <w:sz w:val="24"/>
          <w:szCs w:val="24"/>
          <w:lang w:val="mk-MK"/>
        </w:rPr>
        <w:t>Анализата се темели на историско-институционален пристап, при што иницијалните политики се третираат како критични почетни точки што генерираат трајни ефекти преку механизми на позитивна повратна врска. Концентрацијата на сопственост се поврзува со консолидација на менаџерски и политичк</w:t>
      </w:r>
      <w:r>
        <w:rPr>
          <w:sz w:val="24"/>
          <w:szCs w:val="24"/>
          <w:lang w:val="mk-MK"/>
        </w:rPr>
        <w:t>и</w:t>
      </w:r>
      <w:r w:rsidRPr="00194201">
        <w:rPr>
          <w:sz w:val="24"/>
          <w:szCs w:val="24"/>
          <w:lang w:val="mk-MK"/>
        </w:rPr>
        <w:t xml:space="preserve">-бизнис елити, кои понатаму се трансформираат во ефективни </w:t>
      </w:r>
      <w:r w:rsidR="000672B0">
        <w:rPr>
          <w:sz w:val="24"/>
          <w:szCs w:val="24"/>
          <w:lang w:val="mk-MK"/>
        </w:rPr>
        <w:t>вето</w:t>
      </w:r>
      <w:r w:rsidRPr="00194201">
        <w:rPr>
          <w:sz w:val="24"/>
          <w:szCs w:val="24"/>
          <w:lang w:val="mk-MK"/>
        </w:rPr>
        <w:t xml:space="preserve"> играчи. Паралелно, маргинализацијата на трудот се анализира како институционален исход кој ја намалува способноста за контрабаланс.</w:t>
      </w:r>
    </w:p>
    <w:p w14:paraId="7D0A5ADD" w14:textId="77777777" w:rsidR="001A00CA" w:rsidRDefault="001A00CA" w:rsidP="008875BF">
      <w:pPr>
        <w:jc w:val="both"/>
        <w:rPr>
          <w:sz w:val="24"/>
          <w:szCs w:val="24"/>
          <w:lang w:val="mk-MK"/>
        </w:rPr>
      </w:pPr>
    </w:p>
    <w:p w14:paraId="4BD41472" w14:textId="5008F224" w:rsidR="001A00CA" w:rsidRDefault="001A00CA" w:rsidP="008875BF">
      <w:pPr>
        <w:jc w:val="both"/>
        <w:rPr>
          <w:sz w:val="24"/>
          <w:szCs w:val="24"/>
          <w:lang w:val="mk-MK"/>
        </w:rPr>
      </w:pPr>
      <w:r w:rsidRPr="001A00CA">
        <w:rPr>
          <w:sz w:val="24"/>
          <w:szCs w:val="24"/>
          <w:lang w:val="mk-MK"/>
        </w:rPr>
        <w:t xml:space="preserve">Моделот ја интегрира и димензијата на институционално учење, преку индикација за можноста за „loop break“ како резултат на надворешен притисок и акумулација на нови политики и практики. На тој начин, се комбинираат елементи на </w:t>
      </w:r>
      <w:r w:rsidR="00865068">
        <w:rPr>
          <w:sz w:val="24"/>
          <w:szCs w:val="24"/>
          <w:lang w:val="mk-MK"/>
        </w:rPr>
        <w:t xml:space="preserve">таканаречен </w:t>
      </w:r>
      <w:r w:rsidRPr="001A00CA">
        <w:rPr>
          <w:sz w:val="24"/>
          <w:szCs w:val="24"/>
          <w:lang w:val="mk-MK"/>
        </w:rPr>
        <w:t xml:space="preserve">path </w:t>
      </w:r>
      <w:r w:rsidRPr="001A00CA">
        <w:rPr>
          <w:sz w:val="24"/>
          <w:szCs w:val="24"/>
          <w:lang w:val="mk-MK"/>
        </w:rPr>
        <w:lastRenderedPageBreak/>
        <w:t>dependency и ограничена трансформативност.</w:t>
      </w:r>
    </w:p>
    <w:p w14:paraId="6C0179B4" w14:textId="77777777" w:rsidR="009503DD" w:rsidRDefault="009503DD" w:rsidP="008875BF">
      <w:pPr>
        <w:jc w:val="both"/>
        <w:rPr>
          <w:sz w:val="24"/>
          <w:szCs w:val="24"/>
          <w:lang w:val="mk-MK"/>
        </w:rPr>
      </w:pPr>
    </w:p>
    <w:p w14:paraId="42866032" w14:textId="77777777" w:rsidR="008875BF" w:rsidRDefault="008875BF" w:rsidP="008875BF">
      <w:pPr>
        <w:jc w:val="both"/>
        <w:rPr>
          <w:b/>
          <w:bCs/>
          <w:sz w:val="24"/>
          <w:szCs w:val="24"/>
          <w:lang w:val="mk-MK"/>
        </w:rPr>
      </w:pPr>
      <w:r w:rsidRPr="0016039E">
        <w:rPr>
          <w:b/>
          <w:bCs/>
          <w:sz w:val="24"/>
          <w:szCs w:val="24"/>
          <w:lang w:val="mk-MK"/>
        </w:rPr>
        <w:t xml:space="preserve">Напомена </w:t>
      </w:r>
    </w:p>
    <w:p w14:paraId="6E7A01A0" w14:textId="396BA671" w:rsidR="005829B1" w:rsidRDefault="00FA6D07" w:rsidP="008875BF">
      <w:pPr>
        <w:jc w:val="both"/>
        <w:rPr>
          <w:sz w:val="24"/>
          <w:szCs w:val="24"/>
          <w:lang w:val="mk-MK"/>
        </w:rPr>
      </w:pPr>
      <w:r w:rsidRPr="00FA6D07">
        <w:rPr>
          <w:sz w:val="24"/>
          <w:szCs w:val="24"/>
          <w:lang w:val="mk-MK"/>
        </w:rPr>
        <w:t>Шемата има поедноставувачки карактер и претставува идеален тип на циклус</w:t>
      </w:r>
      <w:r w:rsidR="00B16357">
        <w:rPr>
          <w:sz w:val="24"/>
          <w:szCs w:val="24"/>
          <w:lang w:val="mk-MK"/>
        </w:rPr>
        <w:t xml:space="preserve"> за собирање фидбек</w:t>
      </w:r>
      <w:r w:rsidRPr="00FA6D07">
        <w:rPr>
          <w:sz w:val="24"/>
          <w:szCs w:val="24"/>
          <w:lang w:val="mk-MK"/>
        </w:rPr>
        <w:t>, а не емпириски исцрпна реконструкција на сите варијабли и актери. Во пракса, динамиката помеѓу сопственичките структури, елитите и трудот може да биде повеќеслојна и контингентна, со варијации по сектори и временски периоди.</w:t>
      </w:r>
    </w:p>
    <w:p w14:paraId="25113F1D" w14:textId="77777777" w:rsidR="009B7417" w:rsidRDefault="009B7417" w:rsidP="008875BF">
      <w:pPr>
        <w:jc w:val="both"/>
        <w:rPr>
          <w:sz w:val="24"/>
          <w:szCs w:val="24"/>
          <w:lang w:val="mk-MK"/>
        </w:rPr>
      </w:pPr>
    </w:p>
    <w:p w14:paraId="503C2A71" w14:textId="204306DE" w:rsidR="009B7417" w:rsidRDefault="009B7417" w:rsidP="008875BF">
      <w:pPr>
        <w:jc w:val="both"/>
        <w:rPr>
          <w:sz w:val="24"/>
          <w:szCs w:val="24"/>
          <w:lang w:val="mk-MK"/>
        </w:rPr>
      </w:pPr>
      <w:r w:rsidRPr="009B7417">
        <w:rPr>
          <w:sz w:val="24"/>
          <w:szCs w:val="24"/>
          <w:lang w:val="mk-MK"/>
        </w:rPr>
        <w:t xml:space="preserve">Дополнително, претпоставката за линеарна самозасилувачка логика не ја исклучува можноста за прекини, отстапувања или делумни реформи во рамките на циклусот. </w:t>
      </w:r>
      <w:r w:rsidR="00135E1B">
        <w:rPr>
          <w:sz w:val="24"/>
          <w:szCs w:val="24"/>
          <w:lang w:val="mk-MK"/>
        </w:rPr>
        <w:t>У</w:t>
      </w:r>
      <w:r w:rsidRPr="009B7417">
        <w:rPr>
          <w:sz w:val="24"/>
          <w:szCs w:val="24"/>
          <w:lang w:val="mk-MK"/>
        </w:rPr>
        <w:t>логата на Европската унија како надворешен фактор</w:t>
      </w:r>
      <w:r w:rsidR="00135E1B">
        <w:rPr>
          <w:sz w:val="24"/>
          <w:szCs w:val="24"/>
          <w:lang w:val="mk-MK"/>
        </w:rPr>
        <w:t xml:space="preserve"> особено</w:t>
      </w:r>
      <w:r w:rsidRPr="009B7417">
        <w:rPr>
          <w:sz w:val="24"/>
          <w:szCs w:val="24"/>
          <w:lang w:val="mk-MK"/>
        </w:rPr>
        <w:t xml:space="preserve"> треба да се разбере како катализатор, а не како автономен двигател на промена. Ефектот на „учење“ зависи од капацитетот на домашните институции да ги интернализираат новите правила.</w:t>
      </w:r>
    </w:p>
    <w:p w14:paraId="37454D71" w14:textId="77777777" w:rsidR="00135E1B" w:rsidRDefault="00135E1B" w:rsidP="00135E1B">
      <w:pPr>
        <w:jc w:val="both"/>
        <w:rPr>
          <w:sz w:val="24"/>
          <w:szCs w:val="24"/>
          <w:lang w:val="mk-MK"/>
        </w:rPr>
      </w:pPr>
    </w:p>
    <w:p w14:paraId="190C9B01" w14:textId="232C5745" w:rsidR="00135E1B" w:rsidRDefault="00135E1B" w:rsidP="008875BF">
      <w:pPr>
        <w:jc w:val="both"/>
        <w:rPr>
          <w:sz w:val="24"/>
          <w:szCs w:val="24"/>
          <w:lang w:val="mk-MK"/>
        </w:rPr>
      </w:pPr>
      <w:r w:rsidRPr="00A05BC0">
        <w:rPr>
          <w:b/>
          <w:bCs/>
          <w:sz w:val="24"/>
          <w:szCs w:val="24"/>
          <w:lang w:val="mk-MK"/>
        </w:rPr>
        <w:t xml:space="preserve">Синтетички заклучок </w:t>
      </w:r>
    </w:p>
    <w:p w14:paraId="0EB3FBC7" w14:textId="33580939" w:rsidR="009B7417" w:rsidRDefault="009B7417" w:rsidP="008875BF">
      <w:pPr>
        <w:jc w:val="both"/>
        <w:rPr>
          <w:sz w:val="24"/>
          <w:szCs w:val="24"/>
          <w:lang w:val="mk-MK"/>
        </w:rPr>
      </w:pPr>
      <w:r w:rsidRPr="009B7417">
        <w:rPr>
          <w:sz w:val="24"/>
          <w:szCs w:val="24"/>
          <w:lang w:val="mk-MK"/>
        </w:rPr>
        <w:t xml:space="preserve">Шемата јасно демонстрира дека раните приватизациски избори не се само транзициски момент, туку структурен фактор кој долгорочно ја обликува распределбата на моќ и можностите за реформа. Преку самозасилувачки механизми, концентрираната сопственост води кон консолидирани елити, кои потоа функционираат како </w:t>
      </w:r>
      <w:r w:rsidR="00607BD8">
        <w:rPr>
          <w:sz w:val="24"/>
          <w:szCs w:val="24"/>
          <w:lang w:val="mk-MK"/>
        </w:rPr>
        <w:t>вето</w:t>
      </w:r>
      <w:r w:rsidRPr="009B7417">
        <w:rPr>
          <w:sz w:val="24"/>
          <w:szCs w:val="24"/>
          <w:lang w:val="mk-MK"/>
        </w:rPr>
        <w:t xml:space="preserve"> играчи и го стабилизираат статус квото. Во исто време, слабеењето на трудот како колективен актер дополнително ја редуцира способноста за институционален баланс.</w:t>
      </w:r>
    </w:p>
    <w:p w14:paraId="249A3080" w14:textId="77777777" w:rsidR="00607BD8" w:rsidRDefault="00607BD8" w:rsidP="008875BF">
      <w:pPr>
        <w:jc w:val="both"/>
        <w:rPr>
          <w:sz w:val="24"/>
          <w:szCs w:val="24"/>
          <w:lang w:val="mk-MK"/>
        </w:rPr>
      </w:pPr>
    </w:p>
    <w:p w14:paraId="146A6CF6" w14:textId="09249906" w:rsidR="00607BD8" w:rsidRDefault="00607BD8" w:rsidP="008875BF">
      <w:pPr>
        <w:jc w:val="both"/>
        <w:rPr>
          <w:sz w:val="24"/>
          <w:szCs w:val="24"/>
          <w:lang w:val="mk-MK"/>
        </w:rPr>
      </w:pPr>
      <w:r w:rsidRPr="00607BD8">
        <w:rPr>
          <w:sz w:val="24"/>
          <w:szCs w:val="24"/>
          <w:lang w:val="mk-MK"/>
        </w:rPr>
        <w:t>Во тој поглед, реформите во корпоративното управување се соочуваат со двоен предизвик</w:t>
      </w:r>
      <w:r w:rsidR="00544FBA">
        <w:rPr>
          <w:sz w:val="24"/>
          <w:szCs w:val="24"/>
          <w:lang w:val="mk-MK"/>
        </w:rPr>
        <w:t>,</w:t>
      </w:r>
      <w:r w:rsidRPr="00607BD8">
        <w:rPr>
          <w:sz w:val="24"/>
          <w:szCs w:val="24"/>
          <w:lang w:val="mk-MK"/>
        </w:rPr>
        <w:t xml:space="preserve"> не само </w:t>
      </w:r>
      <w:r w:rsidR="00544FBA">
        <w:rPr>
          <w:sz w:val="24"/>
          <w:szCs w:val="24"/>
          <w:lang w:val="mk-MK"/>
        </w:rPr>
        <w:t xml:space="preserve">што треба </w:t>
      </w:r>
      <w:r w:rsidRPr="00607BD8">
        <w:rPr>
          <w:sz w:val="24"/>
          <w:szCs w:val="24"/>
          <w:lang w:val="mk-MK"/>
        </w:rPr>
        <w:t xml:space="preserve">да воведат нови правила, туку </w:t>
      </w:r>
      <w:r w:rsidR="00544FBA">
        <w:rPr>
          <w:sz w:val="24"/>
          <w:szCs w:val="24"/>
          <w:lang w:val="mk-MK"/>
        </w:rPr>
        <w:t xml:space="preserve">треба </w:t>
      </w:r>
      <w:r w:rsidRPr="00607BD8">
        <w:rPr>
          <w:sz w:val="24"/>
          <w:szCs w:val="24"/>
          <w:lang w:val="mk-MK"/>
        </w:rPr>
        <w:t>и да ја нарушат веќе вградeната логика на репродукција на моќ. Оттука, значајна промена е тешко остварлива без надворешен притисок комбиниран со внатрешно институционално учење.</w:t>
      </w:r>
    </w:p>
    <w:p w14:paraId="18CCA1D7" w14:textId="77777777" w:rsidR="00607BD8" w:rsidRDefault="00607BD8" w:rsidP="008875BF">
      <w:pPr>
        <w:jc w:val="both"/>
        <w:rPr>
          <w:sz w:val="24"/>
          <w:szCs w:val="24"/>
          <w:lang w:val="mk-MK"/>
        </w:rPr>
      </w:pPr>
    </w:p>
    <w:p w14:paraId="5392831F" w14:textId="7E6A6406" w:rsidR="00607BD8" w:rsidRPr="00FA6D07" w:rsidRDefault="00607BD8" w:rsidP="008875BF">
      <w:pPr>
        <w:jc w:val="both"/>
        <w:rPr>
          <w:sz w:val="24"/>
          <w:szCs w:val="24"/>
          <w:lang w:val="mk-MK"/>
        </w:rPr>
      </w:pPr>
      <w:r w:rsidRPr="00607BD8">
        <w:rPr>
          <w:sz w:val="24"/>
          <w:szCs w:val="24"/>
          <w:lang w:val="mk-MK"/>
        </w:rPr>
        <w:t>Заклучно, моделот имплицира дека секоја сериозна реформа мора да биде дизајнирана како интервенција во самиот циклус</w:t>
      </w:r>
      <w:r w:rsidR="00544FBA">
        <w:rPr>
          <w:sz w:val="24"/>
          <w:szCs w:val="24"/>
          <w:lang w:val="mk-MK"/>
        </w:rPr>
        <w:t xml:space="preserve"> за фидбек</w:t>
      </w:r>
      <w:r w:rsidRPr="00607BD8">
        <w:rPr>
          <w:sz w:val="24"/>
          <w:szCs w:val="24"/>
          <w:lang w:val="mk-MK"/>
        </w:rPr>
        <w:t>, односно како обид за редефинирање на односите помеѓу сопственоста, управувањето и учеството на трудот, наместо како изолирана правна измена без структурен ефект.</w:t>
      </w:r>
    </w:p>
    <w:p w14:paraId="417BA1D1"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41423DFD"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2D100DFE" w14:textId="77777777" w:rsidR="00BF4A7F" w:rsidRDefault="00BF4A7F" w:rsidP="009C567B">
      <w:pPr>
        <w:pStyle w:val="BodyText"/>
        <w:spacing w:line="360" w:lineRule="auto"/>
        <w:jc w:val="both"/>
        <w:rPr>
          <w:rFonts w:eastAsia="Arial Unicode MS"/>
          <w:b/>
          <w:bCs/>
          <w:color w:val="000000"/>
          <w:sz w:val="26"/>
          <w:szCs w:val="26"/>
          <w:u w:val="single"/>
          <w:bdr w:val="nil"/>
          <w:lang w:val="mk-MK"/>
        </w:rPr>
      </w:pPr>
    </w:p>
    <w:p w14:paraId="0C207B6B" w14:textId="77777777" w:rsidR="00607BD8" w:rsidRDefault="00607BD8" w:rsidP="009C567B">
      <w:pPr>
        <w:pStyle w:val="BodyText"/>
        <w:spacing w:line="360" w:lineRule="auto"/>
        <w:jc w:val="both"/>
        <w:rPr>
          <w:rFonts w:eastAsia="Arial Unicode MS"/>
          <w:b/>
          <w:bCs/>
          <w:color w:val="000000"/>
          <w:sz w:val="26"/>
          <w:szCs w:val="26"/>
          <w:u w:val="single"/>
          <w:bdr w:val="nil"/>
          <w:lang w:val="mk-MK"/>
        </w:rPr>
      </w:pPr>
    </w:p>
    <w:p w14:paraId="7ECD5AF9" w14:textId="77777777" w:rsidR="00607BD8" w:rsidRDefault="00607BD8" w:rsidP="009C567B">
      <w:pPr>
        <w:pStyle w:val="BodyText"/>
        <w:spacing w:line="360" w:lineRule="auto"/>
        <w:jc w:val="both"/>
        <w:rPr>
          <w:rFonts w:eastAsia="Arial Unicode MS"/>
          <w:b/>
          <w:bCs/>
          <w:color w:val="000000"/>
          <w:sz w:val="26"/>
          <w:szCs w:val="26"/>
          <w:u w:val="single"/>
          <w:bdr w:val="nil"/>
          <w:lang w:val="mk-MK"/>
        </w:rPr>
      </w:pPr>
    </w:p>
    <w:p w14:paraId="44F7FF58" w14:textId="77777777" w:rsidR="00607BD8" w:rsidRDefault="00607BD8" w:rsidP="009C567B">
      <w:pPr>
        <w:pStyle w:val="BodyText"/>
        <w:spacing w:line="360" w:lineRule="auto"/>
        <w:jc w:val="both"/>
        <w:rPr>
          <w:rFonts w:eastAsia="Arial Unicode MS"/>
          <w:b/>
          <w:bCs/>
          <w:color w:val="000000"/>
          <w:sz w:val="26"/>
          <w:szCs w:val="26"/>
          <w:u w:val="single"/>
          <w:bdr w:val="nil"/>
          <w:lang w:val="mk-MK"/>
        </w:rPr>
      </w:pPr>
    </w:p>
    <w:p w14:paraId="5294D47B" w14:textId="77777777" w:rsidR="00607BD8" w:rsidRDefault="00607BD8" w:rsidP="009C567B">
      <w:pPr>
        <w:pStyle w:val="BodyText"/>
        <w:spacing w:line="360" w:lineRule="auto"/>
        <w:jc w:val="both"/>
        <w:rPr>
          <w:rFonts w:eastAsia="Arial Unicode MS"/>
          <w:b/>
          <w:bCs/>
          <w:color w:val="000000"/>
          <w:sz w:val="26"/>
          <w:szCs w:val="26"/>
          <w:u w:val="single"/>
          <w:bdr w:val="nil"/>
          <w:lang w:val="mk-MK"/>
        </w:rPr>
      </w:pPr>
    </w:p>
    <w:p w14:paraId="7C16D329" w14:textId="77777777" w:rsidR="00607BD8" w:rsidRDefault="00607BD8" w:rsidP="009C567B">
      <w:pPr>
        <w:pStyle w:val="BodyText"/>
        <w:spacing w:line="360" w:lineRule="auto"/>
        <w:jc w:val="both"/>
        <w:rPr>
          <w:rFonts w:eastAsia="Arial Unicode MS"/>
          <w:b/>
          <w:bCs/>
          <w:color w:val="000000"/>
          <w:sz w:val="26"/>
          <w:szCs w:val="26"/>
          <w:u w:val="single"/>
          <w:bdr w:val="nil"/>
          <w:lang w:val="mk-MK"/>
        </w:rPr>
      </w:pPr>
    </w:p>
    <w:p w14:paraId="7CF0AFEE" w14:textId="77777777" w:rsidR="00607BD8" w:rsidRDefault="00607BD8" w:rsidP="009C567B">
      <w:pPr>
        <w:pStyle w:val="BodyText"/>
        <w:spacing w:line="360" w:lineRule="auto"/>
        <w:jc w:val="both"/>
        <w:rPr>
          <w:rFonts w:eastAsia="Arial Unicode MS"/>
          <w:b/>
          <w:bCs/>
          <w:color w:val="000000"/>
          <w:sz w:val="26"/>
          <w:szCs w:val="26"/>
          <w:u w:val="single"/>
          <w:bdr w:val="nil"/>
          <w:lang w:val="en-US"/>
        </w:rPr>
      </w:pPr>
    </w:p>
    <w:p w14:paraId="1608373E" w14:textId="77777777" w:rsidR="00C44F1E" w:rsidRPr="00C44F1E" w:rsidRDefault="00C44F1E" w:rsidP="009C567B">
      <w:pPr>
        <w:pStyle w:val="BodyText"/>
        <w:spacing w:line="360" w:lineRule="auto"/>
        <w:jc w:val="both"/>
        <w:rPr>
          <w:rFonts w:eastAsia="Arial Unicode MS"/>
          <w:b/>
          <w:bCs/>
          <w:color w:val="000000"/>
          <w:sz w:val="26"/>
          <w:szCs w:val="26"/>
          <w:u w:val="single"/>
          <w:bdr w:val="nil"/>
          <w:lang w:val="en-US"/>
        </w:rPr>
      </w:pPr>
    </w:p>
    <w:p w14:paraId="5C887B99" w14:textId="77777777" w:rsidR="009C567B" w:rsidRDefault="009C567B" w:rsidP="009C567B">
      <w:pPr>
        <w:pStyle w:val="BodyText"/>
        <w:spacing w:line="360" w:lineRule="auto"/>
        <w:jc w:val="both"/>
        <w:rPr>
          <w:rFonts w:eastAsia="Arial Unicode MS"/>
          <w:color w:val="000000"/>
          <w:sz w:val="26"/>
          <w:szCs w:val="26"/>
          <w:bdr w:val="nil"/>
          <w:lang w:val="mk-MK"/>
        </w:rPr>
      </w:pPr>
    </w:p>
    <w:p w14:paraId="13E73AF5" w14:textId="3F582972" w:rsidR="00263DD8" w:rsidRPr="009A25CB" w:rsidRDefault="00263DD8" w:rsidP="00B7670F">
      <w:pPr>
        <w:pStyle w:val="Heading1"/>
        <w:spacing w:after="240"/>
        <w:jc w:val="both"/>
        <w:rPr>
          <w:lang w:val="mk-MK"/>
        </w:rPr>
      </w:pPr>
      <w:bookmarkStart w:id="146" w:name="_Toc230523999"/>
      <w:r w:rsidRPr="00F53881">
        <w:rPr>
          <w:lang w:val="mk-MK"/>
        </w:rPr>
        <w:lastRenderedPageBreak/>
        <w:t xml:space="preserve">Прилог </w:t>
      </w:r>
      <w:r w:rsidR="00BF2775">
        <w:rPr>
          <w:lang w:val="mk-MK"/>
        </w:rPr>
        <w:t>8</w:t>
      </w:r>
      <w:r>
        <w:rPr>
          <w:lang w:val="en-US"/>
        </w:rPr>
        <w:t xml:space="preserve">: </w:t>
      </w:r>
      <w:r w:rsidR="009A25CB">
        <w:rPr>
          <w:lang w:val="mk-MK"/>
        </w:rPr>
        <w:t>Користен п</w:t>
      </w:r>
      <w:r w:rsidR="001E2DB5">
        <w:rPr>
          <w:lang w:val="mk-MK"/>
        </w:rPr>
        <w:t xml:space="preserve">рашалник </w:t>
      </w:r>
      <w:r w:rsidR="00766CAC">
        <w:rPr>
          <w:lang w:val="mk-MK"/>
        </w:rPr>
        <w:t>за интервјуа</w:t>
      </w:r>
      <w:r w:rsidR="009A25CB">
        <w:rPr>
          <w:lang w:val="mk-MK"/>
        </w:rPr>
        <w:t>та</w:t>
      </w:r>
      <w:r w:rsidR="00766CAC">
        <w:rPr>
          <w:lang w:val="mk-MK"/>
        </w:rPr>
        <w:t xml:space="preserve"> со трговските друштва</w:t>
      </w:r>
      <w:bookmarkEnd w:id="146"/>
    </w:p>
    <w:p w14:paraId="1E89A71E" w14:textId="0CDE7588" w:rsidR="00C44F1E" w:rsidRPr="00C44F1E" w:rsidRDefault="00C44F1E" w:rsidP="00B7670F">
      <w:pPr>
        <w:pStyle w:val="BodyText"/>
        <w:spacing w:before="240" w:line="360" w:lineRule="auto"/>
        <w:jc w:val="both"/>
        <w:rPr>
          <w:rFonts w:eastAsia="Arial Unicode MS"/>
          <w:color w:val="000000"/>
          <w:u w:val="single"/>
          <w:bdr w:val="nil"/>
          <w:lang w:val="mk-MK"/>
        </w:rPr>
      </w:pPr>
      <w:r w:rsidRPr="00C44F1E">
        <w:rPr>
          <w:rFonts w:eastAsia="Arial Unicode MS"/>
          <w:color w:val="000000"/>
          <w:u w:val="single"/>
          <w:bdr w:val="nil"/>
          <w:lang w:val="mk-MK"/>
        </w:rPr>
        <w:t>Англиска верзија</w:t>
      </w:r>
    </w:p>
    <w:p w14:paraId="15801687" w14:textId="543C0B48" w:rsidR="00232DC3" w:rsidRPr="00232DC3" w:rsidRDefault="00232DC3" w:rsidP="00B7670F">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1: Company Profile</w:t>
      </w:r>
    </w:p>
    <w:p w14:paraId="6DECE326" w14:textId="54139F97" w:rsidR="00232DC3" w:rsidRPr="00232DC3" w:rsidRDefault="00232DC3" w:rsidP="009330C0">
      <w:pPr>
        <w:pStyle w:val="BodyText"/>
        <w:numPr>
          <w:ilvl w:val="0"/>
          <w:numId w:val="15"/>
        </w:numPr>
        <w:spacing w:before="240" w:line="360" w:lineRule="auto"/>
        <w:jc w:val="both"/>
        <w:rPr>
          <w:rFonts w:eastAsia="Arial Unicode MS"/>
          <w:color w:val="000000"/>
          <w:bdr w:val="nil"/>
          <w:lang w:val="en-US"/>
        </w:rPr>
      </w:pPr>
      <w:r w:rsidRPr="00232DC3">
        <w:rPr>
          <w:rFonts w:eastAsia="Arial Unicode MS"/>
          <w:color w:val="000000"/>
          <w:bdr w:val="nil"/>
          <w:lang w:val="en-US"/>
        </w:rPr>
        <w:t>Company size</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Micro (1–9 employees)</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Small (10–49)</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Medium (50–249)</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Large (250+)</w:t>
      </w:r>
    </w:p>
    <w:p w14:paraId="33D32C28" w14:textId="2DE65FB5" w:rsidR="00232DC3" w:rsidRPr="00232DC3" w:rsidRDefault="00232DC3" w:rsidP="009330C0">
      <w:pPr>
        <w:pStyle w:val="BodyText"/>
        <w:numPr>
          <w:ilvl w:val="0"/>
          <w:numId w:val="15"/>
        </w:numPr>
        <w:spacing w:before="240" w:line="360" w:lineRule="auto"/>
        <w:jc w:val="both"/>
        <w:rPr>
          <w:rFonts w:eastAsia="Arial Unicode MS"/>
          <w:color w:val="000000"/>
          <w:bdr w:val="nil"/>
          <w:lang w:val="en-US"/>
        </w:rPr>
      </w:pPr>
      <w:r w:rsidRPr="00232DC3">
        <w:rPr>
          <w:rFonts w:eastAsia="Arial Unicode MS"/>
          <w:color w:val="000000"/>
          <w:bdr w:val="nil"/>
          <w:lang w:val="en-US"/>
        </w:rPr>
        <w:t>Ownership structure</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Family-owned</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Domestic private company</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Foreign-owned/subsidiary</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Mixed ownership</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State-owned / public enterprise</w:t>
      </w:r>
    </w:p>
    <w:p w14:paraId="4751BE0B" w14:textId="5FDF023C" w:rsidR="00232DC3" w:rsidRPr="00232DC3" w:rsidRDefault="00232DC3" w:rsidP="009330C0">
      <w:pPr>
        <w:pStyle w:val="BodyText"/>
        <w:numPr>
          <w:ilvl w:val="0"/>
          <w:numId w:val="15"/>
        </w:numPr>
        <w:spacing w:before="240" w:line="360" w:lineRule="auto"/>
        <w:jc w:val="both"/>
        <w:rPr>
          <w:rFonts w:eastAsia="Arial Unicode MS"/>
          <w:color w:val="000000"/>
          <w:bdr w:val="nil"/>
          <w:lang w:val="en-US"/>
        </w:rPr>
      </w:pPr>
      <w:r w:rsidRPr="00232DC3">
        <w:rPr>
          <w:rFonts w:eastAsia="Arial Unicode MS"/>
          <w:color w:val="000000"/>
          <w:bdr w:val="nil"/>
          <w:lang w:val="en-US"/>
        </w:rPr>
        <w:t>Sector</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Manufacturing</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Services</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Finance</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ICT / Startups</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Other: _______</w:t>
      </w:r>
    </w:p>
    <w:p w14:paraId="25F478B9" w14:textId="0965A32C" w:rsidR="00232DC3" w:rsidRPr="00232DC3" w:rsidRDefault="00232DC3" w:rsidP="009330C0">
      <w:pPr>
        <w:pStyle w:val="BodyText"/>
        <w:numPr>
          <w:ilvl w:val="0"/>
          <w:numId w:val="15"/>
        </w:numPr>
        <w:spacing w:before="240" w:line="360" w:lineRule="auto"/>
        <w:jc w:val="both"/>
        <w:rPr>
          <w:rFonts w:eastAsia="Arial Unicode MS"/>
          <w:color w:val="000000"/>
          <w:bdr w:val="nil"/>
          <w:lang w:val="en-US"/>
        </w:rPr>
      </w:pPr>
      <w:r w:rsidRPr="00232DC3">
        <w:rPr>
          <w:rFonts w:eastAsia="Arial Unicode MS"/>
          <w:color w:val="000000"/>
          <w:bdr w:val="nil"/>
          <w:lang w:val="en-US"/>
        </w:rPr>
        <w:t>Does your company currently have any formal employee representation structure?</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Yes</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w:t>
      </w:r>
    </w:p>
    <w:p w14:paraId="2EC82B0C" w14:textId="4930186C" w:rsidR="00232DC3" w:rsidRPr="00232DC3" w:rsidRDefault="00232DC3" w:rsidP="00232DC3">
      <w:pPr>
        <w:pStyle w:val="BodyText"/>
        <w:spacing w:before="240" w:line="360" w:lineRule="auto"/>
        <w:jc w:val="both"/>
        <w:rPr>
          <w:rFonts w:eastAsia="Arial Unicode MS"/>
          <w:color w:val="000000"/>
          <w:bdr w:val="nil"/>
          <w:lang w:val="en-US"/>
        </w:rPr>
      </w:pPr>
      <w:r w:rsidRPr="00232DC3">
        <w:rPr>
          <w:rFonts w:eastAsia="Arial Unicode MS"/>
          <w:color w:val="000000"/>
          <w:bdr w:val="nil"/>
          <w:lang w:val="en-US"/>
        </w:rPr>
        <w:t>If yes:</w:t>
      </w:r>
      <w:r>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Trade union</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Worker council</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lastRenderedPageBreak/>
        <w:t>☐</w:t>
      </w:r>
      <w:r w:rsidRPr="00232DC3">
        <w:rPr>
          <w:rFonts w:eastAsia="Arial Unicode MS"/>
          <w:color w:val="000000"/>
          <w:bdr w:val="nil"/>
          <w:lang w:val="en-US"/>
        </w:rPr>
        <w:t xml:space="preserve"> Employee representative in management</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Other: _______</w:t>
      </w:r>
    </w:p>
    <w:p w14:paraId="32BA354C" w14:textId="77777777" w:rsidR="00232DC3" w:rsidRPr="00232DC3" w:rsidRDefault="00232DC3" w:rsidP="00B7670F">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2: Awareness and Perceptions</w:t>
      </w:r>
    </w:p>
    <w:p w14:paraId="2C9B72D6" w14:textId="444349D5" w:rsidR="00232DC3" w:rsidRPr="00232DC3" w:rsidRDefault="00232DC3" w:rsidP="009330C0">
      <w:pPr>
        <w:pStyle w:val="BodyText"/>
        <w:numPr>
          <w:ilvl w:val="0"/>
          <w:numId w:val="16"/>
        </w:numPr>
        <w:spacing w:before="240" w:line="360" w:lineRule="auto"/>
        <w:jc w:val="both"/>
        <w:rPr>
          <w:rFonts w:eastAsia="Arial Unicode MS"/>
          <w:color w:val="000000"/>
          <w:bdr w:val="nil"/>
          <w:lang w:val="en-US"/>
        </w:rPr>
      </w:pPr>
      <w:r w:rsidRPr="00232DC3">
        <w:rPr>
          <w:rFonts w:eastAsia="Arial Unicode MS"/>
          <w:color w:val="000000"/>
          <w:bdr w:val="nil"/>
          <w:lang w:val="en-US"/>
        </w:rPr>
        <w:t>How familiar are you with employee participation models (e.g. employee share ownership, board-level representation)?</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Not familiar</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Slightly familiar</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Moderately familiar</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Very familiar</w:t>
      </w:r>
    </w:p>
    <w:p w14:paraId="6291477E" w14:textId="42F4F0AF" w:rsidR="00232DC3" w:rsidRPr="00232DC3" w:rsidRDefault="00232DC3" w:rsidP="009330C0">
      <w:pPr>
        <w:pStyle w:val="BodyText"/>
        <w:numPr>
          <w:ilvl w:val="0"/>
          <w:numId w:val="16"/>
        </w:numPr>
        <w:spacing w:before="240" w:line="360" w:lineRule="auto"/>
        <w:jc w:val="both"/>
        <w:rPr>
          <w:rFonts w:eastAsia="Arial Unicode MS"/>
          <w:color w:val="000000"/>
          <w:bdr w:val="nil"/>
          <w:lang w:val="en-US"/>
        </w:rPr>
      </w:pPr>
      <w:r w:rsidRPr="00232DC3">
        <w:rPr>
          <w:rFonts w:eastAsia="Arial Unicode MS"/>
          <w:color w:val="000000"/>
          <w:bdr w:val="nil"/>
          <w:lang w:val="en-US"/>
        </w:rPr>
        <w:t>In your view, how relevant are such models for companies in North Macedonia?</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Not relevant</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Slightly relevant</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Moderately relevant</w:t>
      </w:r>
      <w:r w:rsidR="00B7670F">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Highly relevant</w:t>
      </w:r>
    </w:p>
    <w:p w14:paraId="7A709F1C" w14:textId="0AA33984" w:rsidR="00232DC3" w:rsidRPr="00232DC3" w:rsidRDefault="00232DC3" w:rsidP="009330C0">
      <w:pPr>
        <w:pStyle w:val="BodyText"/>
        <w:numPr>
          <w:ilvl w:val="0"/>
          <w:numId w:val="16"/>
        </w:numPr>
        <w:spacing w:before="240" w:line="360" w:lineRule="auto"/>
        <w:jc w:val="both"/>
        <w:rPr>
          <w:rFonts w:eastAsia="Arial Unicode MS"/>
          <w:color w:val="000000"/>
          <w:bdr w:val="nil"/>
          <w:lang w:val="en-US"/>
        </w:rPr>
      </w:pPr>
      <w:r w:rsidRPr="00232DC3">
        <w:rPr>
          <w:rFonts w:eastAsia="Arial Unicode MS"/>
          <w:color w:val="000000"/>
          <w:bdr w:val="nil"/>
          <w:lang w:val="en-US"/>
        </w:rPr>
        <w:t>What do you see as the main potential benefits? (select up to 3)</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Increased employee motivation</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Retention of skilled workers</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Improved company performance</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Better workplace relations</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Alignment with EU standards</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Other: _______</w:t>
      </w:r>
    </w:p>
    <w:p w14:paraId="67A46977" w14:textId="581EB130" w:rsidR="00232DC3" w:rsidRPr="00232DC3" w:rsidRDefault="00232DC3" w:rsidP="009330C0">
      <w:pPr>
        <w:pStyle w:val="BodyText"/>
        <w:numPr>
          <w:ilvl w:val="0"/>
          <w:numId w:val="16"/>
        </w:numPr>
        <w:spacing w:before="240" w:line="360" w:lineRule="auto"/>
        <w:jc w:val="both"/>
        <w:rPr>
          <w:rFonts w:eastAsia="Arial Unicode MS"/>
          <w:color w:val="000000"/>
          <w:bdr w:val="nil"/>
          <w:lang w:val="en-US"/>
        </w:rPr>
      </w:pPr>
      <w:r w:rsidRPr="00232DC3">
        <w:rPr>
          <w:rFonts w:eastAsia="Arial Unicode MS"/>
          <w:color w:val="000000"/>
          <w:bdr w:val="nil"/>
          <w:lang w:val="en-US"/>
        </w:rPr>
        <w:t>What do you see as the main risks? (select up to 3)</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Loss of managerial control</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Slower decision-making</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Legal uncertainty</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Administrative burden</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Potential conflicts</w:t>
      </w:r>
      <w:r w:rsidR="00F00CE0">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lastRenderedPageBreak/>
        <w:t>☐</w:t>
      </w:r>
      <w:r w:rsidRPr="00232DC3">
        <w:rPr>
          <w:rFonts w:eastAsia="Arial Unicode MS"/>
          <w:color w:val="000000"/>
          <w:bdr w:val="nil"/>
          <w:lang w:val="en-US"/>
        </w:rPr>
        <w:t xml:space="preserve"> Other: _______</w:t>
      </w:r>
    </w:p>
    <w:p w14:paraId="0926A8F1" w14:textId="77777777" w:rsidR="005E22B5" w:rsidRDefault="005E22B5" w:rsidP="00F00CE0">
      <w:pPr>
        <w:pStyle w:val="BodyText"/>
        <w:spacing w:before="240" w:line="360" w:lineRule="auto"/>
        <w:jc w:val="both"/>
        <w:rPr>
          <w:rFonts w:eastAsia="Arial Unicode MS"/>
          <w:b/>
          <w:bCs/>
          <w:color w:val="000000"/>
          <w:bdr w:val="nil"/>
          <w:lang w:val="mk-MK"/>
        </w:rPr>
      </w:pPr>
    </w:p>
    <w:p w14:paraId="296ED6D8" w14:textId="10F103AC" w:rsidR="00232DC3" w:rsidRPr="00232DC3" w:rsidRDefault="00232DC3" w:rsidP="00F00CE0">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3: Interest in Specific Instruments</w:t>
      </w:r>
    </w:p>
    <w:p w14:paraId="1C34E36E" w14:textId="77777777" w:rsidR="00232DC3" w:rsidRPr="00232DC3" w:rsidRDefault="00232DC3" w:rsidP="00232DC3">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A. Employee Share Ownership</w:t>
      </w:r>
    </w:p>
    <w:p w14:paraId="3405A6F6" w14:textId="4754814A" w:rsidR="00232DC3" w:rsidRPr="00232DC3" w:rsidRDefault="00232DC3" w:rsidP="009330C0">
      <w:pPr>
        <w:pStyle w:val="BodyText"/>
        <w:numPr>
          <w:ilvl w:val="0"/>
          <w:numId w:val="17"/>
        </w:numPr>
        <w:spacing w:before="240" w:line="360" w:lineRule="auto"/>
        <w:jc w:val="both"/>
        <w:rPr>
          <w:rFonts w:eastAsia="Arial Unicode MS"/>
          <w:color w:val="000000"/>
          <w:bdr w:val="nil"/>
          <w:lang w:val="en-US"/>
        </w:rPr>
      </w:pPr>
      <w:r w:rsidRPr="00232DC3">
        <w:rPr>
          <w:rFonts w:eastAsia="Arial Unicode MS"/>
          <w:color w:val="000000"/>
          <w:bdr w:val="nil"/>
          <w:lang w:val="en-US"/>
        </w:rPr>
        <w:t xml:space="preserve">Would your company consider introducing </w:t>
      </w:r>
      <w:r w:rsidRPr="00232DC3">
        <w:rPr>
          <w:rFonts w:eastAsia="Arial Unicode MS"/>
          <w:b/>
          <w:bCs/>
          <w:color w:val="000000"/>
          <w:bdr w:val="nil"/>
          <w:lang w:val="en-US"/>
        </w:rPr>
        <w:t>employee share schemes</w:t>
      </w:r>
      <w:r w:rsidRPr="00232DC3">
        <w:rPr>
          <w:rFonts w:eastAsia="Arial Unicode MS"/>
          <w:color w:val="000000"/>
          <w:bdr w:val="nil"/>
          <w:lang w:val="en-US"/>
        </w:rPr>
        <w:t xml:space="preserve"> (e.g. 1–5% shares for employees)?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Yes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Maybe</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w:t>
      </w:r>
    </w:p>
    <w:p w14:paraId="57E30774" w14:textId="17D6C4ED" w:rsidR="00232DC3" w:rsidRPr="00232DC3" w:rsidRDefault="00232DC3" w:rsidP="009330C0">
      <w:pPr>
        <w:pStyle w:val="BodyText"/>
        <w:numPr>
          <w:ilvl w:val="0"/>
          <w:numId w:val="17"/>
        </w:numPr>
        <w:spacing w:before="240" w:line="360" w:lineRule="auto"/>
        <w:jc w:val="both"/>
        <w:rPr>
          <w:rFonts w:eastAsia="Arial Unicode MS"/>
          <w:color w:val="000000"/>
          <w:bdr w:val="nil"/>
          <w:lang w:val="en-US"/>
        </w:rPr>
      </w:pPr>
      <w:r w:rsidRPr="00232DC3">
        <w:rPr>
          <w:rFonts w:eastAsia="Arial Unicode MS"/>
          <w:color w:val="000000"/>
          <w:bdr w:val="nil"/>
          <w:lang w:val="en-US"/>
        </w:rPr>
        <w:t>If yes/maybe, under what conditions?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Non-voting shares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Profit-linked shares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Limited transferability</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Only for key employees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Tax incentives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Clear legal framework</w:t>
      </w:r>
    </w:p>
    <w:p w14:paraId="49B72D35" w14:textId="2B508B1A" w:rsidR="00232DC3" w:rsidRPr="00232DC3" w:rsidRDefault="00232DC3" w:rsidP="009330C0">
      <w:pPr>
        <w:pStyle w:val="BodyText"/>
        <w:numPr>
          <w:ilvl w:val="0"/>
          <w:numId w:val="17"/>
        </w:numPr>
        <w:spacing w:before="240" w:line="360" w:lineRule="auto"/>
        <w:jc w:val="both"/>
        <w:rPr>
          <w:rFonts w:eastAsia="Arial Unicode MS"/>
          <w:color w:val="000000"/>
          <w:bdr w:val="nil"/>
          <w:lang w:val="en-US"/>
        </w:rPr>
      </w:pPr>
      <w:r w:rsidRPr="00232DC3">
        <w:rPr>
          <w:rFonts w:eastAsia="Arial Unicode MS"/>
          <w:color w:val="000000"/>
          <w:bdr w:val="nil"/>
          <w:lang w:val="en-US"/>
        </w:rPr>
        <w:t>What is your preferred model?</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Direct share ownership</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ESOP-type structure</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Profit-sharing without ownership</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Not interested</w:t>
      </w:r>
    </w:p>
    <w:p w14:paraId="134E23B9" w14:textId="77777777" w:rsidR="00232DC3" w:rsidRPr="00232DC3" w:rsidRDefault="00232DC3" w:rsidP="00232DC3">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B. Participation in Governance</w:t>
      </w:r>
    </w:p>
    <w:p w14:paraId="78D4E0D4" w14:textId="7E9FC302" w:rsidR="005E22B5" w:rsidRPr="00232DC3" w:rsidRDefault="00232DC3" w:rsidP="009330C0">
      <w:pPr>
        <w:pStyle w:val="BodyText"/>
        <w:numPr>
          <w:ilvl w:val="0"/>
          <w:numId w:val="18"/>
        </w:numPr>
        <w:spacing w:before="240" w:line="360" w:lineRule="auto"/>
        <w:jc w:val="both"/>
        <w:rPr>
          <w:rFonts w:eastAsia="Arial Unicode MS"/>
          <w:color w:val="000000"/>
          <w:bdr w:val="nil"/>
          <w:lang w:val="en-US"/>
        </w:rPr>
      </w:pPr>
      <w:r w:rsidRPr="00232DC3">
        <w:rPr>
          <w:rFonts w:eastAsia="Arial Unicode MS"/>
          <w:color w:val="000000"/>
          <w:bdr w:val="nil"/>
          <w:lang w:val="en-US"/>
        </w:rPr>
        <w:t xml:space="preserve">Would your company support </w:t>
      </w:r>
      <w:r w:rsidRPr="00232DC3">
        <w:rPr>
          <w:rFonts w:eastAsia="Arial Unicode MS"/>
          <w:b/>
          <w:bCs/>
          <w:color w:val="000000"/>
          <w:bdr w:val="nil"/>
          <w:lang w:val="en-US"/>
        </w:rPr>
        <w:t>employee representation in governance bodies</w:t>
      </w:r>
      <w:r w:rsidRPr="00232DC3">
        <w:rPr>
          <w:rFonts w:eastAsia="Arial Unicode MS"/>
          <w:color w:val="000000"/>
          <w:bdr w:val="nil"/>
          <w:lang w:val="en-US"/>
        </w:rPr>
        <w:t>?</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Yes</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Maybe</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lastRenderedPageBreak/>
        <w:t>☐</w:t>
      </w:r>
      <w:r w:rsidRPr="00232DC3">
        <w:rPr>
          <w:rFonts w:eastAsia="Arial Unicode MS"/>
          <w:color w:val="000000"/>
          <w:bdr w:val="nil"/>
          <w:lang w:val="en-US"/>
        </w:rPr>
        <w:t xml:space="preserve"> No</w:t>
      </w:r>
    </w:p>
    <w:p w14:paraId="12311F0F" w14:textId="4D86513D" w:rsidR="00232DC3" w:rsidRPr="00232DC3" w:rsidRDefault="00232DC3" w:rsidP="009330C0">
      <w:pPr>
        <w:pStyle w:val="BodyText"/>
        <w:numPr>
          <w:ilvl w:val="0"/>
          <w:numId w:val="18"/>
        </w:numPr>
        <w:spacing w:before="240" w:line="360" w:lineRule="auto"/>
        <w:jc w:val="both"/>
        <w:rPr>
          <w:rFonts w:eastAsia="Arial Unicode MS"/>
          <w:color w:val="000000"/>
          <w:bdr w:val="nil"/>
          <w:lang w:val="en-US"/>
        </w:rPr>
      </w:pPr>
      <w:r w:rsidRPr="00232DC3">
        <w:rPr>
          <w:rFonts w:eastAsia="Arial Unicode MS"/>
          <w:color w:val="000000"/>
          <w:bdr w:val="nil"/>
          <w:lang w:val="en-US"/>
        </w:rPr>
        <w:t>If yes/maybe, at what level?</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Advisory role only</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One representative in board</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Worker council linked to management</w:t>
      </w:r>
      <w:r w:rsidR="005E22B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Full co-determination (shared governance)</w:t>
      </w:r>
    </w:p>
    <w:p w14:paraId="01813987" w14:textId="77777777" w:rsidR="00232DC3" w:rsidRPr="00232DC3" w:rsidRDefault="00232DC3" w:rsidP="005E22B5">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4: Institutional and Legal Context</w:t>
      </w:r>
    </w:p>
    <w:p w14:paraId="55889090" w14:textId="7421023F" w:rsidR="00232DC3" w:rsidRPr="00232DC3" w:rsidRDefault="00232DC3" w:rsidP="009330C0">
      <w:pPr>
        <w:pStyle w:val="BodyText"/>
        <w:numPr>
          <w:ilvl w:val="0"/>
          <w:numId w:val="19"/>
        </w:numPr>
        <w:spacing w:before="240" w:line="360" w:lineRule="auto"/>
        <w:jc w:val="both"/>
        <w:rPr>
          <w:rFonts w:eastAsia="Arial Unicode MS"/>
          <w:color w:val="000000"/>
          <w:bdr w:val="nil"/>
          <w:lang w:val="en-US"/>
        </w:rPr>
      </w:pPr>
      <w:r w:rsidRPr="00232DC3">
        <w:rPr>
          <w:rFonts w:eastAsia="Arial Unicode MS"/>
          <w:color w:val="000000"/>
          <w:bdr w:val="nil"/>
          <w:lang w:val="en-US"/>
        </w:rPr>
        <w:t>How adequate is the current legal framework in North Macedonia for such models?</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Completely inadequate</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Somewhat inadequate</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Neutral</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Adequate</w:t>
      </w:r>
    </w:p>
    <w:p w14:paraId="7C7A866C" w14:textId="240589A6" w:rsidR="00232DC3" w:rsidRPr="00232DC3" w:rsidRDefault="00232DC3" w:rsidP="009330C0">
      <w:pPr>
        <w:pStyle w:val="BodyText"/>
        <w:numPr>
          <w:ilvl w:val="0"/>
          <w:numId w:val="19"/>
        </w:numPr>
        <w:spacing w:before="240" w:line="360" w:lineRule="auto"/>
        <w:jc w:val="both"/>
        <w:rPr>
          <w:rFonts w:eastAsia="Arial Unicode MS"/>
          <w:color w:val="000000"/>
          <w:bdr w:val="nil"/>
          <w:lang w:val="en-US"/>
        </w:rPr>
      </w:pPr>
      <w:r w:rsidRPr="00232DC3">
        <w:rPr>
          <w:rFonts w:eastAsia="Arial Unicode MS"/>
          <w:color w:val="000000"/>
          <w:bdr w:val="nil"/>
          <w:lang w:val="en-US"/>
        </w:rPr>
        <w:t>What changes would be necessary?</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New category of employee shares</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Clear rules on voting rights</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Tax incentives</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Governance regulation</w:t>
      </w:r>
      <w:r w:rsidR="00A2462D">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Other: _______</w:t>
      </w:r>
    </w:p>
    <w:p w14:paraId="0383DE31" w14:textId="77777777" w:rsidR="00232DC3" w:rsidRPr="00232DC3" w:rsidRDefault="00232DC3" w:rsidP="00A2462D">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5: EU Influence and Reform Readiness</w:t>
      </w:r>
    </w:p>
    <w:p w14:paraId="74EFA223" w14:textId="551A7CD7" w:rsidR="00232DC3" w:rsidRPr="00232DC3" w:rsidRDefault="00232DC3" w:rsidP="009330C0">
      <w:pPr>
        <w:pStyle w:val="BodyText"/>
        <w:numPr>
          <w:ilvl w:val="0"/>
          <w:numId w:val="20"/>
        </w:numPr>
        <w:spacing w:before="240" w:line="360" w:lineRule="auto"/>
        <w:jc w:val="both"/>
        <w:rPr>
          <w:rFonts w:eastAsia="Arial Unicode MS"/>
          <w:color w:val="000000"/>
          <w:bdr w:val="nil"/>
          <w:lang w:val="en-US"/>
        </w:rPr>
      </w:pPr>
      <w:r w:rsidRPr="00232DC3">
        <w:rPr>
          <w:rFonts w:eastAsia="Arial Unicode MS"/>
          <w:color w:val="000000"/>
          <w:bdr w:val="nil"/>
          <w:lang w:val="en-US"/>
        </w:rPr>
        <w:t>To what extent would alignment with the European Union influence your decision?</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Not at all</w:t>
      </w:r>
      <w:r w:rsidR="007511F7">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Slightly</w:t>
      </w:r>
      <w:r w:rsidR="007511F7">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Moderately</w:t>
      </w:r>
      <w:r w:rsidR="007511F7">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Strongly</w:t>
      </w:r>
    </w:p>
    <w:p w14:paraId="3F519AB5" w14:textId="2126913F" w:rsidR="00232DC3" w:rsidRPr="00E32BC6" w:rsidRDefault="00232DC3" w:rsidP="009330C0">
      <w:pPr>
        <w:pStyle w:val="BodyText"/>
        <w:numPr>
          <w:ilvl w:val="0"/>
          <w:numId w:val="20"/>
        </w:numPr>
        <w:spacing w:before="240" w:line="360" w:lineRule="auto"/>
        <w:jc w:val="both"/>
        <w:rPr>
          <w:rFonts w:eastAsia="Arial Unicode MS"/>
          <w:color w:val="000000"/>
          <w:bdr w:val="nil"/>
          <w:lang w:val="en-US"/>
        </w:rPr>
      </w:pPr>
      <w:r w:rsidRPr="00232DC3">
        <w:rPr>
          <w:rFonts w:eastAsia="Arial Unicode MS"/>
          <w:color w:val="000000"/>
          <w:bdr w:val="nil"/>
          <w:lang w:val="en-US"/>
        </w:rPr>
        <w:t>Would EU-driven reforms increase your willingness to adopt such models?</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Yes</w:t>
      </w:r>
      <w:r w:rsidR="007511F7">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lastRenderedPageBreak/>
        <w:t>☐</w:t>
      </w:r>
      <w:r w:rsidRPr="00232DC3">
        <w:rPr>
          <w:rFonts w:eastAsia="Arial Unicode MS"/>
          <w:color w:val="000000"/>
          <w:bdr w:val="nil"/>
          <w:lang w:val="en-US"/>
        </w:rPr>
        <w:t xml:space="preserve"> Maybe</w:t>
      </w:r>
      <w:r w:rsidR="007511F7">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No</w:t>
      </w:r>
    </w:p>
    <w:p w14:paraId="4EED8336" w14:textId="77777777" w:rsidR="00E32BC6" w:rsidRPr="00232DC3" w:rsidRDefault="00E32BC6" w:rsidP="00E32BC6">
      <w:pPr>
        <w:pStyle w:val="BodyText"/>
        <w:spacing w:before="240" w:line="360" w:lineRule="auto"/>
        <w:ind w:left="720"/>
        <w:jc w:val="both"/>
        <w:rPr>
          <w:rFonts w:eastAsia="Arial Unicode MS"/>
          <w:color w:val="000000"/>
          <w:bdr w:val="nil"/>
          <w:lang w:val="en-US"/>
        </w:rPr>
      </w:pPr>
    </w:p>
    <w:p w14:paraId="38A8E107" w14:textId="77777777" w:rsidR="00232DC3" w:rsidRPr="00232DC3" w:rsidRDefault="00232DC3" w:rsidP="007511F7">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6: Barriers and Feasibility</w:t>
      </w:r>
    </w:p>
    <w:p w14:paraId="41CDAA20" w14:textId="70108B18" w:rsidR="00232DC3" w:rsidRPr="00232DC3" w:rsidRDefault="00232DC3" w:rsidP="009330C0">
      <w:pPr>
        <w:pStyle w:val="BodyText"/>
        <w:numPr>
          <w:ilvl w:val="0"/>
          <w:numId w:val="21"/>
        </w:numPr>
        <w:spacing w:before="240" w:line="360" w:lineRule="auto"/>
        <w:jc w:val="both"/>
        <w:rPr>
          <w:rFonts w:eastAsia="Arial Unicode MS"/>
          <w:color w:val="000000"/>
          <w:bdr w:val="nil"/>
          <w:lang w:val="en-US"/>
        </w:rPr>
      </w:pPr>
      <w:r w:rsidRPr="00232DC3">
        <w:rPr>
          <w:rFonts w:eastAsia="Arial Unicode MS"/>
          <w:color w:val="000000"/>
          <w:bdr w:val="nil"/>
          <w:lang w:val="en-US"/>
        </w:rPr>
        <w:t>What are the main barriers in your company?</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Ownership resistance</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Lack of knowledge</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Legal uncertainty</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Financial cost</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Employee readiness</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Other: _______</w:t>
      </w:r>
    </w:p>
    <w:p w14:paraId="66C868FA" w14:textId="2A18ACCA" w:rsidR="00232DC3" w:rsidRPr="00232DC3" w:rsidRDefault="00232DC3" w:rsidP="009330C0">
      <w:pPr>
        <w:pStyle w:val="BodyText"/>
        <w:numPr>
          <w:ilvl w:val="0"/>
          <w:numId w:val="21"/>
        </w:numPr>
        <w:spacing w:before="240" w:line="360" w:lineRule="auto"/>
        <w:jc w:val="both"/>
        <w:rPr>
          <w:rFonts w:eastAsia="Arial Unicode MS"/>
          <w:color w:val="000000"/>
          <w:bdr w:val="nil"/>
          <w:lang w:val="en-US"/>
        </w:rPr>
      </w:pPr>
      <w:r w:rsidRPr="00232DC3">
        <w:rPr>
          <w:rFonts w:eastAsia="Arial Unicode MS"/>
          <w:color w:val="000000"/>
          <w:bdr w:val="nil"/>
          <w:lang w:val="en-US"/>
        </w:rPr>
        <w:t>How likely is your company to pilot such a model within the next 3–5 years?</w:t>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Very unlikely</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Unlikely</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Possible</w:t>
      </w:r>
      <w:r w:rsidR="00472905">
        <w:rPr>
          <w:rFonts w:eastAsia="Arial Unicode MS"/>
          <w:color w:val="000000"/>
          <w:bdr w:val="nil"/>
          <w:lang w:val="mk-MK"/>
        </w:rPr>
        <w:tab/>
      </w:r>
      <w:r w:rsidRPr="00232DC3">
        <w:rPr>
          <w:rFonts w:eastAsia="Arial Unicode MS"/>
          <w:color w:val="000000"/>
          <w:bdr w:val="nil"/>
          <w:lang w:val="en-US"/>
        </w:rPr>
        <w:br/>
      </w:r>
      <w:r w:rsidRPr="00232DC3">
        <w:rPr>
          <w:rFonts w:ascii="Segoe UI Symbol" w:eastAsia="Arial Unicode MS" w:hAnsi="Segoe UI Symbol" w:cs="Segoe UI Symbol"/>
          <w:color w:val="000000"/>
          <w:bdr w:val="nil"/>
          <w:lang w:val="en-US"/>
        </w:rPr>
        <w:t>☐</w:t>
      </w:r>
      <w:r w:rsidRPr="00232DC3">
        <w:rPr>
          <w:rFonts w:eastAsia="Arial Unicode MS"/>
          <w:color w:val="000000"/>
          <w:bdr w:val="nil"/>
          <w:lang w:val="en-US"/>
        </w:rPr>
        <w:t xml:space="preserve"> Likely</w:t>
      </w:r>
    </w:p>
    <w:p w14:paraId="31702EC4" w14:textId="77777777" w:rsidR="00232DC3" w:rsidRPr="00232DC3" w:rsidRDefault="00232DC3" w:rsidP="00472905">
      <w:pPr>
        <w:pStyle w:val="BodyText"/>
        <w:spacing w:before="240" w:line="360" w:lineRule="auto"/>
        <w:jc w:val="both"/>
        <w:rPr>
          <w:rFonts w:eastAsia="Arial Unicode MS"/>
          <w:b/>
          <w:bCs/>
          <w:color w:val="000000"/>
          <w:bdr w:val="nil"/>
          <w:lang w:val="en-US"/>
        </w:rPr>
      </w:pPr>
      <w:r w:rsidRPr="00232DC3">
        <w:rPr>
          <w:rFonts w:eastAsia="Arial Unicode MS"/>
          <w:b/>
          <w:bCs/>
          <w:color w:val="000000"/>
          <w:bdr w:val="nil"/>
          <w:lang w:val="en-US"/>
        </w:rPr>
        <w:t>Section 7: Open Questions (Qualitative)</w:t>
      </w:r>
    </w:p>
    <w:p w14:paraId="37BED6EB" w14:textId="77777777" w:rsidR="00232DC3" w:rsidRPr="00232DC3" w:rsidRDefault="00232DC3" w:rsidP="009330C0">
      <w:pPr>
        <w:pStyle w:val="BodyText"/>
        <w:numPr>
          <w:ilvl w:val="0"/>
          <w:numId w:val="22"/>
        </w:numPr>
        <w:spacing w:before="240" w:line="360" w:lineRule="auto"/>
        <w:jc w:val="both"/>
        <w:rPr>
          <w:rFonts w:eastAsia="Arial Unicode MS"/>
          <w:color w:val="000000"/>
          <w:bdr w:val="nil"/>
          <w:lang w:val="en-US"/>
        </w:rPr>
      </w:pPr>
      <w:r w:rsidRPr="00232DC3">
        <w:rPr>
          <w:rFonts w:eastAsia="Arial Unicode MS"/>
          <w:color w:val="000000"/>
          <w:bdr w:val="nil"/>
          <w:lang w:val="en-US"/>
        </w:rPr>
        <w:t>In your opinion, what would be the most realistic model of employee participation in North Macedonia?</w:t>
      </w:r>
    </w:p>
    <w:p w14:paraId="2F47B450" w14:textId="77777777" w:rsidR="00232DC3" w:rsidRPr="00232DC3" w:rsidRDefault="00232DC3" w:rsidP="009330C0">
      <w:pPr>
        <w:pStyle w:val="BodyText"/>
        <w:numPr>
          <w:ilvl w:val="0"/>
          <w:numId w:val="22"/>
        </w:numPr>
        <w:spacing w:before="240" w:line="360" w:lineRule="auto"/>
        <w:jc w:val="both"/>
        <w:rPr>
          <w:rFonts w:eastAsia="Arial Unicode MS"/>
          <w:color w:val="000000"/>
          <w:bdr w:val="nil"/>
          <w:lang w:val="en-US"/>
        </w:rPr>
      </w:pPr>
      <w:r w:rsidRPr="00232DC3">
        <w:rPr>
          <w:rFonts w:eastAsia="Arial Unicode MS"/>
          <w:color w:val="000000"/>
          <w:bdr w:val="nil"/>
          <w:lang w:val="en-US"/>
        </w:rPr>
        <w:t>Under what conditions would your company seriously consider adopting such reforms?</w:t>
      </w:r>
    </w:p>
    <w:p w14:paraId="6CDD2AB7" w14:textId="77777777" w:rsidR="00232DC3" w:rsidRPr="00232DC3" w:rsidRDefault="00232DC3" w:rsidP="009330C0">
      <w:pPr>
        <w:pStyle w:val="BodyText"/>
        <w:numPr>
          <w:ilvl w:val="0"/>
          <w:numId w:val="22"/>
        </w:numPr>
        <w:spacing w:before="240" w:line="360" w:lineRule="auto"/>
        <w:jc w:val="both"/>
        <w:rPr>
          <w:rFonts w:eastAsia="Arial Unicode MS"/>
          <w:color w:val="000000"/>
          <w:bdr w:val="nil"/>
          <w:lang w:val="en-US"/>
        </w:rPr>
      </w:pPr>
      <w:r w:rsidRPr="00232DC3">
        <w:rPr>
          <w:rFonts w:eastAsia="Arial Unicode MS"/>
          <w:color w:val="000000"/>
          <w:bdr w:val="nil"/>
          <w:lang w:val="en-US"/>
        </w:rPr>
        <w:t>Do you believe such reforms would strengthen or weaken corporate governance in your company? Please explain.</w:t>
      </w:r>
    </w:p>
    <w:p w14:paraId="720C2D9A" w14:textId="77777777" w:rsidR="009330C0" w:rsidRDefault="009330C0" w:rsidP="009330C0">
      <w:pPr>
        <w:pStyle w:val="BodyText"/>
        <w:rPr>
          <w:rFonts w:eastAsia="Arial Unicode MS"/>
          <w:color w:val="000000"/>
          <w:bdr w:val="nil"/>
          <w:lang w:val="mk-MK"/>
        </w:rPr>
      </w:pPr>
    </w:p>
    <w:p w14:paraId="580A0795" w14:textId="77777777" w:rsidR="009330C0" w:rsidRDefault="009330C0" w:rsidP="009330C0">
      <w:pPr>
        <w:pStyle w:val="BodyText"/>
        <w:rPr>
          <w:rFonts w:eastAsia="Arial Unicode MS"/>
          <w:color w:val="000000"/>
          <w:bdr w:val="nil"/>
          <w:lang w:val="mk-MK"/>
        </w:rPr>
      </w:pPr>
    </w:p>
    <w:p w14:paraId="70332DF1" w14:textId="77777777" w:rsidR="009330C0" w:rsidRDefault="009330C0" w:rsidP="009330C0">
      <w:pPr>
        <w:pStyle w:val="BodyText"/>
        <w:rPr>
          <w:rFonts w:eastAsia="Arial Unicode MS"/>
          <w:color w:val="000000"/>
          <w:bdr w:val="nil"/>
          <w:lang w:val="mk-MK"/>
        </w:rPr>
      </w:pPr>
    </w:p>
    <w:p w14:paraId="3A99B1B8" w14:textId="77777777" w:rsidR="009330C0" w:rsidRDefault="009330C0" w:rsidP="009330C0">
      <w:pPr>
        <w:pStyle w:val="BodyText"/>
        <w:rPr>
          <w:rFonts w:eastAsia="Arial Unicode MS"/>
          <w:color w:val="000000"/>
          <w:bdr w:val="nil"/>
          <w:lang w:val="mk-MK"/>
        </w:rPr>
      </w:pPr>
    </w:p>
    <w:p w14:paraId="0173C90B" w14:textId="77777777" w:rsidR="009330C0" w:rsidRDefault="009330C0" w:rsidP="009330C0">
      <w:pPr>
        <w:pStyle w:val="BodyText"/>
        <w:rPr>
          <w:rFonts w:eastAsia="Arial Unicode MS"/>
          <w:color w:val="000000"/>
          <w:bdr w:val="nil"/>
          <w:lang w:val="mk-MK"/>
        </w:rPr>
      </w:pPr>
    </w:p>
    <w:p w14:paraId="2888463C" w14:textId="77777777" w:rsidR="009330C0" w:rsidRDefault="009330C0" w:rsidP="009330C0">
      <w:pPr>
        <w:pStyle w:val="BodyText"/>
        <w:rPr>
          <w:rFonts w:eastAsia="Arial Unicode MS"/>
          <w:color w:val="000000"/>
          <w:bdr w:val="nil"/>
          <w:lang w:val="mk-MK"/>
        </w:rPr>
      </w:pPr>
    </w:p>
    <w:p w14:paraId="53EB6697" w14:textId="29DF5C3C" w:rsidR="009330C0" w:rsidRPr="00A91B42" w:rsidRDefault="00A91B42" w:rsidP="009330C0">
      <w:pPr>
        <w:pStyle w:val="BodyText"/>
        <w:rPr>
          <w:rFonts w:eastAsia="Arial Unicode MS"/>
          <w:color w:val="000000"/>
          <w:u w:val="single"/>
          <w:bdr w:val="nil"/>
          <w:lang w:val="mk-MK"/>
        </w:rPr>
      </w:pPr>
      <w:r w:rsidRPr="00A91B42">
        <w:rPr>
          <w:rFonts w:eastAsia="Arial Unicode MS"/>
          <w:color w:val="000000"/>
          <w:u w:val="single"/>
          <w:bdr w:val="nil"/>
          <w:lang w:val="mk-MK"/>
        </w:rPr>
        <w:lastRenderedPageBreak/>
        <w:t>Македонска верзија</w:t>
      </w:r>
    </w:p>
    <w:p w14:paraId="05BD6A04" w14:textId="77777777" w:rsidR="009330C0" w:rsidRDefault="009330C0" w:rsidP="009330C0">
      <w:pPr>
        <w:pStyle w:val="BodyText"/>
        <w:rPr>
          <w:rFonts w:eastAsia="Arial Unicode MS"/>
          <w:color w:val="000000"/>
          <w:bdr w:val="nil"/>
          <w:lang w:val="mk-MK"/>
        </w:rPr>
      </w:pPr>
    </w:p>
    <w:p w14:paraId="3987DD3F" w14:textId="2030B2D6"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1: Профил на компанијата</w:t>
      </w:r>
    </w:p>
    <w:p w14:paraId="35B0E377" w14:textId="77777777" w:rsidR="00525B8A" w:rsidRPr="00525B8A" w:rsidRDefault="00525B8A" w:rsidP="00CD0181">
      <w:pPr>
        <w:pStyle w:val="BodyText"/>
        <w:rPr>
          <w:rFonts w:eastAsia="Arial Unicode MS"/>
          <w:color w:val="000000"/>
          <w:bdr w:val="nil"/>
          <w:lang w:val="mk-MK"/>
        </w:rPr>
      </w:pPr>
    </w:p>
    <w:p w14:paraId="2C3F9D78" w14:textId="77777777" w:rsidR="00CD0181" w:rsidRPr="00CD0181" w:rsidRDefault="00CD0181" w:rsidP="00CD0181">
      <w:pPr>
        <w:pStyle w:val="BodyText"/>
        <w:numPr>
          <w:ilvl w:val="0"/>
          <w:numId w:val="23"/>
        </w:numPr>
        <w:rPr>
          <w:rFonts w:eastAsia="Arial Unicode MS"/>
          <w:color w:val="000000"/>
          <w:bdr w:val="nil"/>
          <w:lang w:val="en-US"/>
        </w:rPr>
      </w:pPr>
      <w:r w:rsidRPr="00CD0181">
        <w:rPr>
          <w:rFonts w:eastAsia="Arial Unicode MS"/>
          <w:b/>
          <w:bCs/>
          <w:color w:val="000000"/>
          <w:bdr w:val="nil"/>
          <w:lang w:val="en-US"/>
        </w:rPr>
        <w:t>Големина на компанијата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Микро (1–9 вработени)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Мала (10–49)</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Средна (50–249)</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Голема (250+) </w:t>
      </w:r>
    </w:p>
    <w:p w14:paraId="1F88C76F" w14:textId="77777777" w:rsidR="00CD0181" w:rsidRPr="00CD0181" w:rsidRDefault="00CD0181" w:rsidP="00CD0181">
      <w:pPr>
        <w:pStyle w:val="BodyText"/>
        <w:numPr>
          <w:ilvl w:val="0"/>
          <w:numId w:val="23"/>
        </w:numPr>
        <w:rPr>
          <w:rFonts w:eastAsia="Arial Unicode MS"/>
          <w:color w:val="000000"/>
          <w:bdr w:val="nil"/>
          <w:lang w:val="en-US"/>
        </w:rPr>
      </w:pPr>
      <w:r w:rsidRPr="00CD0181">
        <w:rPr>
          <w:rFonts w:eastAsia="Arial Unicode MS"/>
          <w:b/>
          <w:bCs/>
          <w:color w:val="000000"/>
          <w:bdr w:val="nil"/>
          <w:lang w:val="en-US"/>
        </w:rPr>
        <w:t>Сопственичка структура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Семејна сопственост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Домашна приватна компанија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Странска сопственост / подружница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Мешана сопственост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Државна сопственост / јавно претпријатие </w:t>
      </w:r>
    </w:p>
    <w:p w14:paraId="5D57A1B3" w14:textId="77777777" w:rsidR="00CD0181" w:rsidRPr="00CD0181" w:rsidRDefault="00CD0181" w:rsidP="00CD0181">
      <w:pPr>
        <w:pStyle w:val="BodyText"/>
        <w:numPr>
          <w:ilvl w:val="0"/>
          <w:numId w:val="23"/>
        </w:numPr>
        <w:rPr>
          <w:rFonts w:eastAsia="Arial Unicode MS"/>
          <w:color w:val="000000"/>
          <w:bdr w:val="nil"/>
          <w:lang w:val="en-US"/>
        </w:rPr>
      </w:pPr>
      <w:r w:rsidRPr="00CD0181">
        <w:rPr>
          <w:rFonts w:eastAsia="Arial Unicode MS"/>
          <w:b/>
          <w:bCs/>
          <w:color w:val="000000"/>
          <w:bdr w:val="nil"/>
          <w:lang w:val="en-US"/>
        </w:rPr>
        <w:t>Сектор</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Производство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Услуги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Финансии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ИКТ / стартапи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 </w:t>
      </w:r>
    </w:p>
    <w:p w14:paraId="05E32899" w14:textId="77777777" w:rsidR="00CD0181" w:rsidRPr="00CD0181" w:rsidRDefault="00CD0181" w:rsidP="00CD0181">
      <w:pPr>
        <w:pStyle w:val="BodyText"/>
        <w:numPr>
          <w:ilvl w:val="0"/>
          <w:numId w:val="23"/>
        </w:numPr>
        <w:rPr>
          <w:rFonts w:eastAsia="Arial Unicode MS"/>
          <w:color w:val="000000"/>
          <w:bdr w:val="nil"/>
          <w:lang w:val="en-US"/>
        </w:rPr>
      </w:pPr>
      <w:r w:rsidRPr="00CD0181">
        <w:rPr>
          <w:rFonts w:eastAsia="Arial Unicode MS"/>
          <w:b/>
          <w:bCs/>
          <w:color w:val="000000"/>
          <w:bdr w:val="nil"/>
          <w:lang w:val="en-US"/>
        </w:rPr>
        <w:t>Дали вашата компанија во моментов има некаква формална структура за претставување на вработените?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 </w:t>
      </w:r>
    </w:p>
    <w:p w14:paraId="76991D84" w14:textId="77777777" w:rsidR="00CD0181" w:rsidRPr="00CD0181" w:rsidRDefault="00CD0181" w:rsidP="00CD0181">
      <w:pPr>
        <w:pStyle w:val="BodyText"/>
        <w:rPr>
          <w:rFonts w:eastAsia="Arial Unicode MS"/>
          <w:color w:val="000000"/>
          <w:bdr w:val="nil"/>
          <w:lang w:val="en-US"/>
        </w:rPr>
      </w:pPr>
      <w:r w:rsidRPr="00CD0181">
        <w:rPr>
          <w:rFonts w:eastAsia="Arial Unicode MS"/>
          <w:color w:val="000000"/>
          <w:bdr w:val="nil"/>
          <w:lang w:val="en-US"/>
        </w:rPr>
        <w:t>Ако да: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Синдикат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Работнички совет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Претставник на вработените во управувањето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w:t>
      </w:r>
    </w:p>
    <w:p w14:paraId="6B0E4A09" w14:textId="42E814C6" w:rsidR="00CD0181" w:rsidRPr="00CD0181" w:rsidRDefault="00CD0181" w:rsidP="00CD0181">
      <w:pPr>
        <w:pStyle w:val="BodyText"/>
        <w:rPr>
          <w:rFonts w:eastAsia="Arial Unicode MS"/>
          <w:color w:val="000000"/>
          <w:bdr w:val="nil"/>
          <w:lang w:val="en-US"/>
        </w:rPr>
      </w:pPr>
    </w:p>
    <w:p w14:paraId="1E3B297E"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2: Свесност и перцепции</w:t>
      </w:r>
    </w:p>
    <w:p w14:paraId="20494AF9" w14:textId="77777777" w:rsidR="00525B8A" w:rsidRPr="00CD0181" w:rsidRDefault="00525B8A" w:rsidP="00CD0181">
      <w:pPr>
        <w:pStyle w:val="BodyText"/>
        <w:rPr>
          <w:rFonts w:eastAsia="Arial Unicode MS"/>
          <w:color w:val="000000"/>
          <w:bdr w:val="nil"/>
          <w:lang w:val="mk-MK"/>
        </w:rPr>
      </w:pPr>
    </w:p>
    <w:p w14:paraId="5EB381BE" w14:textId="1C4DE665" w:rsidR="00CD0181" w:rsidRPr="00CD0181" w:rsidRDefault="00CD0181" w:rsidP="00CF1628">
      <w:pPr>
        <w:pStyle w:val="BodyText"/>
        <w:numPr>
          <w:ilvl w:val="0"/>
          <w:numId w:val="24"/>
        </w:numPr>
        <w:jc w:val="both"/>
        <w:rPr>
          <w:rFonts w:eastAsia="Arial Unicode MS"/>
          <w:color w:val="000000"/>
          <w:bdr w:val="nil"/>
          <w:lang w:val="en-US"/>
        </w:rPr>
      </w:pPr>
      <w:r w:rsidRPr="00CD0181">
        <w:rPr>
          <w:rFonts w:eastAsia="Arial Unicode MS"/>
          <w:b/>
          <w:bCs/>
          <w:color w:val="000000"/>
          <w:bdr w:val="nil"/>
          <w:lang w:val="en-US"/>
        </w:rPr>
        <w:t>Колку сте запознаени со моделите на учество на вработените (на пример, сопственост на акции од страна на вработените, застапеност на ниво на одбор)?</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Воопшто не сум запознаен/а</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Малку сум запознаен/а</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Умерено сум запознаен/а</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Многу сум запознаен/а </w:t>
      </w:r>
    </w:p>
    <w:p w14:paraId="27852DFE" w14:textId="3A3F3F72" w:rsidR="00CD0181" w:rsidRPr="00CD0181" w:rsidRDefault="00CD0181" w:rsidP="00CF1628">
      <w:pPr>
        <w:pStyle w:val="BodyText"/>
        <w:numPr>
          <w:ilvl w:val="0"/>
          <w:numId w:val="24"/>
        </w:numPr>
        <w:jc w:val="both"/>
        <w:rPr>
          <w:rFonts w:eastAsia="Arial Unicode MS"/>
          <w:color w:val="000000"/>
          <w:bdr w:val="nil"/>
          <w:lang w:val="en-US"/>
        </w:rPr>
      </w:pPr>
      <w:r w:rsidRPr="00CD0181">
        <w:rPr>
          <w:rFonts w:eastAsia="Arial Unicode MS"/>
          <w:b/>
          <w:bCs/>
          <w:color w:val="000000"/>
          <w:bdr w:val="nil"/>
          <w:lang w:val="en-US"/>
        </w:rPr>
        <w:t>Според вас, колку се релевантни ваквите модели за компаниите во</w:t>
      </w:r>
      <w:r w:rsidR="00CF1628">
        <w:rPr>
          <w:rFonts w:eastAsia="Arial Unicode MS"/>
          <w:b/>
          <w:bCs/>
          <w:color w:val="000000"/>
          <w:bdr w:val="nil"/>
          <w:lang w:val="mk-MK"/>
        </w:rPr>
        <w:t xml:space="preserve"> </w:t>
      </w:r>
      <w:r w:rsidRPr="00CD0181">
        <w:rPr>
          <w:rFonts w:eastAsia="Arial Unicode MS"/>
          <w:b/>
          <w:bCs/>
          <w:color w:val="000000"/>
          <w:bdr w:val="nil"/>
          <w:lang w:val="en-US"/>
        </w:rPr>
        <w:t>Македонија?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Воопшто не се релевантни</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Малку се релевантни</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Умерено се релевантни</w:t>
      </w:r>
      <w:r w:rsidR="00CF1628">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lastRenderedPageBreak/>
        <w:t>☐</w:t>
      </w:r>
      <w:r w:rsidRPr="00CD0181">
        <w:rPr>
          <w:rFonts w:eastAsia="Arial Unicode MS"/>
          <w:color w:val="000000"/>
          <w:bdr w:val="nil"/>
          <w:lang w:val="en-US"/>
        </w:rPr>
        <w:t xml:space="preserve"> Многу се релевантни </w:t>
      </w:r>
    </w:p>
    <w:p w14:paraId="3B422631" w14:textId="538F6826" w:rsidR="00CD0181" w:rsidRPr="00CD0181" w:rsidRDefault="00CD0181" w:rsidP="00CD0181">
      <w:pPr>
        <w:pStyle w:val="BodyText"/>
        <w:numPr>
          <w:ilvl w:val="0"/>
          <w:numId w:val="24"/>
        </w:numPr>
        <w:rPr>
          <w:rFonts w:eastAsia="Arial Unicode MS"/>
          <w:color w:val="000000"/>
          <w:bdr w:val="nil"/>
          <w:lang w:val="en-US"/>
        </w:rPr>
      </w:pPr>
      <w:r w:rsidRPr="00CD0181">
        <w:rPr>
          <w:rFonts w:eastAsia="Arial Unicode MS"/>
          <w:b/>
          <w:bCs/>
          <w:color w:val="000000"/>
          <w:bdr w:val="nil"/>
          <w:lang w:val="en-US"/>
        </w:rPr>
        <w:t>Кои сметате за главни потенцијални придобивки? (изберете до 3)</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Зголемена мотивација на вработените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Задржување на квалификуван кадар</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Подобрени перформанси на компанијата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Подобри работни односи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Усогласување со стандардите на ЕУ</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 </w:t>
      </w:r>
    </w:p>
    <w:p w14:paraId="73BFF320" w14:textId="77777777" w:rsidR="00CD0181" w:rsidRPr="00CD0181" w:rsidRDefault="00CD0181" w:rsidP="00CD0181">
      <w:pPr>
        <w:pStyle w:val="BodyText"/>
        <w:numPr>
          <w:ilvl w:val="0"/>
          <w:numId w:val="24"/>
        </w:numPr>
        <w:rPr>
          <w:rFonts w:eastAsia="Arial Unicode MS"/>
          <w:color w:val="000000"/>
          <w:bdr w:val="nil"/>
          <w:lang w:val="en-US"/>
        </w:rPr>
      </w:pPr>
      <w:r w:rsidRPr="00CD0181">
        <w:rPr>
          <w:rFonts w:eastAsia="Arial Unicode MS"/>
          <w:b/>
          <w:bCs/>
          <w:color w:val="000000"/>
          <w:bdr w:val="nil"/>
          <w:lang w:val="en-US"/>
        </w:rPr>
        <w:t>Кои ги сметате за главни ризици? (изберете до 3)</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Губење на управувачка контрола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Забавено донесување одлуки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Правна неизвесност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Административен товар</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Потенцијални конфликти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 </w:t>
      </w:r>
    </w:p>
    <w:p w14:paraId="25DEFDD9" w14:textId="1CF82C5D" w:rsidR="00CD0181" w:rsidRPr="00CD0181" w:rsidRDefault="00CD0181" w:rsidP="00CD0181">
      <w:pPr>
        <w:pStyle w:val="BodyText"/>
        <w:rPr>
          <w:rFonts w:eastAsia="Arial Unicode MS"/>
          <w:color w:val="000000"/>
          <w:bdr w:val="nil"/>
          <w:lang w:val="en-US"/>
        </w:rPr>
      </w:pPr>
    </w:p>
    <w:p w14:paraId="76BD44F8"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3: Интерес за специфични инструменти</w:t>
      </w:r>
    </w:p>
    <w:p w14:paraId="13D2954F" w14:textId="77777777" w:rsidR="00525B8A" w:rsidRPr="00CD0181" w:rsidRDefault="00525B8A" w:rsidP="00CD0181">
      <w:pPr>
        <w:pStyle w:val="BodyText"/>
        <w:rPr>
          <w:rFonts w:eastAsia="Arial Unicode MS"/>
          <w:color w:val="000000"/>
          <w:bdr w:val="nil"/>
          <w:lang w:val="mk-MK"/>
        </w:rPr>
      </w:pPr>
    </w:p>
    <w:p w14:paraId="560BE7D0" w14:textId="101E1BA1" w:rsidR="00CD0181" w:rsidRDefault="00CD0181" w:rsidP="00EC4DDA">
      <w:pPr>
        <w:pStyle w:val="BodyText"/>
        <w:numPr>
          <w:ilvl w:val="0"/>
          <w:numId w:val="31"/>
        </w:numPr>
        <w:rPr>
          <w:rFonts w:eastAsia="Arial Unicode MS"/>
          <w:b/>
          <w:bCs/>
          <w:color w:val="000000"/>
          <w:bdr w:val="nil"/>
          <w:lang w:val="mk-MK"/>
        </w:rPr>
      </w:pPr>
      <w:r w:rsidRPr="00CD0181">
        <w:rPr>
          <w:rFonts w:eastAsia="Arial Unicode MS"/>
          <w:b/>
          <w:bCs/>
          <w:color w:val="000000"/>
          <w:bdr w:val="nil"/>
          <w:lang w:val="en-US"/>
        </w:rPr>
        <w:t>Сопственост на акции од страна на вработените</w:t>
      </w:r>
    </w:p>
    <w:p w14:paraId="6D5279F8" w14:textId="77777777" w:rsidR="00EC4DDA" w:rsidRPr="00CD0181" w:rsidRDefault="00EC4DDA" w:rsidP="00EC4DDA">
      <w:pPr>
        <w:pStyle w:val="BodyText"/>
        <w:numPr>
          <w:ilvl w:val="0"/>
          <w:numId w:val="31"/>
        </w:numPr>
        <w:rPr>
          <w:rFonts w:eastAsia="Arial Unicode MS"/>
          <w:color w:val="000000"/>
          <w:bdr w:val="nil"/>
          <w:lang w:val="mk-MK"/>
        </w:rPr>
      </w:pPr>
    </w:p>
    <w:p w14:paraId="21C8EB02" w14:textId="1CEFDF74" w:rsidR="00CD0181" w:rsidRPr="00CD0181" w:rsidRDefault="00CD0181" w:rsidP="00EC4DDA">
      <w:pPr>
        <w:pStyle w:val="BodyText"/>
        <w:numPr>
          <w:ilvl w:val="0"/>
          <w:numId w:val="25"/>
        </w:numPr>
        <w:jc w:val="both"/>
        <w:rPr>
          <w:rFonts w:eastAsia="Arial Unicode MS"/>
          <w:color w:val="000000"/>
          <w:bdr w:val="nil"/>
          <w:lang w:val="en-US"/>
        </w:rPr>
      </w:pPr>
      <w:r w:rsidRPr="00CD0181">
        <w:rPr>
          <w:rFonts w:eastAsia="Arial Unicode MS"/>
          <w:b/>
          <w:bCs/>
          <w:color w:val="000000"/>
          <w:bdr w:val="nil"/>
          <w:lang w:val="en-US"/>
        </w:rPr>
        <w:t>Дали вашата компанија би размислила за воведување шеми за акции за вработените (на пример, 1–5% акции за вработените)?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w:t>
      </w:r>
      <w:r w:rsidR="00EC4DDA">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Можеби</w:t>
      </w:r>
      <w:r w:rsidR="00EC4DDA">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 </w:t>
      </w:r>
    </w:p>
    <w:p w14:paraId="33EC7A67" w14:textId="77777777" w:rsidR="00CD0181" w:rsidRPr="00CD0181" w:rsidRDefault="00CD0181" w:rsidP="00CD0181">
      <w:pPr>
        <w:pStyle w:val="BodyText"/>
        <w:numPr>
          <w:ilvl w:val="0"/>
          <w:numId w:val="25"/>
        </w:numPr>
        <w:rPr>
          <w:rFonts w:eastAsia="Arial Unicode MS"/>
          <w:color w:val="000000"/>
          <w:bdr w:val="nil"/>
          <w:lang w:val="en-US"/>
        </w:rPr>
      </w:pPr>
      <w:r w:rsidRPr="00CD0181">
        <w:rPr>
          <w:rFonts w:eastAsia="Arial Unicode MS"/>
          <w:b/>
          <w:bCs/>
          <w:color w:val="000000"/>
          <w:bdr w:val="nil"/>
          <w:lang w:val="en-US"/>
        </w:rPr>
        <w:t>Ако да/можеби, под кои услови?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Акции без право на глас</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Акции поврзани со добивка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Ограничена преносливост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Само за клучни вработени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Даночни поттикнувања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Јасна правна рамка </w:t>
      </w:r>
    </w:p>
    <w:p w14:paraId="1220909F" w14:textId="77777777" w:rsidR="00CD0181" w:rsidRPr="00CD0181" w:rsidRDefault="00CD0181" w:rsidP="00CD0181">
      <w:pPr>
        <w:pStyle w:val="BodyText"/>
        <w:numPr>
          <w:ilvl w:val="0"/>
          <w:numId w:val="25"/>
        </w:numPr>
        <w:rPr>
          <w:rFonts w:eastAsia="Arial Unicode MS"/>
          <w:color w:val="000000"/>
          <w:bdr w:val="nil"/>
          <w:lang w:val="en-US"/>
        </w:rPr>
      </w:pPr>
      <w:r w:rsidRPr="00CD0181">
        <w:rPr>
          <w:rFonts w:eastAsia="Arial Unicode MS"/>
          <w:b/>
          <w:bCs/>
          <w:color w:val="000000"/>
          <w:bdr w:val="nil"/>
          <w:lang w:val="en-US"/>
        </w:rPr>
        <w:t>Кој модел го преферирате?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Директна сопственост на акции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Структура од типот ESOP</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Учество во добивка без сопственост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 сум заинтересиран/а </w:t>
      </w:r>
    </w:p>
    <w:p w14:paraId="1FEC5742" w14:textId="77777777" w:rsidR="00EC4DDA" w:rsidRDefault="00EC4DDA" w:rsidP="00CD0181">
      <w:pPr>
        <w:pStyle w:val="BodyText"/>
        <w:rPr>
          <w:rFonts w:eastAsia="Arial Unicode MS"/>
          <w:b/>
          <w:bCs/>
          <w:color w:val="000000"/>
          <w:bdr w:val="nil"/>
          <w:lang w:val="mk-MK"/>
        </w:rPr>
      </w:pPr>
    </w:p>
    <w:p w14:paraId="0658D704" w14:textId="395C2B0D"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B. Учество во управувањето</w:t>
      </w:r>
    </w:p>
    <w:p w14:paraId="45C43891" w14:textId="77777777" w:rsidR="00EC4DDA" w:rsidRPr="00CD0181" w:rsidRDefault="00EC4DDA" w:rsidP="00CD0181">
      <w:pPr>
        <w:pStyle w:val="BodyText"/>
        <w:rPr>
          <w:rFonts w:eastAsia="Arial Unicode MS"/>
          <w:color w:val="000000"/>
          <w:bdr w:val="nil"/>
          <w:lang w:val="mk-MK"/>
        </w:rPr>
      </w:pPr>
    </w:p>
    <w:p w14:paraId="193D7139" w14:textId="77777777" w:rsidR="00CD0181" w:rsidRPr="00CD0181" w:rsidRDefault="00CD0181" w:rsidP="00CD0181">
      <w:pPr>
        <w:pStyle w:val="BodyText"/>
        <w:numPr>
          <w:ilvl w:val="0"/>
          <w:numId w:val="26"/>
        </w:numPr>
        <w:rPr>
          <w:rFonts w:eastAsia="Arial Unicode MS"/>
          <w:color w:val="000000"/>
          <w:bdr w:val="nil"/>
          <w:lang w:val="en-US"/>
        </w:rPr>
      </w:pPr>
      <w:r w:rsidRPr="00CD0181">
        <w:rPr>
          <w:rFonts w:eastAsia="Arial Unicode MS"/>
          <w:b/>
          <w:bCs/>
          <w:color w:val="000000"/>
          <w:bdr w:val="nil"/>
          <w:lang w:val="en-US"/>
        </w:rPr>
        <w:t>Дали вашата компанија би поддржала застапеност на вработените во органите на управување?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Можеби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lastRenderedPageBreak/>
        <w:t>☐</w:t>
      </w:r>
      <w:r w:rsidRPr="00CD0181">
        <w:rPr>
          <w:rFonts w:eastAsia="Arial Unicode MS"/>
          <w:color w:val="000000"/>
          <w:bdr w:val="nil"/>
          <w:lang w:val="en-US"/>
        </w:rPr>
        <w:t xml:space="preserve"> Не </w:t>
      </w:r>
    </w:p>
    <w:p w14:paraId="652D5718" w14:textId="77777777" w:rsidR="00CD0181" w:rsidRPr="00CD0181" w:rsidRDefault="00CD0181" w:rsidP="00CD0181">
      <w:pPr>
        <w:pStyle w:val="BodyText"/>
        <w:numPr>
          <w:ilvl w:val="0"/>
          <w:numId w:val="26"/>
        </w:numPr>
        <w:rPr>
          <w:rFonts w:eastAsia="Arial Unicode MS"/>
          <w:color w:val="000000"/>
          <w:bdr w:val="nil"/>
          <w:lang w:val="en-US"/>
        </w:rPr>
      </w:pPr>
      <w:r w:rsidRPr="00CD0181">
        <w:rPr>
          <w:rFonts w:eastAsia="Arial Unicode MS"/>
          <w:b/>
          <w:bCs/>
          <w:color w:val="000000"/>
          <w:bdr w:val="nil"/>
          <w:lang w:val="en-US"/>
        </w:rPr>
        <w:t>Ако да/можеби, на кое ниво?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Само советодавна улога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Еден претставник во одборот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Работнички совет поврзан со управувањето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Целосна кодетерминација (споделено управување) </w:t>
      </w:r>
    </w:p>
    <w:p w14:paraId="17732730" w14:textId="3C5CEA52" w:rsidR="00CD0181" w:rsidRPr="00CD0181" w:rsidRDefault="00CD0181" w:rsidP="00CD0181">
      <w:pPr>
        <w:pStyle w:val="BodyText"/>
        <w:rPr>
          <w:rFonts w:eastAsia="Arial Unicode MS"/>
          <w:color w:val="000000"/>
          <w:bdr w:val="nil"/>
          <w:lang w:val="en-US"/>
        </w:rPr>
      </w:pPr>
    </w:p>
    <w:p w14:paraId="37B30C64"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4: Институционален и правен контекст</w:t>
      </w:r>
    </w:p>
    <w:p w14:paraId="3E996C6A" w14:textId="77777777" w:rsidR="00EC4DDA" w:rsidRPr="00CD0181" w:rsidRDefault="00EC4DDA" w:rsidP="00CD0181">
      <w:pPr>
        <w:pStyle w:val="BodyText"/>
        <w:rPr>
          <w:rFonts w:eastAsia="Arial Unicode MS"/>
          <w:color w:val="000000"/>
          <w:bdr w:val="nil"/>
          <w:lang w:val="mk-MK"/>
        </w:rPr>
      </w:pPr>
    </w:p>
    <w:p w14:paraId="6AEF3BC1" w14:textId="3FFFA7E7" w:rsidR="00CD0181" w:rsidRPr="00CD0181" w:rsidRDefault="00CD0181" w:rsidP="00EC4DDA">
      <w:pPr>
        <w:pStyle w:val="BodyText"/>
        <w:numPr>
          <w:ilvl w:val="0"/>
          <w:numId w:val="27"/>
        </w:numPr>
        <w:jc w:val="both"/>
        <w:rPr>
          <w:rFonts w:eastAsia="Arial Unicode MS"/>
          <w:color w:val="000000"/>
          <w:bdr w:val="nil"/>
          <w:lang w:val="en-US"/>
        </w:rPr>
      </w:pPr>
      <w:r w:rsidRPr="00CD0181">
        <w:rPr>
          <w:rFonts w:eastAsia="Arial Unicode MS"/>
          <w:b/>
          <w:bCs/>
          <w:color w:val="000000"/>
          <w:bdr w:val="nil"/>
          <w:lang w:val="en-US"/>
        </w:rPr>
        <w:t>Колку е соодветна тековната правна рамка во Македонија за ваквите модели?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Целосно несоодветна</w:t>
      </w:r>
      <w:r w:rsidR="00EC4DDA">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Делумно несоодветна</w:t>
      </w:r>
      <w:r w:rsidR="00EC4DDA">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Неутрална</w:t>
      </w:r>
      <w:r w:rsidR="00EC4DDA">
        <w:rPr>
          <w:rFonts w:eastAsia="Arial Unicode MS"/>
          <w:color w:val="000000"/>
          <w:bdr w:val="nil"/>
          <w:lang w:val="mk-MK"/>
        </w:rPr>
        <w:tab/>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Соодветна </w:t>
      </w:r>
    </w:p>
    <w:p w14:paraId="76D45CBC" w14:textId="77777777" w:rsidR="00CD0181" w:rsidRPr="00CD0181" w:rsidRDefault="00CD0181" w:rsidP="00CD0181">
      <w:pPr>
        <w:pStyle w:val="BodyText"/>
        <w:numPr>
          <w:ilvl w:val="0"/>
          <w:numId w:val="27"/>
        </w:numPr>
        <w:rPr>
          <w:rFonts w:eastAsia="Arial Unicode MS"/>
          <w:color w:val="000000"/>
          <w:bdr w:val="nil"/>
          <w:lang w:val="en-US"/>
        </w:rPr>
      </w:pPr>
      <w:r w:rsidRPr="00CD0181">
        <w:rPr>
          <w:rFonts w:eastAsia="Arial Unicode MS"/>
          <w:b/>
          <w:bCs/>
          <w:color w:val="000000"/>
          <w:bdr w:val="nil"/>
          <w:lang w:val="en-US"/>
        </w:rPr>
        <w:t>Кои промени би биле неопходни?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Нова категорија на акции за вработени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Јасни правила за правото на глас</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Даночни поттикнувања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Регулација на управувањето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 </w:t>
      </w:r>
    </w:p>
    <w:p w14:paraId="4BF6A1CA" w14:textId="4DD913B2" w:rsidR="00CD0181" w:rsidRPr="00CD0181" w:rsidRDefault="00CD0181" w:rsidP="00CD0181">
      <w:pPr>
        <w:pStyle w:val="BodyText"/>
        <w:rPr>
          <w:rFonts w:eastAsia="Arial Unicode MS"/>
          <w:color w:val="000000"/>
          <w:bdr w:val="nil"/>
          <w:lang w:val="en-US"/>
        </w:rPr>
      </w:pPr>
    </w:p>
    <w:p w14:paraId="4FA9A836"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5: Влијание на ЕУ и подготвеност за реформи</w:t>
      </w:r>
    </w:p>
    <w:p w14:paraId="676EED2B" w14:textId="77777777" w:rsidR="00EC4DDA" w:rsidRPr="00CD0181" w:rsidRDefault="00EC4DDA" w:rsidP="00CD0181">
      <w:pPr>
        <w:pStyle w:val="BodyText"/>
        <w:rPr>
          <w:rFonts w:eastAsia="Arial Unicode MS"/>
          <w:color w:val="000000"/>
          <w:bdr w:val="nil"/>
          <w:lang w:val="mk-MK"/>
        </w:rPr>
      </w:pPr>
    </w:p>
    <w:p w14:paraId="3AA6F3B0" w14:textId="77777777" w:rsidR="00CD0181" w:rsidRPr="00CD0181" w:rsidRDefault="00CD0181" w:rsidP="00CD0181">
      <w:pPr>
        <w:pStyle w:val="BodyText"/>
        <w:numPr>
          <w:ilvl w:val="0"/>
          <w:numId w:val="28"/>
        </w:numPr>
        <w:rPr>
          <w:rFonts w:eastAsia="Arial Unicode MS"/>
          <w:color w:val="000000"/>
          <w:bdr w:val="nil"/>
          <w:lang w:val="en-US"/>
        </w:rPr>
      </w:pPr>
      <w:r w:rsidRPr="00CD0181">
        <w:rPr>
          <w:rFonts w:eastAsia="Arial Unicode MS"/>
          <w:b/>
          <w:bCs/>
          <w:color w:val="000000"/>
          <w:bdr w:val="nil"/>
          <w:lang w:val="en-US"/>
        </w:rPr>
        <w:t>До кој степен усогласувањето со Европската Унија би влијаело врз вашата одлука?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Воопшто не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Малку</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Умерено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Силно </w:t>
      </w:r>
    </w:p>
    <w:p w14:paraId="31DF7923" w14:textId="77777777" w:rsidR="00CD0181" w:rsidRPr="00CD0181" w:rsidRDefault="00CD0181" w:rsidP="00CD0181">
      <w:pPr>
        <w:pStyle w:val="BodyText"/>
        <w:numPr>
          <w:ilvl w:val="0"/>
          <w:numId w:val="28"/>
        </w:numPr>
        <w:rPr>
          <w:rFonts w:eastAsia="Arial Unicode MS"/>
          <w:color w:val="000000"/>
          <w:bdr w:val="nil"/>
          <w:lang w:val="en-US"/>
        </w:rPr>
      </w:pPr>
      <w:r w:rsidRPr="00CD0181">
        <w:rPr>
          <w:rFonts w:eastAsia="Arial Unicode MS"/>
          <w:b/>
          <w:bCs/>
          <w:color w:val="000000"/>
          <w:bdr w:val="nil"/>
          <w:lang w:val="en-US"/>
        </w:rPr>
        <w:t>Дали реформите поттикнати од ЕУ би ја зголемиле вашата подготвеност за воведување на вакви модели?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Можеби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 </w:t>
      </w:r>
    </w:p>
    <w:p w14:paraId="6536F127" w14:textId="258D80A3" w:rsidR="00CD0181" w:rsidRPr="00CD0181" w:rsidRDefault="00CD0181" w:rsidP="00CD0181">
      <w:pPr>
        <w:pStyle w:val="BodyText"/>
        <w:rPr>
          <w:rFonts w:eastAsia="Arial Unicode MS"/>
          <w:color w:val="000000"/>
          <w:bdr w:val="nil"/>
          <w:lang w:val="en-US"/>
        </w:rPr>
      </w:pPr>
    </w:p>
    <w:p w14:paraId="07CE6347"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6: Пречки и изводливост</w:t>
      </w:r>
    </w:p>
    <w:p w14:paraId="6E791269" w14:textId="77777777" w:rsidR="00EC4DDA" w:rsidRPr="00CD0181" w:rsidRDefault="00EC4DDA" w:rsidP="00CD0181">
      <w:pPr>
        <w:pStyle w:val="BodyText"/>
        <w:rPr>
          <w:rFonts w:eastAsia="Arial Unicode MS"/>
          <w:color w:val="000000"/>
          <w:bdr w:val="nil"/>
          <w:lang w:val="mk-MK"/>
        </w:rPr>
      </w:pPr>
    </w:p>
    <w:p w14:paraId="13C342CF" w14:textId="77777777" w:rsidR="00CD0181" w:rsidRPr="00CD0181" w:rsidRDefault="00CD0181" w:rsidP="00CD0181">
      <w:pPr>
        <w:pStyle w:val="BodyText"/>
        <w:numPr>
          <w:ilvl w:val="0"/>
          <w:numId w:val="29"/>
        </w:numPr>
        <w:rPr>
          <w:rFonts w:eastAsia="Arial Unicode MS"/>
          <w:color w:val="000000"/>
          <w:bdr w:val="nil"/>
          <w:lang w:val="en-US"/>
        </w:rPr>
      </w:pPr>
      <w:r w:rsidRPr="00CD0181">
        <w:rPr>
          <w:rFonts w:eastAsia="Arial Unicode MS"/>
          <w:b/>
          <w:bCs/>
          <w:color w:val="000000"/>
          <w:bdr w:val="nil"/>
          <w:lang w:val="en-US"/>
        </w:rPr>
        <w:t>Кои се главните пречки во вашата компанија?</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Отпор од сопствениците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Недостаток на знаење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Правна неизвесност</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Финансиски трошоци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Подготвеност на вработените</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Друго: _______ </w:t>
      </w:r>
    </w:p>
    <w:p w14:paraId="44E6B286" w14:textId="77777777" w:rsidR="00CD0181" w:rsidRPr="00CD0181" w:rsidRDefault="00CD0181" w:rsidP="00CD0181">
      <w:pPr>
        <w:pStyle w:val="BodyText"/>
        <w:numPr>
          <w:ilvl w:val="0"/>
          <w:numId w:val="29"/>
        </w:numPr>
        <w:rPr>
          <w:rFonts w:eastAsia="Arial Unicode MS"/>
          <w:color w:val="000000"/>
          <w:bdr w:val="nil"/>
          <w:lang w:val="en-US"/>
        </w:rPr>
      </w:pPr>
      <w:r w:rsidRPr="00CD0181">
        <w:rPr>
          <w:rFonts w:eastAsia="Arial Unicode MS"/>
          <w:b/>
          <w:bCs/>
          <w:color w:val="000000"/>
          <w:bdr w:val="nil"/>
          <w:lang w:val="en-US"/>
        </w:rPr>
        <w:lastRenderedPageBreak/>
        <w:t>Колку е веројатно вашата компанија да пилотира ваков модел во наредните 3–5 години?</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Многу малку веројатно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Малку веројатно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Можно</w:t>
      </w:r>
      <w:r w:rsidRPr="00CD0181">
        <w:rPr>
          <w:rFonts w:eastAsia="Arial Unicode MS"/>
          <w:color w:val="000000"/>
          <w:bdr w:val="nil"/>
          <w:lang w:val="en-US"/>
        </w:rPr>
        <w:br/>
      </w:r>
      <w:r w:rsidRPr="00CD0181">
        <w:rPr>
          <w:rFonts w:ascii="Segoe UI Symbol" w:eastAsia="Arial Unicode MS" w:hAnsi="Segoe UI Symbol" w:cs="Segoe UI Symbol"/>
          <w:color w:val="000000"/>
          <w:bdr w:val="nil"/>
          <w:lang w:val="en-US"/>
        </w:rPr>
        <w:t>☐</w:t>
      </w:r>
      <w:r w:rsidRPr="00CD0181">
        <w:rPr>
          <w:rFonts w:eastAsia="Arial Unicode MS"/>
          <w:color w:val="000000"/>
          <w:bdr w:val="nil"/>
          <w:lang w:val="en-US"/>
        </w:rPr>
        <w:t xml:space="preserve"> Веројатно </w:t>
      </w:r>
    </w:p>
    <w:p w14:paraId="615BA8C7" w14:textId="551FC627" w:rsidR="00CD0181" w:rsidRPr="00CD0181" w:rsidRDefault="00CD0181" w:rsidP="00CD0181">
      <w:pPr>
        <w:pStyle w:val="BodyText"/>
        <w:rPr>
          <w:rFonts w:eastAsia="Arial Unicode MS"/>
          <w:color w:val="000000"/>
          <w:bdr w:val="nil"/>
          <w:lang w:val="en-US"/>
        </w:rPr>
      </w:pPr>
    </w:p>
    <w:p w14:paraId="1466BBED" w14:textId="77777777" w:rsidR="00CD0181" w:rsidRDefault="00CD0181" w:rsidP="00CD0181">
      <w:pPr>
        <w:pStyle w:val="BodyText"/>
        <w:rPr>
          <w:rFonts w:eastAsia="Arial Unicode MS"/>
          <w:b/>
          <w:bCs/>
          <w:color w:val="000000"/>
          <w:bdr w:val="nil"/>
          <w:lang w:val="mk-MK"/>
        </w:rPr>
      </w:pPr>
      <w:r w:rsidRPr="00CD0181">
        <w:rPr>
          <w:rFonts w:eastAsia="Arial Unicode MS"/>
          <w:b/>
          <w:bCs/>
          <w:color w:val="000000"/>
          <w:bdr w:val="nil"/>
          <w:lang w:val="en-US"/>
        </w:rPr>
        <w:t>Секција 7: Отворени прашања (квалитативни)</w:t>
      </w:r>
    </w:p>
    <w:p w14:paraId="3BBAA607" w14:textId="77777777" w:rsidR="00E66A9D" w:rsidRPr="00CD0181" w:rsidRDefault="00E66A9D" w:rsidP="00CD0181">
      <w:pPr>
        <w:pStyle w:val="BodyText"/>
        <w:rPr>
          <w:rFonts w:eastAsia="Arial Unicode MS"/>
          <w:color w:val="000000"/>
          <w:bdr w:val="nil"/>
          <w:lang w:val="mk-MK"/>
        </w:rPr>
      </w:pPr>
    </w:p>
    <w:p w14:paraId="44444093" w14:textId="028040E6" w:rsidR="00CD0181" w:rsidRPr="00CD0181" w:rsidRDefault="00CD0181" w:rsidP="00CD0181">
      <w:pPr>
        <w:pStyle w:val="BodyText"/>
        <w:numPr>
          <w:ilvl w:val="0"/>
          <w:numId w:val="30"/>
        </w:numPr>
        <w:rPr>
          <w:rFonts w:eastAsia="Arial Unicode MS"/>
          <w:color w:val="000000"/>
          <w:bdr w:val="nil"/>
          <w:lang w:val="en-US"/>
        </w:rPr>
      </w:pPr>
      <w:r w:rsidRPr="00CD0181">
        <w:rPr>
          <w:rFonts w:eastAsia="Arial Unicode MS"/>
          <w:b/>
          <w:bCs/>
          <w:color w:val="000000"/>
          <w:bdr w:val="nil"/>
          <w:lang w:val="en-US"/>
        </w:rPr>
        <w:t>Според вас, кој би бил најреалистичниот модел на учество на вработените во Македонија?</w:t>
      </w:r>
      <w:r w:rsidRPr="00CD0181">
        <w:rPr>
          <w:rFonts w:eastAsia="Arial Unicode MS"/>
          <w:color w:val="000000"/>
          <w:bdr w:val="nil"/>
          <w:lang w:val="en-US"/>
        </w:rPr>
        <w:t xml:space="preserve"> </w:t>
      </w:r>
    </w:p>
    <w:p w14:paraId="096E1A34" w14:textId="77777777" w:rsidR="00CD0181" w:rsidRPr="00CD0181" w:rsidRDefault="00CD0181" w:rsidP="00CD0181">
      <w:pPr>
        <w:pStyle w:val="BodyText"/>
        <w:numPr>
          <w:ilvl w:val="0"/>
          <w:numId w:val="30"/>
        </w:numPr>
        <w:rPr>
          <w:rFonts w:eastAsia="Arial Unicode MS"/>
          <w:color w:val="000000"/>
          <w:bdr w:val="nil"/>
          <w:lang w:val="en-US"/>
        </w:rPr>
      </w:pPr>
      <w:r w:rsidRPr="00CD0181">
        <w:rPr>
          <w:rFonts w:eastAsia="Arial Unicode MS"/>
          <w:b/>
          <w:bCs/>
          <w:color w:val="000000"/>
          <w:bdr w:val="nil"/>
          <w:lang w:val="en-US"/>
        </w:rPr>
        <w:t>Под кои услови вашата компанија сериозно би размислила за воведување на вакви реформи?</w:t>
      </w:r>
      <w:r w:rsidRPr="00CD0181">
        <w:rPr>
          <w:rFonts w:eastAsia="Arial Unicode MS"/>
          <w:color w:val="000000"/>
          <w:bdr w:val="nil"/>
          <w:lang w:val="en-US"/>
        </w:rPr>
        <w:t xml:space="preserve"> </w:t>
      </w:r>
    </w:p>
    <w:p w14:paraId="5FEFE55A" w14:textId="77777777" w:rsidR="00CD0181" w:rsidRPr="00CD0181" w:rsidRDefault="00CD0181" w:rsidP="00CD0181">
      <w:pPr>
        <w:pStyle w:val="BodyText"/>
        <w:numPr>
          <w:ilvl w:val="0"/>
          <w:numId w:val="30"/>
        </w:numPr>
        <w:rPr>
          <w:rFonts w:eastAsia="Arial Unicode MS"/>
          <w:color w:val="000000"/>
          <w:bdr w:val="nil"/>
          <w:lang w:val="en-US"/>
        </w:rPr>
      </w:pPr>
      <w:r w:rsidRPr="00CD0181">
        <w:rPr>
          <w:rFonts w:eastAsia="Arial Unicode MS"/>
          <w:b/>
          <w:bCs/>
          <w:color w:val="000000"/>
          <w:bdr w:val="nil"/>
          <w:lang w:val="en-US"/>
        </w:rPr>
        <w:t>Дали сметате дека ваквите реформи би го зајакнале или ослабеле корпоративното управување во вашата компанија? Ве молиме објаснете.</w:t>
      </w:r>
    </w:p>
    <w:p w14:paraId="0A23FFFC" w14:textId="77777777" w:rsidR="009330C0" w:rsidRPr="00E66A9D" w:rsidRDefault="009330C0" w:rsidP="009330C0">
      <w:pPr>
        <w:pStyle w:val="BodyText"/>
        <w:rPr>
          <w:lang w:val="mk-MK"/>
        </w:rPr>
      </w:pPr>
    </w:p>
    <w:p w14:paraId="583E5505" w14:textId="77777777" w:rsidR="009330C0" w:rsidRDefault="009330C0" w:rsidP="009330C0">
      <w:pPr>
        <w:spacing w:before="240"/>
        <w:jc w:val="both"/>
        <w:rPr>
          <w:sz w:val="24"/>
          <w:szCs w:val="24"/>
          <w:lang w:val="mk-MK"/>
        </w:rPr>
      </w:pPr>
      <w:r w:rsidRPr="00A05BC0">
        <w:rPr>
          <w:b/>
          <w:bCs/>
          <w:sz w:val="24"/>
          <w:szCs w:val="24"/>
          <w:lang w:val="mk-MK"/>
        </w:rPr>
        <w:t>Методолошка белешка</w:t>
      </w:r>
      <w:r w:rsidRPr="00A05BC0">
        <w:rPr>
          <w:sz w:val="24"/>
          <w:szCs w:val="24"/>
          <w:lang w:val="mk-MK"/>
        </w:rPr>
        <w:t xml:space="preserve"> </w:t>
      </w:r>
    </w:p>
    <w:p w14:paraId="405A53C9" w14:textId="77777777" w:rsidR="009A0552" w:rsidRDefault="009330C0" w:rsidP="009330C0">
      <w:pPr>
        <w:jc w:val="both"/>
        <w:rPr>
          <w:sz w:val="24"/>
          <w:szCs w:val="24"/>
          <w:lang w:val="mk-MK"/>
        </w:rPr>
      </w:pPr>
      <w:r w:rsidRPr="009330C0">
        <w:rPr>
          <w:sz w:val="24"/>
          <w:szCs w:val="24"/>
          <w:lang w:val="mk-MK"/>
        </w:rPr>
        <w:t xml:space="preserve">Овој прашалник е дизајниран како комбиниран инструмент за прибирање на квантитативни и квалитативни податоци со цел да се испитаат ставовите на бизнис-субјектите во Македонија во однос на воведување модели на работничко учество во корпоративното управување. Структурата на прашалникот е концептуално заснована на интеграција на повеќе теоретски пристапи од литературата за јавни политики и институционална анализа, особено оние поврзани со ограничената рационалност на одлучувањето, институционалните ограничувања, прозорците на можности и постепената институционална промена. </w:t>
      </w:r>
    </w:p>
    <w:p w14:paraId="7C002148" w14:textId="77777777" w:rsidR="009A0552" w:rsidRDefault="009A0552" w:rsidP="009330C0">
      <w:pPr>
        <w:jc w:val="both"/>
        <w:rPr>
          <w:sz w:val="24"/>
          <w:szCs w:val="24"/>
          <w:lang w:val="mk-MK"/>
        </w:rPr>
      </w:pPr>
    </w:p>
    <w:p w14:paraId="332398AE" w14:textId="644D13DE" w:rsidR="009330C0" w:rsidRDefault="009330C0" w:rsidP="009330C0">
      <w:pPr>
        <w:jc w:val="both"/>
        <w:rPr>
          <w:sz w:val="24"/>
          <w:szCs w:val="24"/>
          <w:lang w:val="mk-MK"/>
        </w:rPr>
      </w:pPr>
      <w:r w:rsidRPr="009330C0">
        <w:rPr>
          <w:sz w:val="24"/>
          <w:szCs w:val="24"/>
          <w:lang w:val="mk-MK"/>
        </w:rPr>
        <w:t>Прашалникот е организиран во тематски целини кои овозможуваат мапирање на клучните варијабли: (1) профил на компанијата, (2) перцепции и ниво на информираност, (3) подготвеност за примена на конкретни инструменти, (4) оценка на правната и институционалната рамка, (5) влијание на европските интеграции и (6) перципирани бариери и изводливост.</w:t>
      </w:r>
    </w:p>
    <w:p w14:paraId="650B5F41" w14:textId="77777777" w:rsidR="0060096C" w:rsidRDefault="0060096C" w:rsidP="009330C0">
      <w:pPr>
        <w:jc w:val="both"/>
        <w:rPr>
          <w:sz w:val="24"/>
          <w:szCs w:val="24"/>
          <w:lang w:val="mk-MK"/>
        </w:rPr>
      </w:pPr>
    </w:p>
    <w:p w14:paraId="6C31BEC1" w14:textId="266D82DF" w:rsidR="0060096C" w:rsidRDefault="0060096C" w:rsidP="009330C0">
      <w:pPr>
        <w:jc w:val="both"/>
        <w:rPr>
          <w:sz w:val="24"/>
          <w:szCs w:val="24"/>
          <w:lang w:val="mk-MK"/>
        </w:rPr>
      </w:pPr>
      <w:r w:rsidRPr="0060096C">
        <w:rPr>
          <w:sz w:val="24"/>
          <w:szCs w:val="24"/>
          <w:lang w:val="mk-MK"/>
        </w:rPr>
        <w:t xml:space="preserve">Комбинацијата на затворени и отворени прашања овозможува, од една страна, статистичка обработка и споредливост на одговорите, а од друга страна, подлабоко разбирање на аргументацијата и перцепциите на испитаниците. На овој начин, инструментот е прилагоден за анализа на „геометријата на реформата“, односно интеракцијата помеѓу различните актери </w:t>
      </w:r>
      <w:r>
        <w:rPr>
          <w:sz w:val="24"/>
          <w:szCs w:val="24"/>
          <w:lang w:val="mk-MK"/>
        </w:rPr>
        <w:t xml:space="preserve">како </w:t>
      </w:r>
      <w:r w:rsidRPr="0060096C">
        <w:rPr>
          <w:sz w:val="24"/>
          <w:szCs w:val="24"/>
          <w:lang w:val="mk-MK"/>
        </w:rPr>
        <w:t>сопственици, менаџмент, работници, инвеститори и нивните интереси, како и за идентификување на условите под кои би било можно воведување на постепени институционални промени во корпоративното управување во Македонија.</w:t>
      </w:r>
    </w:p>
    <w:p w14:paraId="77A52220" w14:textId="77777777" w:rsidR="009330C0" w:rsidRDefault="009330C0" w:rsidP="009330C0">
      <w:pPr>
        <w:jc w:val="both"/>
        <w:rPr>
          <w:sz w:val="24"/>
          <w:szCs w:val="24"/>
          <w:lang w:val="mk-MK"/>
        </w:rPr>
      </w:pPr>
    </w:p>
    <w:p w14:paraId="151B1A71" w14:textId="77777777" w:rsidR="009330C0" w:rsidRPr="0016039E" w:rsidRDefault="009330C0" w:rsidP="009330C0">
      <w:pPr>
        <w:jc w:val="both"/>
        <w:rPr>
          <w:b/>
          <w:bCs/>
          <w:sz w:val="24"/>
          <w:szCs w:val="24"/>
          <w:lang w:val="mk-MK"/>
        </w:rPr>
      </w:pPr>
      <w:r w:rsidRPr="0016039E">
        <w:rPr>
          <w:b/>
          <w:bCs/>
          <w:sz w:val="24"/>
          <w:szCs w:val="24"/>
          <w:lang w:val="mk-MK"/>
        </w:rPr>
        <w:t xml:space="preserve">Напомена </w:t>
      </w:r>
    </w:p>
    <w:p w14:paraId="4BD21B6B" w14:textId="5789E067" w:rsidR="009330C0" w:rsidRDefault="005C4616" w:rsidP="009330C0">
      <w:pPr>
        <w:jc w:val="both"/>
        <w:rPr>
          <w:sz w:val="24"/>
          <w:szCs w:val="24"/>
          <w:lang w:val="mk-MK"/>
        </w:rPr>
      </w:pPr>
      <w:r w:rsidRPr="005C4616">
        <w:rPr>
          <w:sz w:val="24"/>
          <w:szCs w:val="24"/>
          <w:lang w:val="mk-MK"/>
        </w:rPr>
        <w:t xml:space="preserve">Прашалникот не претпоставува универзална применливост на моделите на работничко учество, туку има за цел да ги идентификува перцепциите, интересите и ограничувањата на деловните субјекти во конкретниот институционален контекст на Македонија. Одговорите треба да се толкуваат во светло на структурните карактеристики на економијата, доминантните форми на сопственост и постојната правна рамка. </w:t>
      </w:r>
      <w:r w:rsidRPr="005C4616">
        <w:rPr>
          <w:sz w:val="24"/>
          <w:szCs w:val="24"/>
          <w:lang w:val="mk-MK"/>
        </w:rPr>
        <w:lastRenderedPageBreak/>
        <w:t>Дополнително, резултатите не треба да се разберат како директен индикатор за фактичка имплементација на реформите, туку како индикатор за нивната политичка и економска изводливост, односно за постоењето или отсуството на „прозорец на можност“ за реформа.</w:t>
      </w:r>
    </w:p>
    <w:p w14:paraId="5672C4D1" w14:textId="77777777" w:rsidR="009330C0" w:rsidRDefault="009330C0" w:rsidP="009330C0">
      <w:pPr>
        <w:jc w:val="both"/>
        <w:rPr>
          <w:sz w:val="24"/>
          <w:szCs w:val="24"/>
          <w:lang w:val="mk-MK"/>
        </w:rPr>
      </w:pPr>
    </w:p>
    <w:p w14:paraId="0BF563D0" w14:textId="77777777" w:rsidR="009330C0" w:rsidRDefault="009330C0" w:rsidP="009330C0">
      <w:pPr>
        <w:jc w:val="both"/>
        <w:rPr>
          <w:sz w:val="24"/>
          <w:szCs w:val="24"/>
          <w:lang w:val="mk-MK"/>
        </w:rPr>
      </w:pPr>
      <w:r w:rsidRPr="00A05BC0">
        <w:rPr>
          <w:b/>
          <w:bCs/>
          <w:sz w:val="24"/>
          <w:szCs w:val="24"/>
          <w:lang w:val="mk-MK"/>
        </w:rPr>
        <w:t xml:space="preserve">Синтетички заклучок </w:t>
      </w:r>
    </w:p>
    <w:p w14:paraId="6002ECE4" w14:textId="4879C31C" w:rsidR="009330C0" w:rsidRDefault="0037135F" w:rsidP="009330C0">
      <w:pPr>
        <w:jc w:val="both"/>
        <w:rPr>
          <w:sz w:val="24"/>
          <w:szCs w:val="24"/>
          <w:lang w:val="mk-MK"/>
        </w:rPr>
      </w:pPr>
      <w:r w:rsidRPr="0037135F">
        <w:rPr>
          <w:sz w:val="24"/>
          <w:szCs w:val="24"/>
          <w:lang w:val="mk-MK"/>
        </w:rPr>
        <w:t xml:space="preserve">Како аналитички инструмент, прашалникот овозможува емпириско тестирање на клучната хипотеза дека реформите во корпоративното управување во Македонија најверојатно ќе се одвиваат постепено, преку механизми на институционално </w:t>
      </w:r>
      <w:r w:rsidR="00604A23">
        <w:rPr>
          <w:sz w:val="24"/>
          <w:szCs w:val="24"/>
          <w:lang w:val="mk-MK"/>
        </w:rPr>
        <w:t>слоевито спроведување</w:t>
      </w:r>
      <w:r w:rsidRPr="0037135F">
        <w:rPr>
          <w:sz w:val="24"/>
          <w:szCs w:val="24"/>
          <w:lang w:val="mk-MK"/>
        </w:rPr>
        <w:t>, наместо преку радикални трансформации. Преку мапирање на ставовите на бизнис-субјектите, инструментот придонесува за идентификување на точките на конвергенција и конфликт помеѓу различните актери, како и за утврдување на условите под кои одредени модели</w:t>
      </w:r>
      <w:r w:rsidR="00305827">
        <w:rPr>
          <w:sz w:val="24"/>
          <w:szCs w:val="24"/>
          <w:lang w:val="mk-MK"/>
        </w:rPr>
        <w:t xml:space="preserve">, </w:t>
      </w:r>
      <w:r w:rsidRPr="0037135F">
        <w:rPr>
          <w:sz w:val="24"/>
          <w:szCs w:val="24"/>
          <w:lang w:val="mk-MK"/>
        </w:rPr>
        <w:t>како ограничени удели за вработените или нивно ограничено учество во управувањето</w:t>
      </w:r>
      <w:r w:rsidR="00305827">
        <w:rPr>
          <w:sz w:val="24"/>
          <w:szCs w:val="24"/>
          <w:lang w:val="mk-MK"/>
        </w:rPr>
        <w:t>,</w:t>
      </w:r>
      <w:r w:rsidRPr="0037135F">
        <w:rPr>
          <w:sz w:val="24"/>
          <w:szCs w:val="24"/>
          <w:lang w:val="mk-MK"/>
        </w:rPr>
        <w:t xml:space="preserve"> би можеле да бидат прифатени. На тој начин, резултатите од прашалникот можат да послужат како основа за формулирање на нормативни предлози за реформа кои се институционално изводливи, политички одржливи и економски прифатливи во македонскиот контекст.</w:t>
      </w:r>
    </w:p>
    <w:p w14:paraId="687E3768" w14:textId="77777777" w:rsidR="009330C0" w:rsidRDefault="009330C0" w:rsidP="009A25CB">
      <w:pPr>
        <w:pStyle w:val="BodyText"/>
        <w:spacing w:before="240" w:line="360" w:lineRule="auto"/>
        <w:jc w:val="both"/>
        <w:rPr>
          <w:rFonts w:eastAsia="Arial Unicode MS"/>
          <w:color w:val="000000"/>
          <w:bdr w:val="nil"/>
          <w:lang w:val="en-US"/>
        </w:rPr>
      </w:pPr>
    </w:p>
    <w:p w14:paraId="7B9AD074" w14:textId="77777777" w:rsidR="00707F7B" w:rsidRDefault="00707F7B" w:rsidP="009A25CB">
      <w:pPr>
        <w:pStyle w:val="BodyText"/>
        <w:spacing w:before="240" w:line="360" w:lineRule="auto"/>
        <w:jc w:val="both"/>
        <w:rPr>
          <w:rFonts w:eastAsia="Arial Unicode MS"/>
          <w:color w:val="000000"/>
          <w:bdr w:val="nil"/>
          <w:lang w:val="en-US"/>
        </w:rPr>
      </w:pPr>
    </w:p>
    <w:p w14:paraId="7D20CA7E" w14:textId="77777777" w:rsidR="00707F7B" w:rsidRDefault="00707F7B" w:rsidP="009A25CB">
      <w:pPr>
        <w:pStyle w:val="BodyText"/>
        <w:spacing w:before="240" w:line="360" w:lineRule="auto"/>
        <w:jc w:val="both"/>
        <w:rPr>
          <w:rFonts w:eastAsia="Arial Unicode MS"/>
          <w:color w:val="000000"/>
          <w:bdr w:val="nil"/>
          <w:lang w:val="en-US"/>
        </w:rPr>
      </w:pPr>
    </w:p>
    <w:p w14:paraId="598C70E5" w14:textId="77777777" w:rsidR="00707F7B" w:rsidRDefault="00707F7B" w:rsidP="009A25CB">
      <w:pPr>
        <w:pStyle w:val="BodyText"/>
        <w:spacing w:before="240" w:line="360" w:lineRule="auto"/>
        <w:jc w:val="both"/>
        <w:rPr>
          <w:rFonts w:eastAsia="Arial Unicode MS"/>
          <w:color w:val="000000"/>
          <w:bdr w:val="nil"/>
          <w:lang w:val="en-US"/>
        </w:rPr>
      </w:pPr>
    </w:p>
    <w:p w14:paraId="0CC82E14" w14:textId="77777777" w:rsidR="00707F7B" w:rsidRDefault="00707F7B" w:rsidP="009A25CB">
      <w:pPr>
        <w:pStyle w:val="BodyText"/>
        <w:spacing w:before="240" w:line="360" w:lineRule="auto"/>
        <w:jc w:val="both"/>
        <w:rPr>
          <w:rFonts w:eastAsia="Arial Unicode MS"/>
          <w:color w:val="000000"/>
          <w:bdr w:val="nil"/>
          <w:lang w:val="en-US"/>
        </w:rPr>
      </w:pPr>
    </w:p>
    <w:p w14:paraId="68799D8E" w14:textId="77777777" w:rsidR="00707F7B" w:rsidRDefault="00707F7B" w:rsidP="009A25CB">
      <w:pPr>
        <w:pStyle w:val="BodyText"/>
        <w:spacing w:before="240" w:line="360" w:lineRule="auto"/>
        <w:jc w:val="both"/>
        <w:rPr>
          <w:rFonts w:eastAsia="Arial Unicode MS"/>
          <w:color w:val="000000"/>
          <w:bdr w:val="nil"/>
          <w:lang w:val="en-US"/>
        </w:rPr>
      </w:pPr>
    </w:p>
    <w:p w14:paraId="00A52606" w14:textId="77777777" w:rsidR="00707F7B" w:rsidRDefault="00707F7B" w:rsidP="009A25CB">
      <w:pPr>
        <w:pStyle w:val="BodyText"/>
        <w:spacing w:before="240" w:line="360" w:lineRule="auto"/>
        <w:jc w:val="both"/>
        <w:rPr>
          <w:rFonts w:eastAsia="Arial Unicode MS"/>
          <w:color w:val="000000"/>
          <w:bdr w:val="nil"/>
          <w:lang w:val="en-US"/>
        </w:rPr>
      </w:pPr>
    </w:p>
    <w:p w14:paraId="3D43212B" w14:textId="77777777" w:rsidR="00707F7B" w:rsidRDefault="00707F7B" w:rsidP="009A25CB">
      <w:pPr>
        <w:pStyle w:val="BodyText"/>
        <w:spacing w:before="240" w:line="360" w:lineRule="auto"/>
        <w:jc w:val="both"/>
        <w:rPr>
          <w:rFonts w:eastAsia="Arial Unicode MS"/>
          <w:color w:val="000000"/>
          <w:bdr w:val="nil"/>
          <w:lang w:val="en-US"/>
        </w:rPr>
      </w:pPr>
    </w:p>
    <w:p w14:paraId="1776FB7B" w14:textId="77777777" w:rsidR="00707F7B" w:rsidRDefault="00707F7B" w:rsidP="009A25CB">
      <w:pPr>
        <w:pStyle w:val="BodyText"/>
        <w:spacing w:before="240" w:line="360" w:lineRule="auto"/>
        <w:jc w:val="both"/>
        <w:rPr>
          <w:rFonts w:eastAsia="Arial Unicode MS"/>
          <w:color w:val="000000"/>
          <w:bdr w:val="nil"/>
          <w:lang w:val="en-US"/>
        </w:rPr>
      </w:pPr>
    </w:p>
    <w:p w14:paraId="1DF47A63" w14:textId="77777777" w:rsidR="00707F7B" w:rsidRDefault="00707F7B" w:rsidP="009A25CB">
      <w:pPr>
        <w:pStyle w:val="BodyText"/>
        <w:spacing w:before="240" w:line="360" w:lineRule="auto"/>
        <w:jc w:val="both"/>
        <w:rPr>
          <w:rFonts w:eastAsia="Arial Unicode MS"/>
          <w:color w:val="000000"/>
          <w:bdr w:val="nil"/>
          <w:lang w:val="en-US"/>
        </w:rPr>
      </w:pPr>
    </w:p>
    <w:p w14:paraId="152C3195" w14:textId="77777777" w:rsidR="00707F7B" w:rsidRDefault="00707F7B" w:rsidP="009A25CB">
      <w:pPr>
        <w:pStyle w:val="BodyText"/>
        <w:spacing w:before="240" w:line="360" w:lineRule="auto"/>
        <w:jc w:val="both"/>
        <w:rPr>
          <w:rFonts w:eastAsia="Arial Unicode MS"/>
          <w:color w:val="000000"/>
          <w:bdr w:val="nil"/>
          <w:lang w:val="en-US"/>
        </w:rPr>
      </w:pPr>
    </w:p>
    <w:p w14:paraId="158E17CD" w14:textId="77777777" w:rsidR="00707F7B" w:rsidRDefault="00707F7B" w:rsidP="009A25CB">
      <w:pPr>
        <w:pStyle w:val="BodyText"/>
        <w:spacing w:before="240" w:line="360" w:lineRule="auto"/>
        <w:jc w:val="both"/>
        <w:rPr>
          <w:rFonts w:eastAsia="Arial Unicode MS"/>
          <w:color w:val="000000"/>
          <w:bdr w:val="nil"/>
          <w:lang w:val="en-US"/>
        </w:rPr>
      </w:pPr>
    </w:p>
    <w:p w14:paraId="0E7D7250" w14:textId="77777777" w:rsidR="00707F7B" w:rsidRDefault="00707F7B" w:rsidP="00707F7B">
      <w:pPr>
        <w:pStyle w:val="BodyText"/>
        <w:spacing w:before="240" w:after="240" w:line="360" w:lineRule="auto"/>
        <w:jc w:val="both"/>
        <w:rPr>
          <w:rFonts w:eastAsia="Arial Unicode MS"/>
          <w:color w:val="000000"/>
          <w:bdr w:val="nil"/>
          <w:lang w:val="en-US"/>
        </w:rPr>
      </w:pPr>
    </w:p>
    <w:p w14:paraId="4F8E2F2A" w14:textId="1CDAE369" w:rsidR="00707F7B" w:rsidRDefault="00707F7B" w:rsidP="00707F7B">
      <w:pPr>
        <w:pStyle w:val="Heading1"/>
        <w:spacing w:after="240"/>
        <w:jc w:val="both"/>
        <w:rPr>
          <w:lang w:val="mk-MK"/>
        </w:rPr>
      </w:pPr>
      <w:bookmarkStart w:id="147" w:name="_Toc230524000"/>
      <w:r w:rsidRPr="00F53881">
        <w:rPr>
          <w:lang w:val="mk-MK"/>
        </w:rPr>
        <w:lastRenderedPageBreak/>
        <w:t xml:space="preserve">Прилог </w:t>
      </w:r>
      <w:r w:rsidR="00C24205">
        <w:rPr>
          <w:lang w:val="mk-MK"/>
        </w:rPr>
        <w:t>9</w:t>
      </w:r>
      <w:r>
        <w:rPr>
          <w:lang w:val="en-US"/>
        </w:rPr>
        <w:t xml:space="preserve">: </w:t>
      </w:r>
      <w:r>
        <w:rPr>
          <w:lang w:val="mk-MK"/>
        </w:rPr>
        <w:t>Користен прашалник за интервјуата со вработените во релевантните трговските друштва</w:t>
      </w:r>
      <w:bookmarkEnd w:id="147"/>
    </w:p>
    <w:p w14:paraId="57CE5040" w14:textId="7B0A9A1A" w:rsidR="001374EA" w:rsidRDefault="001374EA" w:rsidP="001374EA">
      <w:pPr>
        <w:pStyle w:val="BodyText"/>
        <w:rPr>
          <w:u w:val="single"/>
          <w:lang w:val="mk-MK"/>
        </w:rPr>
      </w:pPr>
      <w:r w:rsidRPr="001374EA">
        <w:rPr>
          <w:u w:val="single"/>
          <w:lang w:val="mk-MK"/>
        </w:rPr>
        <w:t>Англиска верзија</w:t>
      </w:r>
    </w:p>
    <w:p w14:paraId="7509741C" w14:textId="77777777" w:rsidR="001374EA" w:rsidRDefault="001374EA" w:rsidP="001374EA">
      <w:pPr>
        <w:pStyle w:val="BodyText"/>
        <w:rPr>
          <w:u w:val="single"/>
          <w:lang w:val="mk-MK"/>
        </w:rPr>
      </w:pPr>
    </w:p>
    <w:p w14:paraId="5D9EC7FF" w14:textId="77777777" w:rsidR="002A26CC" w:rsidRPr="002A26CC" w:rsidRDefault="002A26CC" w:rsidP="00814F21">
      <w:pPr>
        <w:pStyle w:val="BodyText"/>
        <w:jc w:val="both"/>
        <w:rPr>
          <w:b/>
          <w:bCs/>
          <w:lang w:val="en-US"/>
        </w:rPr>
      </w:pPr>
      <w:r w:rsidRPr="002A26CC">
        <w:rPr>
          <w:b/>
          <w:bCs/>
          <w:lang w:val="en-US"/>
        </w:rPr>
        <w:t>Section 1: Employee Profile</w:t>
      </w:r>
    </w:p>
    <w:p w14:paraId="2F6B58C8" w14:textId="1238E8F8" w:rsidR="002A26CC" w:rsidRPr="002A26CC" w:rsidRDefault="002A26CC" w:rsidP="002A26CC">
      <w:pPr>
        <w:pStyle w:val="BodyText"/>
        <w:numPr>
          <w:ilvl w:val="0"/>
          <w:numId w:val="32"/>
        </w:numPr>
        <w:jc w:val="both"/>
        <w:rPr>
          <w:lang w:val="en-US"/>
        </w:rPr>
      </w:pPr>
      <w:r w:rsidRPr="002A26CC">
        <w:rPr>
          <w:b/>
          <w:bCs/>
          <w:lang w:val="en-US"/>
        </w:rPr>
        <w:t>Position in the company</w:t>
      </w:r>
      <w:r w:rsidR="00814F21">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Non-managerial employee</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Middle management</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Senior management </w:t>
      </w:r>
    </w:p>
    <w:p w14:paraId="4439BC09" w14:textId="0A6B9EF5" w:rsidR="002A26CC" w:rsidRPr="002A26CC" w:rsidRDefault="002A26CC" w:rsidP="002A26CC">
      <w:pPr>
        <w:pStyle w:val="BodyText"/>
        <w:numPr>
          <w:ilvl w:val="0"/>
          <w:numId w:val="32"/>
        </w:numPr>
        <w:jc w:val="both"/>
        <w:rPr>
          <w:lang w:val="en-US"/>
        </w:rPr>
      </w:pPr>
      <w:r w:rsidRPr="002A26CC">
        <w:rPr>
          <w:b/>
          <w:bCs/>
          <w:lang w:val="en-US"/>
        </w:rPr>
        <w:t>Length of employment in the company</w:t>
      </w:r>
      <w:r w:rsidR="00814F21">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Less than 1 year</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1–3 years</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3–5 years</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More than 5 years </w:t>
      </w:r>
    </w:p>
    <w:p w14:paraId="75EF74C4" w14:textId="7E12CBC3" w:rsidR="002A26CC" w:rsidRPr="002A26CC" w:rsidRDefault="002A26CC" w:rsidP="002A26CC">
      <w:pPr>
        <w:pStyle w:val="BodyText"/>
        <w:numPr>
          <w:ilvl w:val="0"/>
          <w:numId w:val="32"/>
        </w:numPr>
        <w:jc w:val="both"/>
        <w:rPr>
          <w:lang w:val="en-US"/>
        </w:rPr>
      </w:pPr>
      <w:r w:rsidRPr="002A26CC">
        <w:rPr>
          <w:b/>
          <w:bCs/>
          <w:lang w:val="en-US"/>
        </w:rPr>
        <w:t>Sector of the company</w:t>
      </w:r>
      <w:r w:rsidR="00814F21">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Manufacturing</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Services</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Finance</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ICT / Startups</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Other: _______ </w:t>
      </w:r>
    </w:p>
    <w:p w14:paraId="7E5F78B0" w14:textId="524F1E76" w:rsidR="002A26CC" w:rsidRPr="002A26CC" w:rsidRDefault="002A26CC" w:rsidP="002A26CC">
      <w:pPr>
        <w:pStyle w:val="BodyText"/>
        <w:numPr>
          <w:ilvl w:val="0"/>
          <w:numId w:val="32"/>
        </w:numPr>
        <w:jc w:val="both"/>
        <w:rPr>
          <w:lang w:val="en-US"/>
        </w:rPr>
      </w:pPr>
      <w:r w:rsidRPr="002A26CC">
        <w:rPr>
          <w:b/>
          <w:bCs/>
          <w:lang w:val="en-US"/>
        </w:rPr>
        <w:t>Company size (if known)</w:t>
      </w:r>
      <w:r w:rsidR="00814F21">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Micro (1–9 employees)</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Small (10–49)</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Medium (50–249)</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Large (250+)</w:t>
      </w:r>
      <w:r w:rsidR="00814F21">
        <w:rPr>
          <w:lang w:val="mk-MK"/>
        </w:rPr>
        <w:tab/>
      </w:r>
      <w:r w:rsidRPr="002A26CC">
        <w:rPr>
          <w:lang w:val="en-US"/>
        </w:rPr>
        <w:br/>
      </w:r>
      <w:r w:rsidRPr="002A26CC">
        <w:rPr>
          <w:rFonts w:ascii="Segoe UI Symbol" w:hAnsi="Segoe UI Symbol" w:cs="Segoe UI Symbol"/>
          <w:lang w:val="en-US"/>
        </w:rPr>
        <w:t>☐</w:t>
      </w:r>
      <w:r w:rsidRPr="002A26CC">
        <w:rPr>
          <w:lang w:val="en-US"/>
        </w:rPr>
        <w:t xml:space="preserve"> Not sure </w:t>
      </w:r>
    </w:p>
    <w:p w14:paraId="2FA5F0F3" w14:textId="40507766" w:rsidR="002A26CC" w:rsidRPr="002A26CC" w:rsidRDefault="002A26CC" w:rsidP="002A26CC">
      <w:pPr>
        <w:pStyle w:val="BodyText"/>
        <w:jc w:val="both"/>
        <w:rPr>
          <w:lang w:val="en-US"/>
        </w:rPr>
      </w:pPr>
    </w:p>
    <w:p w14:paraId="0C195B3E" w14:textId="77777777" w:rsidR="002A26CC" w:rsidRPr="002A26CC" w:rsidRDefault="002A26CC" w:rsidP="00A85B12">
      <w:pPr>
        <w:pStyle w:val="BodyText"/>
        <w:jc w:val="both"/>
        <w:rPr>
          <w:b/>
          <w:bCs/>
          <w:lang w:val="en-US"/>
        </w:rPr>
      </w:pPr>
      <w:r w:rsidRPr="002A26CC">
        <w:rPr>
          <w:b/>
          <w:bCs/>
          <w:lang w:val="en-US"/>
        </w:rPr>
        <w:t>Section 2: Awareness and Experience</w:t>
      </w:r>
    </w:p>
    <w:p w14:paraId="43CE1F82" w14:textId="77777777" w:rsidR="002A26CC" w:rsidRPr="002A26CC" w:rsidRDefault="002A26CC" w:rsidP="002A26CC">
      <w:pPr>
        <w:pStyle w:val="BodyText"/>
        <w:jc w:val="both"/>
        <w:rPr>
          <w:lang w:val="en-US"/>
        </w:rPr>
      </w:pPr>
      <w:r w:rsidRPr="002A26CC">
        <w:rPr>
          <w:i/>
          <w:iCs/>
          <w:lang w:val="en-US"/>
        </w:rPr>
        <w:t>(Cross-reference with Company Q5 and Q4)</w:t>
      </w:r>
    </w:p>
    <w:p w14:paraId="559B8ABA" w14:textId="6D8F544C" w:rsidR="002A26CC" w:rsidRPr="002A26CC" w:rsidRDefault="002A26CC" w:rsidP="002A26CC">
      <w:pPr>
        <w:pStyle w:val="BodyText"/>
        <w:numPr>
          <w:ilvl w:val="0"/>
          <w:numId w:val="33"/>
        </w:numPr>
        <w:jc w:val="both"/>
        <w:rPr>
          <w:lang w:val="en-US"/>
        </w:rPr>
      </w:pPr>
      <w:r w:rsidRPr="002A26CC">
        <w:rPr>
          <w:b/>
          <w:bCs/>
          <w:lang w:val="en-US"/>
        </w:rPr>
        <w:t>How familiar are you with employee participation models (e.g. employee share ownership, board-level representation)?</w:t>
      </w:r>
      <w:r w:rsidR="00A85B12">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Not familiar</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Slightly familiar</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Moderately familiar</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Very familiar </w:t>
      </w:r>
    </w:p>
    <w:p w14:paraId="4B25ECDE" w14:textId="3E73CA43" w:rsidR="002A26CC" w:rsidRPr="002A26CC" w:rsidRDefault="002A26CC" w:rsidP="002A26CC">
      <w:pPr>
        <w:pStyle w:val="BodyText"/>
        <w:numPr>
          <w:ilvl w:val="0"/>
          <w:numId w:val="33"/>
        </w:numPr>
        <w:jc w:val="both"/>
        <w:rPr>
          <w:lang w:val="en-US"/>
        </w:rPr>
      </w:pPr>
      <w:r w:rsidRPr="002A26CC">
        <w:rPr>
          <w:b/>
          <w:bCs/>
          <w:lang w:val="en-US"/>
        </w:rPr>
        <w:t>Does your company currently have any form of employee representation?</w:t>
      </w:r>
      <w:r w:rsidR="00A85B12">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Yes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No</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Not sure </w:t>
      </w:r>
    </w:p>
    <w:p w14:paraId="08FCDEB0" w14:textId="0D515EBE" w:rsidR="002A26CC" w:rsidRPr="002A26CC" w:rsidRDefault="002A26CC" w:rsidP="002A26CC">
      <w:pPr>
        <w:pStyle w:val="BodyText"/>
        <w:jc w:val="both"/>
        <w:rPr>
          <w:lang w:val="en-US"/>
        </w:rPr>
      </w:pPr>
      <w:r w:rsidRPr="002A26CC">
        <w:rPr>
          <w:lang w:val="en-US"/>
        </w:rPr>
        <w:t>If yes: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Trade union</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Worker council</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Employee representative in management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Other: _______</w:t>
      </w:r>
    </w:p>
    <w:p w14:paraId="67F7B7D6" w14:textId="167CB9C8" w:rsidR="002A26CC" w:rsidRPr="002A26CC" w:rsidRDefault="002A26CC" w:rsidP="002A26CC">
      <w:pPr>
        <w:pStyle w:val="BodyText"/>
        <w:numPr>
          <w:ilvl w:val="0"/>
          <w:numId w:val="34"/>
        </w:numPr>
        <w:jc w:val="both"/>
        <w:rPr>
          <w:lang w:val="en-US"/>
        </w:rPr>
      </w:pPr>
      <w:r w:rsidRPr="002A26CC">
        <w:rPr>
          <w:b/>
          <w:bCs/>
          <w:lang w:val="en-US"/>
        </w:rPr>
        <w:lastRenderedPageBreak/>
        <w:t>If such structures exist, how effective are they in representing employees’ interests?</w:t>
      </w:r>
      <w:r w:rsidRPr="002A26CC">
        <w:rPr>
          <w:lang w:val="en-US"/>
        </w:rPr>
        <w:br/>
      </w:r>
      <w:r w:rsidRPr="002A26CC">
        <w:rPr>
          <w:rFonts w:ascii="Segoe UI Symbol" w:hAnsi="Segoe UI Symbol" w:cs="Segoe UI Symbol"/>
          <w:lang w:val="en-US"/>
        </w:rPr>
        <w:t>☐</w:t>
      </w:r>
      <w:r w:rsidRPr="002A26CC">
        <w:rPr>
          <w:lang w:val="en-US"/>
        </w:rPr>
        <w:t xml:space="preserve"> Not effective</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Slightly effective</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Moderately effective</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Very effective </w:t>
      </w:r>
    </w:p>
    <w:p w14:paraId="25548BE6" w14:textId="49EFF3A4" w:rsidR="002A26CC" w:rsidRPr="002A26CC" w:rsidRDefault="002A26CC" w:rsidP="002A26CC">
      <w:pPr>
        <w:pStyle w:val="BodyText"/>
        <w:jc w:val="both"/>
        <w:rPr>
          <w:lang w:val="en-US"/>
        </w:rPr>
      </w:pPr>
    </w:p>
    <w:p w14:paraId="3787B366" w14:textId="77777777" w:rsidR="002A26CC" w:rsidRPr="002A26CC" w:rsidRDefault="002A26CC" w:rsidP="00A85B12">
      <w:pPr>
        <w:pStyle w:val="BodyText"/>
        <w:jc w:val="both"/>
        <w:rPr>
          <w:b/>
          <w:bCs/>
          <w:lang w:val="en-US"/>
        </w:rPr>
      </w:pPr>
      <w:r w:rsidRPr="002A26CC">
        <w:rPr>
          <w:b/>
          <w:bCs/>
          <w:lang w:val="en-US"/>
        </w:rPr>
        <w:t>Section 3: Perceptions of Relevance and Benefits</w:t>
      </w:r>
    </w:p>
    <w:p w14:paraId="6BFA1669" w14:textId="77777777" w:rsidR="002A26CC" w:rsidRPr="002A26CC" w:rsidRDefault="002A26CC" w:rsidP="002A26CC">
      <w:pPr>
        <w:pStyle w:val="BodyText"/>
        <w:jc w:val="both"/>
        <w:rPr>
          <w:lang w:val="en-US"/>
        </w:rPr>
      </w:pPr>
      <w:r w:rsidRPr="002A26CC">
        <w:rPr>
          <w:i/>
          <w:iCs/>
          <w:lang w:val="en-US"/>
        </w:rPr>
        <w:t>(Cross-reference with Company Q6 and Q7)</w:t>
      </w:r>
    </w:p>
    <w:p w14:paraId="743AA97C" w14:textId="4B2F9599" w:rsidR="002A26CC" w:rsidRPr="002A26CC" w:rsidRDefault="002A26CC" w:rsidP="002A26CC">
      <w:pPr>
        <w:pStyle w:val="BodyText"/>
        <w:numPr>
          <w:ilvl w:val="0"/>
          <w:numId w:val="35"/>
        </w:numPr>
        <w:jc w:val="both"/>
        <w:rPr>
          <w:lang w:val="en-US"/>
        </w:rPr>
      </w:pPr>
      <w:r w:rsidRPr="002A26CC">
        <w:rPr>
          <w:b/>
          <w:bCs/>
          <w:lang w:val="en-US"/>
        </w:rPr>
        <w:t>How relevant do you think employee participation models are for companies in North Macedonia?</w:t>
      </w:r>
      <w:r w:rsidR="00A85B12">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Not relevant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Slightly relevant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Moderately relevant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Highly relevant </w:t>
      </w:r>
    </w:p>
    <w:p w14:paraId="0984F741" w14:textId="2E34F8A2" w:rsidR="002A26CC" w:rsidRPr="002A26CC" w:rsidRDefault="002A26CC" w:rsidP="002A26CC">
      <w:pPr>
        <w:pStyle w:val="BodyText"/>
        <w:numPr>
          <w:ilvl w:val="0"/>
          <w:numId w:val="35"/>
        </w:numPr>
        <w:jc w:val="both"/>
        <w:rPr>
          <w:lang w:val="en-US"/>
        </w:rPr>
      </w:pPr>
      <w:r w:rsidRPr="002A26CC">
        <w:rPr>
          <w:b/>
          <w:bCs/>
          <w:lang w:val="en-US"/>
        </w:rPr>
        <w:t>What do you see as the main potential benefits? (select up to 3)</w:t>
      </w:r>
      <w:r w:rsidR="00A85B12">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Increased motivation</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Greater job security</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Better wages/financial benefits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Stronger voice in decision-making</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Improved workplace relations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Alignment with EU standards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Other: _______ </w:t>
      </w:r>
    </w:p>
    <w:p w14:paraId="4D0E402B" w14:textId="41331D58" w:rsidR="002A26CC" w:rsidRPr="002A26CC" w:rsidRDefault="002A26CC" w:rsidP="002A26CC">
      <w:pPr>
        <w:pStyle w:val="BodyText"/>
        <w:jc w:val="both"/>
        <w:rPr>
          <w:lang w:val="en-US"/>
        </w:rPr>
      </w:pPr>
    </w:p>
    <w:p w14:paraId="36C09D5E" w14:textId="77777777" w:rsidR="002A26CC" w:rsidRPr="002A26CC" w:rsidRDefault="002A26CC" w:rsidP="00A85B12">
      <w:pPr>
        <w:pStyle w:val="BodyText"/>
        <w:jc w:val="both"/>
        <w:rPr>
          <w:b/>
          <w:bCs/>
          <w:lang w:val="en-US"/>
        </w:rPr>
      </w:pPr>
      <w:r w:rsidRPr="002A26CC">
        <w:rPr>
          <w:b/>
          <w:bCs/>
          <w:lang w:val="en-US"/>
        </w:rPr>
        <w:t>Section 4: Perceived Risks and Concerns</w:t>
      </w:r>
    </w:p>
    <w:p w14:paraId="166200A2" w14:textId="77777777" w:rsidR="002A26CC" w:rsidRPr="002A26CC" w:rsidRDefault="002A26CC" w:rsidP="002A26CC">
      <w:pPr>
        <w:pStyle w:val="BodyText"/>
        <w:jc w:val="both"/>
        <w:rPr>
          <w:lang w:val="en-US"/>
        </w:rPr>
      </w:pPr>
      <w:r w:rsidRPr="002A26CC">
        <w:rPr>
          <w:i/>
          <w:iCs/>
          <w:lang w:val="en-US"/>
        </w:rPr>
        <w:t>(Cross-reference with Company Q8)</w:t>
      </w:r>
    </w:p>
    <w:p w14:paraId="48BF0664" w14:textId="16EA082B" w:rsidR="002A26CC" w:rsidRPr="002A26CC" w:rsidRDefault="002A26CC" w:rsidP="002A26CC">
      <w:pPr>
        <w:pStyle w:val="BodyText"/>
        <w:numPr>
          <w:ilvl w:val="0"/>
          <w:numId w:val="36"/>
        </w:numPr>
        <w:jc w:val="both"/>
        <w:rPr>
          <w:lang w:val="en-US"/>
        </w:rPr>
      </w:pPr>
      <w:r w:rsidRPr="002A26CC">
        <w:rPr>
          <w:b/>
          <w:bCs/>
          <w:lang w:val="en-US"/>
        </w:rPr>
        <w:t>What concerns or risks do you associate with such models? (select up to 3)</w:t>
      </w:r>
      <w:r w:rsidRPr="002A26CC">
        <w:rPr>
          <w:lang w:val="en-US"/>
        </w:rPr>
        <w:br/>
      </w:r>
      <w:r w:rsidRPr="002A26CC">
        <w:rPr>
          <w:rFonts w:ascii="Segoe UI Symbol" w:hAnsi="Segoe UI Symbol" w:cs="Segoe UI Symbol"/>
          <w:lang w:val="en-US"/>
        </w:rPr>
        <w:t>☐</w:t>
      </w:r>
      <w:r w:rsidRPr="002A26CC">
        <w:rPr>
          <w:lang w:val="en-US"/>
        </w:rPr>
        <w:t xml:space="preserve"> Limited real influence (symbolic participation)</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Conflicts between employees and management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Lack of trust in implementation</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Unequal access (only certain employees benefit)</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Complexity or lack of understanding</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Other: _______ </w:t>
      </w:r>
    </w:p>
    <w:p w14:paraId="6365055D" w14:textId="2B4828E6" w:rsidR="002A26CC" w:rsidRPr="002A26CC" w:rsidRDefault="002A26CC" w:rsidP="002A26CC">
      <w:pPr>
        <w:pStyle w:val="BodyText"/>
        <w:jc w:val="both"/>
        <w:rPr>
          <w:lang w:val="en-US"/>
        </w:rPr>
      </w:pPr>
    </w:p>
    <w:p w14:paraId="358BB53A" w14:textId="77777777" w:rsidR="002A26CC" w:rsidRPr="002A26CC" w:rsidRDefault="002A26CC" w:rsidP="00A85B12">
      <w:pPr>
        <w:pStyle w:val="BodyText"/>
        <w:jc w:val="both"/>
        <w:rPr>
          <w:b/>
          <w:bCs/>
          <w:lang w:val="en-US"/>
        </w:rPr>
      </w:pPr>
      <w:r w:rsidRPr="002A26CC">
        <w:rPr>
          <w:b/>
          <w:bCs/>
          <w:lang w:val="en-US"/>
        </w:rPr>
        <w:t>Section 5: Employee Share Ownership</w:t>
      </w:r>
    </w:p>
    <w:p w14:paraId="4BB42FE3" w14:textId="77777777" w:rsidR="002A26CC" w:rsidRPr="002A26CC" w:rsidRDefault="002A26CC" w:rsidP="002A26CC">
      <w:pPr>
        <w:pStyle w:val="BodyText"/>
        <w:jc w:val="both"/>
        <w:rPr>
          <w:lang w:val="en-US"/>
        </w:rPr>
      </w:pPr>
      <w:r w:rsidRPr="002A26CC">
        <w:rPr>
          <w:i/>
          <w:iCs/>
          <w:lang w:val="en-US"/>
        </w:rPr>
        <w:t>(Cross-reference with Company Q9–Q11)</w:t>
      </w:r>
    </w:p>
    <w:p w14:paraId="5A9DEBAF" w14:textId="15C4BFF1" w:rsidR="002A26CC" w:rsidRPr="002A26CC" w:rsidRDefault="002A26CC" w:rsidP="002A26CC">
      <w:pPr>
        <w:pStyle w:val="BodyText"/>
        <w:numPr>
          <w:ilvl w:val="0"/>
          <w:numId w:val="37"/>
        </w:numPr>
        <w:jc w:val="both"/>
        <w:rPr>
          <w:lang w:val="en-US"/>
        </w:rPr>
      </w:pPr>
      <w:r w:rsidRPr="002A26CC">
        <w:rPr>
          <w:b/>
          <w:bCs/>
          <w:lang w:val="en-US"/>
        </w:rPr>
        <w:t>Would you be interested in owning shares in your company (e.g. 1–5%)?</w:t>
      </w:r>
      <w:r w:rsidRPr="002A26CC">
        <w:rPr>
          <w:lang w:val="en-US"/>
        </w:rPr>
        <w:br/>
      </w:r>
      <w:r w:rsidRPr="002A26CC">
        <w:rPr>
          <w:rFonts w:ascii="Segoe UI Symbol" w:hAnsi="Segoe UI Symbol" w:cs="Segoe UI Symbol"/>
          <w:lang w:val="en-US"/>
        </w:rPr>
        <w:t>☐</w:t>
      </w:r>
      <w:r w:rsidRPr="002A26CC">
        <w:rPr>
          <w:lang w:val="en-US"/>
        </w:rPr>
        <w:t xml:space="preserve"> Yes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Maybe</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No </w:t>
      </w:r>
    </w:p>
    <w:p w14:paraId="776778B4" w14:textId="54BA2024" w:rsidR="002A26CC" w:rsidRPr="002A26CC" w:rsidRDefault="002A26CC" w:rsidP="002A26CC">
      <w:pPr>
        <w:pStyle w:val="BodyText"/>
        <w:numPr>
          <w:ilvl w:val="0"/>
          <w:numId w:val="37"/>
        </w:numPr>
        <w:jc w:val="both"/>
        <w:rPr>
          <w:lang w:val="en-US"/>
        </w:rPr>
      </w:pPr>
      <w:r w:rsidRPr="002A26CC">
        <w:rPr>
          <w:b/>
          <w:bCs/>
          <w:lang w:val="en-US"/>
        </w:rPr>
        <w:t>Under what conditions would you consider this acceptable? (select all that apply)</w:t>
      </w:r>
      <w:r w:rsidRPr="002A26CC">
        <w:rPr>
          <w:lang w:val="en-US"/>
        </w:rPr>
        <w:br/>
      </w:r>
      <w:r w:rsidRPr="002A26CC">
        <w:rPr>
          <w:rFonts w:ascii="Segoe UI Symbol" w:hAnsi="Segoe UI Symbol" w:cs="Segoe UI Symbol"/>
          <w:lang w:val="en-US"/>
        </w:rPr>
        <w:t>☐</w:t>
      </w:r>
      <w:r w:rsidRPr="002A26CC">
        <w:rPr>
          <w:lang w:val="en-US"/>
        </w:rPr>
        <w:t xml:space="preserve"> Financial benefits (dividends, profit sharing)</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No financial risk for employees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Clear and transparent rules</w:t>
      </w:r>
      <w:r w:rsidR="00A85B12">
        <w:rPr>
          <w:lang w:val="mk-MK"/>
        </w:rPr>
        <w:tab/>
      </w:r>
      <w:r w:rsidRPr="002A26CC">
        <w:rPr>
          <w:lang w:val="en-US"/>
        </w:rPr>
        <w:br/>
      </w:r>
      <w:r w:rsidRPr="002A26CC">
        <w:rPr>
          <w:rFonts w:ascii="Segoe UI Symbol" w:hAnsi="Segoe UI Symbol" w:cs="Segoe UI Symbol"/>
          <w:lang w:val="en-US"/>
        </w:rPr>
        <w:lastRenderedPageBreak/>
        <w:t>☐</w:t>
      </w:r>
      <w:r w:rsidRPr="002A26CC">
        <w:rPr>
          <w:lang w:val="en-US"/>
        </w:rPr>
        <w:t xml:space="preserve"> Voluntary participation</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Equal access for all employees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Tax incentives</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Other: _______ </w:t>
      </w:r>
    </w:p>
    <w:p w14:paraId="578E9351" w14:textId="5704828A" w:rsidR="002A26CC" w:rsidRPr="002A26CC" w:rsidRDefault="002A26CC" w:rsidP="002A26CC">
      <w:pPr>
        <w:pStyle w:val="BodyText"/>
        <w:numPr>
          <w:ilvl w:val="0"/>
          <w:numId w:val="37"/>
        </w:numPr>
        <w:jc w:val="both"/>
        <w:rPr>
          <w:lang w:val="en-US"/>
        </w:rPr>
      </w:pPr>
      <w:r w:rsidRPr="002A26CC">
        <w:rPr>
          <w:b/>
          <w:bCs/>
          <w:lang w:val="en-US"/>
        </w:rPr>
        <w:t>Which model would you prefer?</w:t>
      </w:r>
      <w:r w:rsidR="00A85B12">
        <w:rPr>
          <w:b/>
          <w:bCs/>
          <w:lang w:val="mk-MK"/>
        </w:rPr>
        <w:tab/>
      </w:r>
      <w:r w:rsidRPr="002A26CC">
        <w:rPr>
          <w:lang w:val="en-US"/>
        </w:rPr>
        <w:br/>
      </w:r>
      <w:r w:rsidRPr="002A26CC">
        <w:rPr>
          <w:rFonts w:ascii="Segoe UI Symbol" w:hAnsi="Segoe UI Symbol" w:cs="Segoe UI Symbol"/>
          <w:lang w:val="en-US"/>
        </w:rPr>
        <w:t>☐</w:t>
      </w:r>
      <w:r w:rsidRPr="002A26CC">
        <w:rPr>
          <w:lang w:val="en-US"/>
        </w:rPr>
        <w:t xml:space="preserve"> Direct share ownership</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ESOP-type structure</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Profit-sharing without ownership</w:t>
      </w:r>
      <w:r w:rsidR="00A85B12">
        <w:rPr>
          <w:lang w:val="mk-MK"/>
        </w:rPr>
        <w:tab/>
      </w:r>
      <w:r w:rsidRPr="002A26CC">
        <w:rPr>
          <w:lang w:val="en-US"/>
        </w:rPr>
        <w:br/>
      </w:r>
      <w:r w:rsidRPr="002A26CC">
        <w:rPr>
          <w:rFonts w:ascii="Segoe UI Symbol" w:hAnsi="Segoe UI Symbol" w:cs="Segoe UI Symbol"/>
          <w:lang w:val="en-US"/>
        </w:rPr>
        <w:t>☐</w:t>
      </w:r>
      <w:r w:rsidRPr="002A26CC">
        <w:rPr>
          <w:lang w:val="en-US"/>
        </w:rPr>
        <w:t xml:space="preserve"> No preference / not interested </w:t>
      </w:r>
    </w:p>
    <w:p w14:paraId="13B66312" w14:textId="6310DA52" w:rsidR="002A26CC" w:rsidRPr="002A26CC" w:rsidRDefault="002A26CC" w:rsidP="002A26CC">
      <w:pPr>
        <w:pStyle w:val="BodyText"/>
        <w:jc w:val="both"/>
        <w:rPr>
          <w:lang w:val="en-US"/>
        </w:rPr>
      </w:pPr>
    </w:p>
    <w:p w14:paraId="57035871" w14:textId="77777777" w:rsidR="002A26CC" w:rsidRPr="002A26CC" w:rsidRDefault="002A26CC" w:rsidP="00A85B12">
      <w:pPr>
        <w:pStyle w:val="BodyText"/>
        <w:jc w:val="both"/>
        <w:rPr>
          <w:b/>
          <w:bCs/>
          <w:lang w:val="en-US"/>
        </w:rPr>
      </w:pPr>
      <w:r w:rsidRPr="002A26CC">
        <w:rPr>
          <w:b/>
          <w:bCs/>
          <w:lang w:val="en-US"/>
        </w:rPr>
        <w:t>Section 6: Participation in Governance</w:t>
      </w:r>
    </w:p>
    <w:p w14:paraId="3664DC04" w14:textId="77777777" w:rsidR="002A26CC" w:rsidRPr="002A26CC" w:rsidRDefault="002A26CC" w:rsidP="002A26CC">
      <w:pPr>
        <w:pStyle w:val="BodyText"/>
        <w:jc w:val="both"/>
        <w:rPr>
          <w:lang w:val="en-US"/>
        </w:rPr>
      </w:pPr>
      <w:r w:rsidRPr="002A26CC">
        <w:rPr>
          <w:i/>
          <w:iCs/>
          <w:lang w:val="en-US"/>
        </w:rPr>
        <w:t>(Cross-reference with Company Q12–Q13)</w:t>
      </w:r>
    </w:p>
    <w:p w14:paraId="56594DAF" w14:textId="11934F82" w:rsidR="002A26CC" w:rsidRPr="002A26CC" w:rsidRDefault="002A26CC" w:rsidP="002A26CC">
      <w:pPr>
        <w:pStyle w:val="BodyText"/>
        <w:numPr>
          <w:ilvl w:val="0"/>
          <w:numId w:val="38"/>
        </w:numPr>
        <w:jc w:val="both"/>
        <w:rPr>
          <w:lang w:val="en-US"/>
        </w:rPr>
      </w:pPr>
      <w:r w:rsidRPr="002A26CC">
        <w:rPr>
          <w:b/>
          <w:bCs/>
          <w:lang w:val="en-US"/>
        </w:rPr>
        <w:t>Do you support employee representation in company governance bodies?</w:t>
      </w:r>
      <w:r w:rsidRPr="002A26CC">
        <w:rPr>
          <w:lang w:val="en-US"/>
        </w:rPr>
        <w:br/>
      </w:r>
      <w:r w:rsidRPr="002A26CC">
        <w:rPr>
          <w:rFonts w:ascii="Segoe UI Symbol" w:hAnsi="Segoe UI Symbol" w:cs="Segoe UI Symbol"/>
          <w:lang w:val="en-US"/>
        </w:rPr>
        <w:t>☐</w:t>
      </w:r>
      <w:r w:rsidRPr="002A26CC">
        <w:rPr>
          <w:lang w:val="en-US"/>
        </w:rPr>
        <w:t xml:space="preserve"> Yes</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Maybe</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No </w:t>
      </w:r>
    </w:p>
    <w:p w14:paraId="3B06104F" w14:textId="5D6A4287" w:rsidR="002A26CC" w:rsidRPr="002A26CC" w:rsidRDefault="002A26CC" w:rsidP="002A26CC">
      <w:pPr>
        <w:pStyle w:val="BodyText"/>
        <w:numPr>
          <w:ilvl w:val="0"/>
          <w:numId w:val="38"/>
        </w:numPr>
        <w:jc w:val="both"/>
        <w:rPr>
          <w:lang w:val="en-US"/>
        </w:rPr>
      </w:pPr>
      <w:r w:rsidRPr="002A26CC">
        <w:rPr>
          <w:b/>
          <w:bCs/>
          <w:lang w:val="en-US"/>
        </w:rPr>
        <w:t>At what level should employees be represented?</w:t>
      </w:r>
      <w:r w:rsidR="0009128B">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Advisory role only</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One representative in board</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Worker council linked to management</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Full co-determination (shared governance) </w:t>
      </w:r>
    </w:p>
    <w:p w14:paraId="72AC8974" w14:textId="300CE9FE" w:rsidR="002A26CC" w:rsidRPr="002A26CC" w:rsidRDefault="002A26CC" w:rsidP="002A26CC">
      <w:pPr>
        <w:pStyle w:val="BodyText"/>
        <w:numPr>
          <w:ilvl w:val="0"/>
          <w:numId w:val="38"/>
        </w:numPr>
        <w:jc w:val="both"/>
        <w:rPr>
          <w:lang w:val="en-US"/>
        </w:rPr>
      </w:pPr>
      <w:r w:rsidRPr="002A26CC">
        <w:rPr>
          <w:b/>
          <w:bCs/>
          <w:lang w:val="en-US"/>
        </w:rPr>
        <w:t>How much influence should employee representatives have?</w:t>
      </w:r>
      <w:r w:rsidR="0009128B">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Informational only</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Consultative</w:t>
      </w:r>
      <w:r w:rsidR="0009128B">
        <w:rPr>
          <w:lang w:val="en-US"/>
        </w:rPr>
        <w:tab/>
      </w:r>
      <w:r w:rsidRPr="002A26CC">
        <w:rPr>
          <w:lang w:val="en-US"/>
        </w:rPr>
        <w:br/>
      </w:r>
      <w:r w:rsidRPr="002A26CC">
        <w:rPr>
          <w:rFonts w:ascii="Segoe UI Symbol" w:hAnsi="Segoe UI Symbol" w:cs="Segoe UI Symbol"/>
          <w:lang w:val="en-US"/>
        </w:rPr>
        <w:t>☐</w:t>
      </w:r>
      <w:r w:rsidRPr="002A26CC">
        <w:rPr>
          <w:lang w:val="en-US"/>
        </w:rPr>
        <w:t xml:space="preserve"> Decision-making power </w:t>
      </w:r>
    </w:p>
    <w:p w14:paraId="6022106A" w14:textId="7A798FB5" w:rsidR="002A26CC" w:rsidRPr="002A26CC" w:rsidRDefault="002A26CC" w:rsidP="002A26CC">
      <w:pPr>
        <w:pStyle w:val="BodyText"/>
        <w:jc w:val="both"/>
        <w:rPr>
          <w:lang w:val="en-US"/>
        </w:rPr>
      </w:pPr>
    </w:p>
    <w:p w14:paraId="15DC944B" w14:textId="77777777" w:rsidR="002A26CC" w:rsidRPr="002A26CC" w:rsidRDefault="002A26CC" w:rsidP="0009128B">
      <w:pPr>
        <w:pStyle w:val="BodyText"/>
        <w:jc w:val="both"/>
        <w:rPr>
          <w:b/>
          <w:bCs/>
          <w:lang w:val="en-US"/>
        </w:rPr>
      </w:pPr>
      <w:r w:rsidRPr="002A26CC">
        <w:rPr>
          <w:b/>
          <w:bCs/>
          <w:lang w:val="en-US"/>
        </w:rPr>
        <w:t>Section 7: Trust, Feasibility and Institutional Context</w:t>
      </w:r>
    </w:p>
    <w:p w14:paraId="4A31B64C" w14:textId="77777777" w:rsidR="002A26CC" w:rsidRPr="002A26CC" w:rsidRDefault="002A26CC" w:rsidP="002A26CC">
      <w:pPr>
        <w:pStyle w:val="BodyText"/>
        <w:jc w:val="both"/>
        <w:rPr>
          <w:lang w:val="en-US"/>
        </w:rPr>
      </w:pPr>
      <w:r w:rsidRPr="002A26CC">
        <w:rPr>
          <w:i/>
          <w:iCs/>
          <w:lang w:val="en-US"/>
        </w:rPr>
        <w:t>(Cross-reference with Company Q14–Q15 and Q18)</w:t>
      </w:r>
    </w:p>
    <w:p w14:paraId="702B4C29" w14:textId="2B167D49" w:rsidR="002A26CC" w:rsidRPr="002A26CC" w:rsidRDefault="002A26CC" w:rsidP="002A26CC">
      <w:pPr>
        <w:pStyle w:val="BodyText"/>
        <w:numPr>
          <w:ilvl w:val="0"/>
          <w:numId w:val="39"/>
        </w:numPr>
        <w:jc w:val="both"/>
        <w:rPr>
          <w:lang w:val="en-US"/>
        </w:rPr>
      </w:pPr>
      <w:r w:rsidRPr="002A26CC">
        <w:rPr>
          <w:b/>
          <w:bCs/>
          <w:lang w:val="en-US"/>
        </w:rPr>
        <w:t>Do you trust that your company would implement such models fairly?</w:t>
      </w:r>
      <w:r w:rsidRPr="002A26CC">
        <w:rPr>
          <w:lang w:val="en-US"/>
        </w:rPr>
        <w:br/>
      </w:r>
      <w:r w:rsidRPr="002A26CC">
        <w:rPr>
          <w:rFonts w:ascii="Segoe UI Symbol" w:hAnsi="Segoe UI Symbol" w:cs="Segoe UI Symbol"/>
          <w:lang w:val="en-US"/>
        </w:rPr>
        <w:t>☐</w:t>
      </w:r>
      <w:r w:rsidRPr="002A26CC">
        <w:rPr>
          <w:lang w:val="en-US"/>
        </w:rPr>
        <w:t xml:space="preserve"> Not at all</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Slightly</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Moderately</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Strongly </w:t>
      </w:r>
    </w:p>
    <w:p w14:paraId="4815B6D5" w14:textId="31DC14F5" w:rsidR="002A26CC" w:rsidRPr="002A26CC" w:rsidRDefault="002A26CC" w:rsidP="002A26CC">
      <w:pPr>
        <w:pStyle w:val="BodyText"/>
        <w:numPr>
          <w:ilvl w:val="0"/>
          <w:numId w:val="39"/>
        </w:numPr>
        <w:jc w:val="both"/>
        <w:rPr>
          <w:lang w:val="en-US"/>
        </w:rPr>
      </w:pPr>
      <w:r w:rsidRPr="002A26CC">
        <w:rPr>
          <w:b/>
          <w:bCs/>
          <w:lang w:val="en-US"/>
        </w:rPr>
        <w:t>What are the main barriers from an employee perspective?</w:t>
      </w:r>
      <w:r w:rsidR="00364A59">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Lack of information</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Lack of trust in management</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Fear of retaliation or risk</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Low interest among employees</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Legal uncertainty</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Other: _______ </w:t>
      </w:r>
    </w:p>
    <w:p w14:paraId="0413DFA0" w14:textId="233D4031" w:rsidR="002A26CC" w:rsidRPr="002A26CC" w:rsidRDefault="002A26CC" w:rsidP="002A26CC">
      <w:pPr>
        <w:pStyle w:val="BodyText"/>
        <w:numPr>
          <w:ilvl w:val="0"/>
          <w:numId w:val="39"/>
        </w:numPr>
        <w:jc w:val="both"/>
        <w:rPr>
          <w:lang w:val="en-US"/>
        </w:rPr>
      </w:pPr>
      <w:r w:rsidRPr="002A26CC">
        <w:rPr>
          <w:b/>
          <w:bCs/>
          <w:lang w:val="en-US"/>
        </w:rPr>
        <w:t>How adequate do you think the legal framework in North Macedonia is for protecting employee rights in such models?</w:t>
      </w:r>
      <w:r w:rsidR="00364A59">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Completely inadequate</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Somewhat inadequate</w:t>
      </w:r>
      <w:r w:rsidR="00364A59">
        <w:rPr>
          <w:lang w:val="en-US"/>
        </w:rPr>
        <w:tab/>
      </w:r>
      <w:r w:rsidRPr="002A26CC">
        <w:rPr>
          <w:lang w:val="en-US"/>
        </w:rPr>
        <w:br/>
      </w:r>
      <w:r w:rsidRPr="002A26CC">
        <w:rPr>
          <w:rFonts w:ascii="Segoe UI Symbol" w:hAnsi="Segoe UI Symbol" w:cs="Segoe UI Symbol"/>
          <w:lang w:val="en-US"/>
        </w:rPr>
        <w:lastRenderedPageBreak/>
        <w:t>☐</w:t>
      </w:r>
      <w:r w:rsidRPr="002A26CC">
        <w:rPr>
          <w:lang w:val="en-US"/>
        </w:rPr>
        <w:t xml:space="preserve"> Neutral</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Adequate </w:t>
      </w:r>
    </w:p>
    <w:p w14:paraId="0976B33A" w14:textId="7FD44C8C" w:rsidR="002A26CC" w:rsidRPr="002A26CC" w:rsidRDefault="002A26CC" w:rsidP="002A26CC">
      <w:pPr>
        <w:pStyle w:val="BodyText"/>
        <w:jc w:val="both"/>
        <w:rPr>
          <w:lang w:val="en-US"/>
        </w:rPr>
      </w:pPr>
    </w:p>
    <w:p w14:paraId="29C67118" w14:textId="77777777" w:rsidR="002A26CC" w:rsidRPr="002A26CC" w:rsidRDefault="002A26CC" w:rsidP="00364A59">
      <w:pPr>
        <w:pStyle w:val="BodyText"/>
        <w:jc w:val="both"/>
        <w:rPr>
          <w:b/>
          <w:bCs/>
          <w:lang w:val="en-US"/>
        </w:rPr>
      </w:pPr>
      <w:r w:rsidRPr="002A26CC">
        <w:rPr>
          <w:b/>
          <w:bCs/>
          <w:lang w:val="en-US"/>
        </w:rPr>
        <w:t>Section 8: EU Influence and Reform Dynamics</w:t>
      </w:r>
    </w:p>
    <w:p w14:paraId="3CED61F6" w14:textId="77777777" w:rsidR="002A26CC" w:rsidRPr="002A26CC" w:rsidRDefault="002A26CC" w:rsidP="002A26CC">
      <w:pPr>
        <w:pStyle w:val="BodyText"/>
        <w:jc w:val="both"/>
        <w:rPr>
          <w:lang w:val="en-US"/>
        </w:rPr>
      </w:pPr>
      <w:r w:rsidRPr="002A26CC">
        <w:rPr>
          <w:i/>
          <w:iCs/>
          <w:lang w:val="en-US"/>
        </w:rPr>
        <w:t>(Cross-reference with Company Q16–Q17)</w:t>
      </w:r>
    </w:p>
    <w:p w14:paraId="79D3F5B4" w14:textId="7A440BD3" w:rsidR="002A26CC" w:rsidRPr="002A26CC" w:rsidRDefault="002A26CC" w:rsidP="002A26CC">
      <w:pPr>
        <w:pStyle w:val="BodyText"/>
        <w:numPr>
          <w:ilvl w:val="0"/>
          <w:numId w:val="40"/>
        </w:numPr>
        <w:jc w:val="both"/>
        <w:rPr>
          <w:lang w:val="en-US"/>
        </w:rPr>
      </w:pPr>
      <w:r w:rsidRPr="002A26CC">
        <w:rPr>
          <w:b/>
          <w:bCs/>
          <w:lang w:val="en-US"/>
        </w:rPr>
        <w:t>Do you think alignment with the European Union supports stronger employee participation rights?</w:t>
      </w:r>
      <w:r w:rsidR="00364A59">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Not at all</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Slightly</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Moderately</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Strongly </w:t>
      </w:r>
    </w:p>
    <w:p w14:paraId="5385E457" w14:textId="208601D5" w:rsidR="002A26CC" w:rsidRPr="002A26CC" w:rsidRDefault="002A26CC" w:rsidP="002A26CC">
      <w:pPr>
        <w:pStyle w:val="BodyText"/>
        <w:numPr>
          <w:ilvl w:val="0"/>
          <w:numId w:val="40"/>
        </w:numPr>
        <w:jc w:val="both"/>
        <w:rPr>
          <w:lang w:val="en-US"/>
        </w:rPr>
      </w:pPr>
      <w:r w:rsidRPr="002A26CC">
        <w:rPr>
          <w:b/>
          <w:bCs/>
          <w:lang w:val="en-US"/>
        </w:rPr>
        <w:t>Would EU-driven reforms increase your support for such models?</w:t>
      </w:r>
      <w:r w:rsidR="00364A59">
        <w:rPr>
          <w:b/>
          <w:bCs/>
          <w:lang w:val="en-US"/>
        </w:rPr>
        <w:tab/>
      </w:r>
      <w:r w:rsidRPr="002A26CC">
        <w:rPr>
          <w:lang w:val="en-US"/>
        </w:rPr>
        <w:br/>
      </w:r>
      <w:r w:rsidRPr="002A26CC">
        <w:rPr>
          <w:rFonts w:ascii="Segoe UI Symbol" w:hAnsi="Segoe UI Symbol" w:cs="Segoe UI Symbol"/>
          <w:lang w:val="en-US"/>
        </w:rPr>
        <w:t>☐</w:t>
      </w:r>
      <w:r w:rsidRPr="002A26CC">
        <w:rPr>
          <w:lang w:val="en-US"/>
        </w:rPr>
        <w:t xml:space="preserve"> Yes</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Maybe</w:t>
      </w:r>
      <w:r w:rsidR="00364A59">
        <w:rPr>
          <w:lang w:val="en-US"/>
        </w:rPr>
        <w:tab/>
      </w:r>
      <w:r w:rsidRPr="002A26CC">
        <w:rPr>
          <w:lang w:val="en-US"/>
        </w:rPr>
        <w:br/>
      </w:r>
      <w:r w:rsidRPr="002A26CC">
        <w:rPr>
          <w:rFonts w:ascii="Segoe UI Symbol" w:hAnsi="Segoe UI Symbol" w:cs="Segoe UI Symbol"/>
          <w:lang w:val="en-US"/>
        </w:rPr>
        <w:t>☐</w:t>
      </w:r>
      <w:r w:rsidRPr="002A26CC">
        <w:rPr>
          <w:lang w:val="en-US"/>
        </w:rPr>
        <w:t xml:space="preserve"> No </w:t>
      </w:r>
    </w:p>
    <w:p w14:paraId="5295B173" w14:textId="500106CB" w:rsidR="002A26CC" w:rsidRPr="002A26CC" w:rsidRDefault="002A26CC" w:rsidP="002A26CC">
      <w:pPr>
        <w:pStyle w:val="BodyText"/>
        <w:jc w:val="both"/>
        <w:rPr>
          <w:lang w:val="en-US"/>
        </w:rPr>
      </w:pPr>
    </w:p>
    <w:p w14:paraId="53C56C6E" w14:textId="77777777" w:rsidR="002A26CC" w:rsidRPr="002A26CC" w:rsidRDefault="002A26CC" w:rsidP="00364A59">
      <w:pPr>
        <w:pStyle w:val="BodyText"/>
        <w:jc w:val="both"/>
        <w:rPr>
          <w:b/>
          <w:bCs/>
          <w:lang w:val="en-US"/>
        </w:rPr>
      </w:pPr>
      <w:r w:rsidRPr="002A26CC">
        <w:rPr>
          <w:b/>
          <w:bCs/>
          <w:lang w:val="en-US"/>
        </w:rPr>
        <w:t>Section 9: Open Questions (Qualitative)</w:t>
      </w:r>
    </w:p>
    <w:p w14:paraId="57DDA821" w14:textId="77777777" w:rsidR="002A26CC" w:rsidRPr="002A26CC" w:rsidRDefault="002A26CC" w:rsidP="002A26CC">
      <w:pPr>
        <w:pStyle w:val="BodyText"/>
        <w:numPr>
          <w:ilvl w:val="0"/>
          <w:numId w:val="41"/>
        </w:numPr>
        <w:jc w:val="both"/>
        <w:rPr>
          <w:lang w:val="en-US"/>
        </w:rPr>
      </w:pPr>
      <w:r w:rsidRPr="002A26CC">
        <w:rPr>
          <w:b/>
          <w:bCs/>
          <w:lang w:val="en-US"/>
        </w:rPr>
        <w:t>In your opinion, what would be the most realistic and fair model of employee participation in North Macedonia?</w:t>
      </w:r>
      <w:r w:rsidRPr="002A26CC">
        <w:rPr>
          <w:lang w:val="en-US"/>
        </w:rPr>
        <w:t xml:space="preserve"> </w:t>
      </w:r>
    </w:p>
    <w:p w14:paraId="6D87D09A" w14:textId="77777777" w:rsidR="002A26CC" w:rsidRPr="002A26CC" w:rsidRDefault="002A26CC" w:rsidP="002A26CC">
      <w:pPr>
        <w:pStyle w:val="BodyText"/>
        <w:numPr>
          <w:ilvl w:val="0"/>
          <w:numId w:val="41"/>
        </w:numPr>
        <w:jc w:val="both"/>
        <w:rPr>
          <w:lang w:val="en-US"/>
        </w:rPr>
      </w:pPr>
      <w:r w:rsidRPr="002A26CC">
        <w:rPr>
          <w:b/>
          <w:bCs/>
          <w:lang w:val="en-US"/>
        </w:rPr>
        <w:t>What would need to change in your company for you to support such reforms?</w:t>
      </w:r>
      <w:r w:rsidRPr="002A26CC">
        <w:rPr>
          <w:lang w:val="en-US"/>
        </w:rPr>
        <w:t xml:space="preserve"> </w:t>
      </w:r>
    </w:p>
    <w:p w14:paraId="0E5AA340" w14:textId="77777777" w:rsidR="002A26CC" w:rsidRPr="002A26CC" w:rsidRDefault="002A26CC" w:rsidP="002A26CC">
      <w:pPr>
        <w:pStyle w:val="BodyText"/>
        <w:numPr>
          <w:ilvl w:val="0"/>
          <w:numId w:val="41"/>
        </w:numPr>
        <w:jc w:val="both"/>
        <w:rPr>
          <w:lang w:val="en-US"/>
        </w:rPr>
      </w:pPr>
      <w:r w:rsidRPr="002A26CC">
        <w:rPr>
          <w:b/>
          <w:bCs/>
          <w:lang w:val="en-US"/>
        </w:rPr>
        <w:t>Do you believe such models would improve your position as an employee? Why or why not?</w:t>
      </w:r>
      <w:r w:rsidRPr="002A26CC">
        <w:rPr>
          <w:lang w:val="en-US"/>
        </w:rPr>
        <w:t xml:space="preserve"> </w:t>
      </w:r>
    </w:p>
    <w:p w14:paraId="683579DD" w14:textId="77777777" w:rsidR="001374EA" w:rsidRDefault="001374EA" w:rsidP="002A26CC">
      <w:pPr>
        <w:pStyle w:val="BodyText"/>
        <w:jc w:val="both"/>
        <w:rPr>
          <w:lang w:val="mk-MK"/>
        </w:rPr>
      </w:pPr>
    </w:p>
    <w:p w14:paraId="5BF56F3F" w14:textId="77777777" w:rsidR="007E0A95" w:rsidRDefault="007E0A95" w:rsidP="002A26CC">
      <w:pPr>
        <w:pStyle w:val="BodyText"/>
        <w:jc w:val="both"/>
        <w:rPr>
          <w:lang w:val="mk-MK"/>
        </w:rPr>
      </w:pPr>
    </w:p>
    <w:p w14:paraId="7BB639C7" w14:textId="77777777" w:rsidR="007E0A95" w:rsidRDefault="007E0A95" w:rsidP="002A26CC">
      <w:pPr>
        <w:pStyle w:val="BodyText"/>
        <w:jc w:val="both"/>
        <w:rPr>
          <w:lang w:val="mk-MK"/>
        </w:rPr>
      </w:pPr>
    </w:p>
    <w:p w14:paraId="062A2314" w14:textId="77777777" w:rsidR="007E0A95" w:rsidRDefault="007E0A95" w:rsidP="002A26CC">
      <w:pPr>
        <w:pStyle w:val="BodyText"/>
        <w:jc w:val="both"/>
        <w:rPr>
          <w:lang w:val="mk-MK"/>
        </w:rPr>
      </w:pPr>
    </w:p>
    <w:p w14:paraId="5249E5CF" w14:textId="77777777" w:rsidR="007E0A95" w:rsidRDefault="007E0A95" w:rsidP="002A26CC">
      <w:pPr>
        <w:pStyle w:val="BodyText"/>
        <w:jc w:val="both"/>
        <w:rPr>
          <w:lang w:val="mk-MK"/>
        </w:rPr>
      </w:pPr>
    </w:p>
    <w:p w14:paraId="043C29A4" w14:textId="77777777" w:rsidR="007E0A95" w:rsidRDefault="007E0A95" w:rsidP="002A26CC">
      <w:pPr>
        <w:pStyle w:val="BodyText"/>
        <w:jc w:val="both"/>
        <w:rPr>
          <w:lang w:val="mk-MK"/>
        </w:rPr>
      </w:pPr>
    </w:p>
    <w:p w14:paraId="568D90C5" w14:textId="77777777" w:rsidR="007E0A95" w:rsidRDefault="007E0A95" w:rsidP="002A26CC">
      <w:pPr>
        <w:pStyle w:val="BodyText"/>
        <w:jc w:val="both"/>
        <w:rPr>
          <w:lang w:val="mk-MK"/>
        </w:rPr>
      </w:pPr>
    </w:p>
    <w:p w14:paraId="303E4A58" w14:textId="77777777" w:rsidR="007E0A95" w:rsidRDefault="007E0A95" w:rsidP="002A26CC">
      <w:pPr>
        <w:pStyle w:val="BodyText"/>
        <w:jc w:val="both"/>
        <w:rPr>
          <w:lang w:val="mk-MK"/>
        </w:rPr>
      </w:pPr>
    </w:p>
    <w:p w14:paraId="64A9740F" w14:textId="77777777" w:rsidR="007E0A95" w:rsidRDefault="007E0A95" w:rsidP="002A26CC">
      <w:pPr>
        <w:pStyle w:val="BodyText"/>
        <w:jc w:val="both"/>
        <w:rPr>
          <w:lang w:val="mk-MK"/>
        </w:rPr>
      </w:pPr>
    </w:p>
    <w:p w14:paraId="5FC2F17B" w14:textId="77777777" w:rsidR="007E0A95" w:rsidRDefault="007E0A95" w:rsidP="002A26CC">
      <w:pPr>
        <w:pStyle w:val="BodyText"/>
        <w:jc w:val="both"/>
        <w:rPr>
          <w:lang w:val="mk-MK"/>
        </w:rPr>
      </w:pPr>
    </w:p>
    <w:p w14:paraId="0729F056" w14:textId="77777777" w:rsidR="007E0A95" w:rsidRDefault="007E0A95" w:rsidP="002A26CC">
      <w:pPr>
        <w:pStyle w:val="BodyText"/>
        <w:jc w:val="both"/>
        <w:rPr>
          <w:lang w:val="mk-MK"/>
        </w:rPr>
      </w:pPr>
    </w:p>
    <w:p w14:paraId="6511DB4F" w14:textId="77777777" w:rsidR="007E0A95" w:rsidRDefault="007E0A95" w:rsidP="002A26CC">
      <w:pPr>
        <w:pStyle w:val="BodyText"/>
        <w:jc w:val="both"/>
        <w:rPr>
          <w:lang w:val="mk-MK"/>
        </w:rPr>
      </w:pPr>
    </w:p>
    <w:p w14:paraId="0DA24F27" w14:textId="77777777" w:rsidR="007E0A95" w:rsidRDefault="007E0A95" w:rsidP="002A26CC">
      <w:pPr>
        <w:pStyle w:val="BodyText"/>
        <w:jc w:val="both"/>
        <w:rPr>
          <w:lang w:val="mk-MK"/>
        </w:rPr>
      </w:pPr>
    </w:p>
    <w:p w14:paraId="2958A7DC" w14:textId="77777777" w:rsidR="007E0A95" w:rsidRDefault="007E0A95" w:rsidP="002A26CC">
      <w:pPr>
        <w:pStyle w:val="BodyText"/>
        <w:jc w:val="both"/>
        <w:rPr>
          <w:lang w:val="mk-MK"/>
        </w:rPr>
      </w:pPr>
    </w:p>
    <w:p w14:paraId="47A779F2" w14:textId="77777777" w:rsidR="007E0A95" w:rsidRDefault="007E0A95" w:rsidP="002A26CC">
      <w:pPr>
        <w:pStyle w:val="BodyText"/>
        <w:jc w:val="both"/>
        <w:rPr>
          <w:lang w:val="mk-MK"/>
        </w:rPr>
      </w:pPr>
    </w:p>
    <w:p w14:paraId="768F2BD9" w14:textId="77777777" w:rsidR="007E0A95" w:rsidRDefault="007E0A95" w:rsidP="002A26CC">
      <w:pPr>
        <w:pStyle w:val="BodyText"/>
        <w:jc w:val="both"/>
        <w:rPr>
          <w:lang w:val="mk-MK"/>
        </w:rPr>
      </w:pPr>
    </w:p>
    <w:p w14:paraId="1946CCFC" w14:textId="77777777" w:rsidR="007E0A95" w:rsidRDefault="007E0A95" w:rsidP="002A26CC">
      <w:pPr>
        <w:pStyle w:val="BodyText"/>
        <w:jc w:val="both"/>
        <w:rPr>
          <w:lang w:val="mk-MK"/>
        </w:rPr>
      </w:pPr>
    </w:p>
    <w:p w14:paraId="4FB16BA3" w14:textId="77777777" w:rsidR="007E0A95" w:rsidRDefault="007E0A95" w:rsidP="002A26CC">
      <w:pPr>
        <w:pStyle w:val="BodyText"/>
        <w:jc w:val="both"/>
        <w:rPr>
          <w:lang w:val="mk-MK"/>
        </w:rPr>
      </w:pPr>
    </w:p>
    <w:p w14:paraId="6604DB03" w14:textId="77777777" w:rsidR="007E0A95" w:rsidRDefault="007E0A95" w:rsidP="002A26CC">
      <w:pPr>
        <w:pStyle w:val="BodyText"/>
        <w:jc w:val="both"/>
        <w:rPr>
          <w:lang w:val="mk-MK"/>
        </w:rPr>
      </w:pPr>
    </w:p>
    <w:p w14:paraId="7E69F882" w14:textId="77777777" w:rsidR="007E0A95" w:rsidRDefault="007E0A95" w:rsidP="002A26CC">
      <w:pPr>
        <w:pStyle w:val="BodyText"/>
        <w:jc w:val="both"/>
        <w:rPr>
          <w:lang w:val="mk-MK"/>
        </w:rPr>
      </w:pPr>
    </w:p>
    <w:p w14:paraId="4AB49486" w14:textId="77777777" w:rsidR="007E0A95" w:rsidRDefault="007E0A95" w:rsidP="002A26CC">
      <w:pPr>
        <w:pStyle w:val="BodyText"/>
        <w:jc w:val="both"/>
        <w:rPr>
          <w:lang w:val="mk-MK"/>
        </w:rPr>
      </w:pPr>
    </w:p>
    <w:p w14:paraId="3C2464C2" w14:textId="77777777" w:rsidR="007E0A95" w:rsidRDefault="007E0A95" w:rsidP="002A26CC">
      <w:pPr>
        <w:pStyle w:val="BodyText"/>
        <w:jc w:val="both"/>
        <w:rPr>
          <w:lang w:val="mk-MK"/>
        </w:rPr>
      </w:pPr>
    </w:p>
    <w:p w14:paraId="660CC639" w14:textId="77777777" w:rsidR="007E0A95" w:rsidRDefault="007E0A95" w:rsidP="002A26CC">
      <w:pPr>
        <w:pStyle w:val="BodyText"/>
        <w:jc w:val="both"/>
        <w:rPr>
          <w:lang w:val="mk-MK"/>
        </w:rPr>
      </w:pPr>
    </w:p>
    <w:p w14:paraId="6A9ACC7F" w14:textId="77777777" w:rsidR="007E0A95" w:rsidRDefault="007E0A95" w:rsidP="002A26CC">
      <w:pPr>
        <w:pStyle w:val="BodyText"/>
        <w:jc w:val="both"/>
        <w:rPr>
          <w:lang w:val="mk-MK"/>
        </w:rPr>
      </w:pPr>
    </w:p>
    <w:p w14:paraId="67830A3B" w14:textId="77777777" w:rsidR="007E0A95" w:rsidRPr="002A26CC" w:rsidRDefault="007E0A95" w:rsidP="002A26CC">
      <w:pPr>
        <w:pStyle w:val="BodyText"/>
        <w:jc w:val="both"/>
        <w:rPr>
          <w:lang w:val="mk-MK"/>
        </w:rPr>
      </w:pPr>
    </w:p>
    <w:p w14:paraId="2A210373" w14:textId="746F0A8C" w:rsidR="00707F7B" w:rsidRPr="007E0A95" w:rsidRDefault="007E0A95" w:rsidP="009A25CB">
      <w:pPr>
        <w:pStyle w:val="BodyText"/>
        <w:spacing w:before="240" w:line="360" w:lineRule="auto"/>
        <w:jc w:val="both"/>
        <w:rPr>
          <w:rFonts w:eastAsia="Arial Unicode MS"/>
          <w:color w:val="000000"/>
          <w:u w:val="single"/>
          <w:bdr w:val="nil"/>
          <w:lang w:val="mk-MK"/>
        </w:rPr>
      </w:pPr>
      <w:r w:rsidRPr="007E0A95">
        <w:rPr>
          <w:rFonts w:eastAsia="Arial Unicode MS"/>
          <w:color w:val="000000"/>
          <w:u w:val="single"/>
          <w:bdr w:val="nil"/>
          <w:lang w:val="mk-MK"/>
        </w:rPr>
        <w:lastRenderedPageBreak/>
        <w:t>Македонска верзија</w:t>
      </w:r>
    </w:p>
    <w:p w14:paraId="1C0D6E54" w14:textId="38838F0E" w:rsidR="00EE7556" w:rsidRPr="00EE7556" w:rsidRDefault="00EE7556" w:rsidP="00A9288B">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1: Профил на вработениот</w:t>
      </w:r>
    </w:p>
    <w:p w14:paraId="4A4E411D" w14:textId="07F967BD" w:rsidR="00EE7556" w:rsidRPr="00EE7556" w:rsidRDefault="00EE7556" w:rsidP="00EE7556">
      <w:pPr>
        <w:pStyle w:val="BodyText"/>
        <w:numPr>
          <w:ilvl w:val="0"/>
          <w:numId w:val="42"/>
        </w:numPr>
        <w:spacing w:line="360" w:lineRule="auto"/>
        <w:jc w:val="both"/>
        <w:rPr>
          <w:rFonts w:eastAsia="Arial Unicode MS"/>
          <w:color w:val="000000"/>
          <w:bdr w:val="nil"/>
          <w:lang w:val="en-US"/>
        </w:rPr>
      </w:pPr>
      <w:r w:rsidRPr="00EE7556">
        <w:rPr>
          <w:rFonts w:eastAsia="Arial Unicode MS"/>
          <w:b/>
          <w:bCs/>
          <w:color w:val="000000"/>
          <w:bdr w:val="nil"/>
          <w:lang w:val="en-US"/>
        </w:rPr>
        <w:t>Позиција во компанијата</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Нераководна позиција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Среден менаџмент</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Висок менаџмент </w:t>
      </w:r>
    </w:p>
    <w:p w14:paraId="3724E302" w14:textId="73AF82D0" w:rsidR="00EE7556" w:rsidRPr="00EE7556" w:rsidRDefault="00EE7556" w:rsidP="00EE7556">
      <w:pPr>
        <w:pStyle w:val="BodyText"/>
        <w:numPr>
          <w:ilvl w:val="0"/>
          <w:numId w:val="42"/>
        </w:numPr>
        <w:spacing w:line="360" w:lineRule="auto"/>
        <w:jc w:val="both"/>
        <w:rPr>
          <w:rFonts w:eastAsia="Arial Unicode MS"/>
          <w:color w:val="000000"/>
          <w:bdr w:val="nil"/>
          <w:lang w:val="en-US"/>
        </w:rPr>
      </w:pPr>
      <w:r w:rsidRPr="00EE7556">
        <w:rPr>
          <w:rFonts w:eastAsia="Arial Unicode MS"/>
          <w:b/>
          <w:bCs/>
          <w:color w:val="000000"/>
          <w:bdr w:val="nil"/>
          <w:lang w:val="en-US"/>
        </w:rPr>
        <w:t>Времетраење на вработување во компанијата</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Помалку од 1 година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1–3 години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3–5 години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Повеќе од 5 години </w:t>
      </w:r>
    </w:p>
    <w:p w14:paraId="1D2585AA" w14:textId="25C6446B" w:rsidR="00EE7556" w:rsidRPr="00EE7556" w:rsidRDefault="00EE7556" w:rsidP="00EE7556">
      <w:pPr>
        <w:pStyle w:val="BodyText"/>
        <w:numPr>
          <w:ilvl w:val="0"/>
          <w:numId w:val="42"/>
        </w:numPr>
        <w:spacing w:line="360" w:lineRule="auto"/>
        <w:jc w:val="both"/>
        <w:rPr>
          <w:rFonts w:eastAsia="Arial Unicode MS"/>
          <w:color w:val="000000"/>
          <w:bdr w:val="nil"/>
          <w:lang w:val="en-US"/>
        </w:rPr>
      </w:pPr>
      <w:r w:rsidRPr="00EE7556">
        <w:rPr>
          <w:rFonts w:eastAsia="Arial Unicode MS"/>
          <w:b/>
          <w:bCs/>
          <w:color w:val="000000"/>
          <w:bdr w:val="nil"/>
          <w:lang w:val="en-US"/>
        </w:rPr>
        <w:t>Сектор на компанијата</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Производство</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Услуги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Финансии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ИКТ / стартапи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 </w:t>
      </w:r>
    </w:p>
    <w:p w14:paraId="43859E9A" w14:textId="56FA71B4" w:rsidR="00EE7556" w:rsidRPr="00EE7556" w:rsidRDefault="00EE7556" w:rsidP="00EE7556">
      <w:pPr>
        <w:pStyle w:val="BodyText"/>
        <w:numPr>
          <w:ilvl w:val="0"/>
          <w:numId w:val="42"/>
        </w:numPr>
        <w:spacing w:line="360" w:lineRule="auto"/>
        <w:jc w:val="both"/>
        <w:rPr>
          <w:rFonts w:eastAsia="Arial Unicode MS"/>
          <w:color w:val="000000"/>
          <w:bdr w:val="nil"/>
          <w:lang w:val="en-US"/>
        </w:rPr>
      </w:pPr>
      <w:r w:rsidRPr="00EE7556">
        <w:rPr>
          <w:rFonts w:eastAsia="Arial Unicode MS"/>
          <w:b/>
          <w:bCs/>
          <w:color w:val="000000"/>
          <w:bdr w:val="nil"/>
          <w:lang w:val="en-US"/>
        </w:rPr>
        <w:t>Големина на компанијата (доколку е позната)</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Микро (1–9 вработени)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Мала (10–49)</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Средна (50–249)</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Голема (250+)</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 сум сигурен/а </w:t>
      </w:r>
    </w:p>
    <w:p w14:paraId="78225D99" w14:textId="60E8EA1E" w:rsidR="00EE7556" w:rsidRPr="00EE7556" w:rsidRDefault="00EE7556" w:rsidP="00EE7556">
      <w:pPr>
        <w:pStyle w:val="BodyText"/>
        <w:spacing w:line="360" w:lineRule="auto"/>
        <w:jc w:val="both"/>
        <w:rPr>
          <w:rFonts w:eastAsia="Arial Unicode MS"/>
          <w:color w:val="000000"/>
          <w:bdr w:val="nil"/>
          <w:lang w:val="en-US"/>
        </w:rPr>
      </w:pPr>
    </w:p>
    <w:p w14:paraId="596DA6C0" w14:textId="77777777" w:rsidR="00EE7556" w:rsidRPr="00EE7556" w:rsidRDefault="00EE7556" w:rsidP="00A9288B">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2: Свесност и искуство</w:t>
      </w:r>
    </w:p>
    <w:p w14:paraId="5EA2EA71" w14:textId="71E20F84" w:rsidR="00EE7556" w:rsidRPr="00EE7556" w:rsidRDefault="00EE7556" w:rsidP="00EE7556">
      <w:pPr>
        <w:pStyle w:val="BodyText"/>
        <w:numPr>
          <w:ilvl w:val="0"/>
          <w:numId w:val="43"/>
        </w:numPr>
        <w:spacing w:line="360" w:lineRule="auto"/>
        <w:jc w:val="both"/>
        <w:rPr>
          <w:rFonts w:eastAsia="Arial Unicode MS"/>
          <w:color w:val="000000"/>
          <w:bdr w:val="nil"/>
          <w:lang w:val="en-US"/>
        </w:rPr>
      </w:pPr>
      <w:r w:rsidRPr="00EE7556">
        <w:rPr>
          <w:rFonts w:eastAsia="Arial Unicode MS"/>
          <w:b/>
          <w:bCs/>
          <w:color w:val="000000"/>
          <w:bdr w:val="nil"/>
          <w:lang w:val="en-US"/>
        </w:rPr>
        <w:t>Колку сте запознаени со моделите на учество на вработените (на пример, сопственост на акции од страна на вработените, застапеност на ниво на одбор)?</w:t>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Воопшто не сум запознаен/а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Малку сум запознаен/а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lastRenderedPageBreak/>
        <w:t>☐</w:t>
      </w:r>
      <w:r w:rsidRPr="00EE7556">
        <w:rPr>
          <w:rFonts w:eastAsia="Arial Unicode MS"/>
          <w:color w:val="000000"/>
          <w:bdr w:val="nil"/>
          <w:lang w:val="en-US"/>
        </w:rPr>
        <w:t xml:space="preserve"> Умерено сум запознаен/а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Многу сум запознаен/а </w:t>
      </w:r>
    </w:p>
    <w:p w14:paraId="2B08D0F6" w14:textId="51735F5A" w:rsidR="00EE7556" w:rsidRPr="00EE7556" w:rsidRDefault="00EE7556" w:rsidP="00EE7556">
      <w:pPr>
        <w:pStyle w:val="BodyText"/>
        <w:numPr>
          <w:ilvl w:val="0"/>
          <w:numId w:val="43"/>
        </w:numPr>
        <w:spacing w:line="360" w:lineRule="auto"/>
        <w:jc w:val="both"/>
        <w:rPr>
          <w:rFonts w:eastAsia="Arial Unicode MS"/>
          <w:color w:val="000000"/>
          <w:bdr w:val="nil"/>
          <w:lang w:val="en-US"/>
        </w:rPr>
      </w:pPr>
      <w:r w:rsidRPr="00EE7556">
        <w:rPr>
          <w:rFonts w:eastAsia="Arial Unicode MS"/>
          <w:b/>
          <w:bCs/>
          <w:color w:val="000000"/>
          <w:bdr w:val="nil"/>
          <w:lang w:val="en-US"/>
        </w:rPr>
        <w:t>Дали вашата компанија има некаква форма на претставување на вработените?</w:t>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 сум сигурен/а </w:t>
      </w:r>
    </w:p>
    <w:p w14:paraId="0C453407" w14:textId="3AB61F9C" w:rsidR="00EE7556" w:rsidRPr="00EE7556" w:rsidRDefault="00EE7556" w:rsidP="00EE7556">
      <w:pPr>
        <w:pStyle w:val="BodyText"/>
        <w:spacing w:line="360" w:lineRule="auto"/>
        <w:jc w:val="both"/>
        <w:rPr>
          <w:rFonts w:eastAsia="Arial Unicode MS"/>
          <w:color w:val="000000"/>
          <w:bdr w:val="nil"/>
          <w:lang w:val="en-US"/>
        </w:rPr>
      </w:pPr>
      <w:r w:rsidRPr="00EE7556">
        <w:rPr>
          <w:rFonts w:eastAsia="Arial Unicode MS"/>
          <w:color w:val="000000"/>
          <w:bdr w:val="nil"/>
          <w:lang w:val="en-US"/>
        </w:rPr>
        <w:t>Ако да: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Синдикат</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Работнички совет</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Претставник на вработените во управувањето</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w:t>
      </w:r>
    </w:p>
    <w:p w14:paraId="55E9AF08" w14:textId="1116A6FA" w:rsidR="00EE7556" w:rsidRPr="00EE7556" w:rsidRDefault="00EE7556" w:rsidP="00EE7556">
      <w:pPr>
        <w:pStyle w:val="BodyText"/>
        <w:numPr>
          <w:ilvl w:val="0"/>
          <w:numId w:val="44"/>
        </w:numPr>
        <w:spacing w:line="360" w:lineRule="auto"/>
        <w:jc w:val="both"/>
        <w:rPr>
          <w:rFonts w:eastAsia="Arial Unicode MS"/>
          <w:color w:val="000000"/>
          <w:bdr w:val="nil"/>
          <w:lang w:val="en-US"/>
        </w:rPr>
      </w:pPr>
      <w:r w:rsidRPr="00EE7556">
        <w:rPr>
          <w:rFonts w:eastAsia="Arial Unicode MS"/>
          <w:b/>
          <w:bCs/>
          <w:color w:val="000000"/>
          <w:bdr w:val="nil"/>
          <w:lang w:val="en-US"/>
        </w:rPr>
        <w:t>Ако постојат вакви структури, колку се ефективни во застапување на интересите на вработените?</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Воопшто не се ефективни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Малку се ефективни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Умерено се ефективни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Многу се ефективни </w:t>
      </w:r>
    </w:p>
    <w:p w14:paraId="15291DC1" w14:textId="77777777" w:rsidR="00A9288B" w:rsidRDefault="00A9288B" w:rsidP="00A9288B">
      <w:pPr>
        <w:pStyle w:val="BodyText"/>
        <w:spacing w:line="360" w:lineRule="auto"/>
        <w:jc w:val="both"/>
        <w:rPr>
          <w:rFonts w:eastAsia="Arial Unicode MS"/>
          <w:color w:val="000000"/>
          <w:bdr w:val="nil"/>
          <w:lang w:val="mk-MK"/>
        </w:rPr>
      </w:pPr>
    </w:p>
    <w:p w14:paraId="1387D3BB" w14:textId="270C125C" w:rsidR="00EE7556" w:rsidRPr="00EE7556" w:rsidRDefault="00EE7556" w:rsidP="00A9288B">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3: Перцепции за релевантност и придобивки</w:t>
      </w:r>
    </w:p>
    <w:p w14:paraId="5CD26581" w14:textId="6D91F665" w:rsidR="00EE7556" w:rsidRPr="00EE7556" w:rsidRDefault="00EE7556" w:rsidP="00EE7556">
      <w:pPr>
        <w:pStyle w:val="BodyText"/>
        <w:numPr>
          <w:ilvl w:val="0"/>
          <w:numId w:val="45"/>
        </w:numPr>
        <w:spacing w:line="360" w:lineRule="auto"/>
        <w:jc w:val="both"/>
        <w:rPr>
          <w:rFonts w:eastAsia="Arial Unicode MS"/>
          <w:color w:val="000000"/>
          <w:bdr w:val="nil"/>
          <w:lang w:val="en-US"/>
        </w:rPr>
      </w:pPr>
      <w:r w:rsidRPr="00EE7556">
        <w:rPr>
          <w:rFonts w:eastAsia="Arial Unicode MS"/>
          <w:b/>
          <w:bCs/>
          <w:color w:val="000000"/>
          <w:bdr w:val="nil"/>
          <w:lang w:val="en-US"/>
        </w:rPr>
        <w:t>Колку сметате дека моделите на учество на вработените се релевантни за компаниите во Македонија?</w:t>
      </w:r>
      <w:r w:rsidR="00A9288B">
        <w:rPr>
          <w:rFonts w:eastAsia="Arial Unicode MS"/>
          <w:b/>
          <w:bC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Воопшто не се релевантни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Малку се релевантни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Умерено се релевантни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Многу се релевантни </w:t>
      </w:r>
    </w:p>
    <w:p w14:paraId="0E8CF087" w14:textId="073228E2" w:rsidR="00EE7556" w:rsidRPr="00EE7556" w:rsidRDefault="00EE7556" w:rsidP="00EE7556">
      <w:pPr>
        <w:pStyle w:val="BodyText"/>
        <w:numPr>
          <w:ilvl w:val="0"/>
          <w:numId w:val="45"/>
        </w:numPr>
        <w:spacing w:line="360" w:lineRule="auto"/>
        <w:jc w:val="both"/>
        <w:rPr>
          <w:rFonts w:eastAsia="Arial Unicode MS"/>
          <w:color w:val="000000"/>
          <w:bdr w:val="nil"/>
          <w:lang w:val="en-US"/>
        </w:rPr>
      </w:pPr>
      <w:r w:rsidRPr="00EE7556">
        <w:rPr>
          <w:rFonts w:eastAsia="Arial Unicode MS"/>
          <w:b/>
          <w:bCs/>
          <w:color w:val="000000"/>
          <w:bdr w:val="nil"/>
          <w:lang w:val="en-US"/>
        </w:rPr>
        <w:t>Кои ги сметате за главни потенцијални придобивки? (изберете до 3)</w:t>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Зголемена мотивација</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Поголема сигурност на работното место</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Подобри плати / финансиски бенефиции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lastRenderedPageBreak/>
        <w:t>☐</w:t>
      </w:r>
      <w:r w:rsidRPr="00EE7556">
        <w:rPr>
          <w:rFonts w:eastAsia="Arial Unicode MS"/>
          <w:color w:val="000000"/>
          <w:bdr w:val="nil"/>
          <w:lang w:val="en-US"/>
        </w:rPr>
        <w:t xml:space="preserve"> Посилен глас во донесување одлуки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Подобрени работни односи</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Усогласување со стандардите на ЕУ</w:t>
      </w:r>
      <w:r w:rsidR="00A9288B">
        <w:rPr>
          <w:rFonts w:eastAsia="Arial Unicode MS"/>
          <w:color w:val="000000"/>
          <w:bdr w:val="nil"/>
          <w:lang w:val="mk-MK"/>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 </w:t>
      </w:r>
    </w:p>
    <w:p w14:paraId="4FF420FE" w14:textId="2A571ADA" w:rsidR="00EE7556" w:rsidRPr="00EE7556" w:rsidRDefault="00EE7556" w:rsidP="00EE7556">
      <w:pPr>
        <w:pStyle w:val="BodyText"/>
        <w:spacing w:line="360" w:lineRule="auto"/>
        <w:jc w:val="both"/>
        <w:rPr>
          <w:rFonts w:eastAsia="Arial Unicode MS"/>
          <w:color w:val="000000"/>
          <w:bdr w:val="nil"/>
          <w:lang w:val="en-US"/>
        </w:rPr>
      </w:pPr>
    </w:p>
    <w:p w14:paraId="63A281B8" w14:textId="77777777" w:rsidR="00EE7556" w:rsidRPr="00EE7556" w:rsidRDefault="00EE7556" w:rsidP="00A9288B">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4: Перцепирани ризици и грижи</w:t>
      </w:r>
    </w:p>
    <w:p w14:paraId="6C575AB0" w14:textId="43A9C7EF" w:rsidR="00EE7556" w:rsidRPr="00EE7556" w:rsidRDefault="00EE7556" w:rsidP="00EE7556">
      <w:pPr>
        <w:pStyle w:val="BodyText"/>
        <w:numPr>
          <w:ilvl w:val="0"/>
          <w:numId w:val="46"/>
        </w:numPr>
        <w:spacing w:line="360" w:lineRule="auto"/>
        <w:jc w:val="both"/>
        <w:rPr>
          <w:rFonts w:eastAsia="Arial Unicode MS"/>
          <w:color w:val="000000"/>
          <w:bdr w:val="nil"/>
          <w:lang w:val="en-US"/>
        </w:rPr>
      </w:pPr>
      <w:r w:rsidRPr="00EE7556">
        <w:rPr>
          <w:rFonts w:eastAsia="Arial Unicode MS"/>
          <w:b/>
          <w:bCs/>
          <w:color w:val="000000"/>
          <w:bdr w:val="nil"/>
          <w:lang w:val="en-US"/>
        </w:rPr>
        <w:t>Кои ризици или грижи ги поврзувате со ваквите модели? (изберете до 3)</w:t>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Ограничено реално влијание (симболично учество)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Конфликти помеѓу вработените и менаџментот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Недоверба во имплементацијата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Нееднаков пристап (само одредени вработени имаат корист)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Комплексност или недоволно разбирање</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 </w:t>
      </w:r>
    </w:p>
    <w:p w14:paraId="6E3F12E3" w14:textId="6367E1E1" w:rsidR="00EE7556" w:rsidRPr="00EE7556" w:rsidRDefault="00EE7556" w:rsidP="00EE7556">
      <w:pPr>
        <w:pStyle w:val="BodyText"/>
        <w:spacing w:line="360" w:lineRule="auto"/>
        <w:jc w:val="both"/>
        <w:rPr>
          <w:rFonts w:eastAsia="Arial Unicode MS"/>
          <w:color w:val="000000"/>
          <w:bdr w:val="nil"/>
          <w:lang w:val="en-US"/>
        </w:rPr>
      </w:pPr>
    </w:p>
    <w:p w14:paraId="04C47F89" w14:textId="77777777" w:rsidR="00EE7556" w:rsidRPr="00EE7556" w:rsidRDefault="00EE7556" w:rsidP="0064227E">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5: Сопственост на акции од страна на вработените</w:t>
      </w:r>
    </w:p>
    <w:p w14:paraId="015D61FF" w14:textId="0B8D2265" w:rsidR="00EE7556" w:rsidRPr="00EE7556" w:rsidRDefault="00EE7556" w:rsidP="00EE7556">
      <w:pPr>
        <w:pStyle w:val="BodyText"/>
        <w:numPr>
          <w:ilvl w:val="0"/>
          <w:numId w:val="47"/>
        </w:numPr>
        <w:spacing w:line="360" w:lineRule="auto"/>
        <w:jc w:val="both"/>
        <w:rPr>
          <w:rFonts w:eastAsia="Arial Unicode MS"/>
          <w:color w:val="000000"/>
          <w:bdr w:val="nil"/>
          <w:lang w:val="en-US"/>
        </w:rPr>
      </w:pPr>
      <w:r w:rsidRPr="00EE7556">
        <w:rPr>
          <w:rFonts w:eastAsia="Arial Unicode MS"/>
          <w:b/>
          <w:bCs/>
          <w:color w:val="000000"/>
          <w:bdr w:val="nil"/>
          <w:lang w:val="en-US"/>
        </w:rPr>
        <w:t>Дали би биле заинтересирани да поседувате акции во вашата компанија (на пример, 1–5%)?</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Можеби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 </w:t>
      </w:r>
    </w:p>
    <w:p w14:paraId="76852217" w14:textId="1EE15B2D" w:rsidR="00EE7556" w:rsidRDefault="00EE7556" w:rsidP="00EE7556">
      <w:pPr>
        <w:pStyle w:val="BodyText"/>
        <w:numPr>
          <w:ilvl w:val="0"/>
          <w:numId w:val="47"/>
        </w:numPr>
        <w:spacing w:line="360" w:lineRule="auto"/>
        <w:jc w:val="both"/>
        <w:rPr>
          <w:rFonts w:eastAsia="Arial Unicode MS"/>
          <w:color w:val="000000"/>
          <w:bdr w:val="nil"/>
          <w:lang w:val="en-US"/>
        </w:rPr>
      </w:pPr>
      <w:r w:rsidRPr="00EE7556">
        <w:rPr>
          <w:rFonts w:eastAsia="Arial Unicode MS"/>
          <w:b/>
          <w:bCs/>
          <w:color w:val="000000"/>
          <w:bdr w:val="nil"/>
          <w:lang w:val="en-US"/>
        </w:rPr>
        <w:t>Под кои услови би го сметале ова за прифатливо? (изберете ги сите што важат)</w:t>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Финансиски придобивки (дивиденди, учество во добивка)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Без финансиски ризик за вработените</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Јасни и транспарентни правила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Доброволно учество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Еднаква достапност за сите вработени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Даночни поттикнувања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 </w:t>
      </w:r>
    </w:p>
    <w:p w14:paraId="0EA04D38" w14:textId="77777777" w:rsidR="0064227E" w:rsidRPr="00EE7556" w:rsidRDefault="0064227E" w:rsidP="0064227E">
      <w:pPr>
        <w:pStyle w:val="BodyText"/>
        <w:spacing w:line="360" w:lineRule="auto"/>
        <w:ind w:left="720"/>
        <w:jc w:val="both"/>
        <w:rPr>
          <w:rFonts w:eastAsia="Arial Unicode MS"/>
          <w:color w:val="000000"/>
          <w:bdr w:val="nil"/>
          <w:lang w:val="en-US"/>
        </w:rPr>
      </w:pPr>
    </w:p>
    <w:p w14:paraId="6C79BDDF" w14:textId="0BDEB0FF" w:rsidR="00EE7556" w:rsidRPr="00EE7556" w:rsidRDefault="00EE7556" w:rsidP="00EE7556">
      <w:pPr>
        <w:pStyle w:val="BodyText"/>
        <w:numPr>
          <w:ilvl w:val="0"/>
          <w:numId w:val="47"/>
        </w:numPr>
        <w:spacing w:line="360" w:lineRule="auto"/>
        <w:jc w:val="both"/>
        <w:rPr>
          <w:rFonts w:eastAsia="Arial Unicode MS"/>
          <w:color w:val="000000"/>
          <w:bdr w:val="nil"/>
          <w:lang w:val="en-US"/>
        </w:rPr>
      </w:pPr>
      <w:r w:rsidRPr="00EE7556">
        <w:rPr>
          <w:rFonts w:eastAsia="Arial Unicode MS"/>
          <w:b/>
          <w:bCs/>
          <w:color w:val="000000"/>
          <w:bdr w:val="nil"/>
          <w:lang w:val="en-US"/>
        </w:rPr>
        <w:lastRenderedPageBreak/>
        <w:t>Кој модел го преферирате?</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Директна сопственост на акции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Структура од типот ESOP</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Учество во добивка без сопственост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Немам преференција / не сум заинтересиран/а </w:t>
      </w:r>
    </w:p>
    <w:p w14:paraId="15760096" w14:textId="7938D11E" w:rsidR="00EE7556" w:rsidRPr="00EE7556" w:rsidRDefault="00EE7556" w:rsidP="00EE7556">
      <w:pPr>
        <w:pStyle w:val="BodyText"/>
        <w:spacing w:line="360" w:lineRule="auto"/>
        <w:jc w:val="both"/>
        <w:rPr>
          <w:rFonts w:eastAsia="Arial Unicode MS"/>
          <w:color w:val="000000"/>
          <w:bdr w:val="nil"/>
          <w:lang w:val="en-US"/>
        </w:rPr>
      </w:pPr>
    </w:p>
    <w:p w14:paraId="6B01359C" w14:textId="77777777" w:rsidR="00EE7556" w:rsidRPr="00EE7556" w:rsidRDefault="00EE7556" w:rsidP="0064227E">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6: Учество во управувањето</w:t>
      </w:r>
    </w:p>
    <w:p w14:paraId="28728793" w14:textId="34D74D94" w:rsidR="00EE7556" w:rsidRPr="00EE7556" w:rsidRDefault="00EE7556" w:rsidP="00EE7556">
      <w:pPr>
        <w:pStyle w:val="BodyText"/>
        <w:numPr>
          <w:ilvl w:val="0"/>
          <w:numId w:val="48"/>
        </w:numPr>
        <w:spacing w:line="360" w:lineRule="auto"/>
        <w:jc w:val="both"/>
        <w:rPr>
          <w:rFonts w:eastAsia="Arial Unicode MS"/>
          <w:color w:val="000000"/>
          <w:bdr w:val="nil"/>
          <w:lang w:val="en-US"/>
        </w:rPr>
      </w:pPr>
      <w:r w:rsidRPr="00EE7556">
        <w:rPr>
          <w:rFonts w:eastAsia="Arial Unicode MS"/>
          <w:b/>
          <w:bCs/>
          <w:color w:val="000000"/>
          <w:bdr w:val="nil"/>
          <w:lang w:val="en-US"/>
        </w:rPr>
        <w:t>Дали поддржувате застапеност на вработените во органите на управување на компанијата?</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Можеби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 </w:t>
      </w:r>
    </w:p>
    <w:p w14:paraId="4CC7ED71" w14:textId="6BDC7BD3" w:rsidR="00EE7556" w:rsidRPr="00EE7556" w:rsidRDefault="00EE7556" w:rsidP="00EE7556">
      <w:pPr>
        <w:pStyle w:val="BodyText"/>
        <w:numPr>
          <w:ilvl w:val="0"/>
          <w:numId w:val="48"/>
        </w:numPr>
        <w:spacing w:line="360" w:lineRule="auto"/>
        <w:jc w:val="both"/>
        <w:rPr>
          <w:rFonts w:eastAsia="Arial Unicode MS"/>
          <w:color w:val="000000"/>
          <w:bdr w:val="nil"/>
          <w:lang w:val="en-US"/>
        </w:rPr>
      </w:pPr>
      <w:r w:rsidRPr="00EE7556">
        <w:rPr>
          <w:rFonts w:eastAsia="Arial Unicode MS"/>
          <w:b/>
          <w:bCs/>
          <w:color w:val="000000"/>
          <w:bdr w:val="nil"/>
          <w:lang w:val="en-US"/>
        </w:rPr>
        <w:t>На кое ниво треба да бидат претставени вработените?</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Само советодавна улога</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Еден претставник во одборот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Работнички совет поврзан со управувањето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Целосна кодетерминација (споделено управување) </w:t>
      </w:r>
    </w:p>
    <w:p w14:paraId="2CECD621" w14:textId="756E0E3D" w:rsidR="00EE7556" w:rsidRPr="00EE7556" w:rsidRDefault="00EE7556" w:rsidP="00EE7556">
      <w:pPr>
        <w:pStyle w:val="BodyText"/>
        <w:numPr>
          <w:ilvl w:val="0"/>
          <w:numId w:val="48"/>
        </w:numPr>
        <w:spacing w:line="360" w:lineRule="auto"/>
        <w:jc w:val="both"/>
        <w:rPr>
          <w:rFonts w:eastAsia="Arial Unicode MS"/>
          <w:color w:val="000000"/>
          <w:bdr w:val="nil"/>
          <w:lang w:val="en-US"/>
        </w:rPr>
      </w:pPr>
      <w:r w:rsidRPr="00EE7556">
        <w:rPr>
          <w:rFonts w:eastAsia="Arial Unicode MS"/>
          <w:b/>
          <w:bCs/>
          <w:color w:val="000000"/>
          <w:bdr w:val="nil"/>
          <w:lang w:val="en-US"/>
        </w:rPr>
        <w:t>Колкаво влијание треба да имаат претставниците на вработените?</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Само информативно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Консултативно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Со право на одлучување </w:t>
      </w:r>
    </w:p>
    <w:p w14:paraId="0DAC86F4" w14:textId="77777777" w:rsidR="0064227E" w:rsidRDefault="0064227E" w:rsidP="0064227E">
      <w:pPr>
        <w:pStyle w:val="BodyText"/>
        <w:spacing w:line="360" w:lineRule="auto"/>
        <w:jc w:val="both"/>
        <w:rPr>
          <w:rFonts w:eastAsia="Arial Unicode MS"/>
          <w:color w:val="000000"/>
          <w:bdr w:val="nil"/>
          <w:lang w:val="en-US"/>
        </w:rPr>
      </w:pPr>
    </w:p>
    <w:p w14:paraId="5A844C0E" w14:textId="06F204BD" w:rsidR="00EE7556" w:rsidRPr="00EE7556" w:rsidRDefault="00EE7556" w:rsidP="0064227E">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7: Доверба, изводливост и институционален контекст</w:t>
      </w:r>
    </w:p>
    <w:p w14:paraId="20669539" w14:textId="74DA0D88" w:rsidR="00EE7556" w:rsidRDefault="00EE7556" w:rsidP="00EE7556">
      <w:pPr>
        <w:pStyle w:val="BodyText"/>
        <w:numPr>
          <w:ilvl w:val="0"/>
          <w:numId w:val="49"/>
        </w:numPr>
        <w:spacing w:line="360" w:lineRule="auto"/>
        <w:jc w:val="both"/>
        <w:rPr>
          <w:rFonts w:eastAsia="Arial Unicode MS"/>
          <w:color w:val="000000"/>
          <w:bdr w:val="nil"/>
          <w:lang w:val="en-US"/>
        </w:rPr>
      </w:pPr>
      <w:r w:rsidRPr="00EE7556">
        <w:rPr>
          <w:rFonts w:eastAsia="Arial Unicode MS"/>
          <w:b/>
          <w:bCs/>
          <w:color w:val="000000"/>
          <w:bdr w:val="nil"/>
          <w:lang w:val="en-US"/>
        </w:rPr>
        <w:t>Дали имате доверба дека вашата компанија би ги имплементирала ваквите модели на фер начин?</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Воопшто не</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Малку</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Умерено</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Многу </w:t>
      </w:r>
    </w:p>
    <w:p w14:paraId="546CD2FA" w14:textId="77777777" w:rsidR="0064227E" w:rsidRPr="00EE7556" w:rsidRDefault="0064227E" w:rsidP="0064227E">
      <w:pPr>
        <w:pStyle w:val="BodyText"/>
        <w:spacing w:line="360" w:lineRule="auto"/>
        <w:ind w:left="720"/>
        <w:jc w:val="both"/>
        <w:rPr>
          <w:rFonts w:eastAsia="Arial Unicode MS"/>
          <w:color w:val="000000"/>
          <w:bdr w:val="nil"/>
          <w:lang w:val="en-US"/>
        </w:rPr>
      </w:pPr>
    </w:p>
    <w:p w14:paraId="1A7760E9" w14:textId="63EEF75A" w:rsidR="00EE7556" w:rsidRPr="00EE7556" w:rsidRDefault="00EE7556" w:rsidP="00EE7556">
      <w:pPr>
        <w:pStyle w:val="BodyText"/>
        <w:numPr>
          <w:ilvl w:val="0"/>
          <w:numId w:val="49"/>
        </w:numPr>
        <w:spacing w:line="360" w:lineRule="auto"/>
        <w:jc w:val="both"/>
        <w:rPr>
          <w:rFonts w:eastAsia="Arial Unicode MS"/>
          <w:color w:val="000000"/>
          <w:bdr w:val="nil"/>
          <w:lang w:val="en-US"/>
        </w:rPr>
      </w:pPr>
      <w:r w:rsidRPr="00EE7556">
        <w:rPr>
          <w:rFonts w:eastAsia="Arial Unicode MS"/>
          <w:b/>
          <w:bCs/>
          <w:color w:val="000000"/>
          <w:bdr w:val="nil"/>
          <w:lang w:val="en-US"/>
        </w:rPr>
        <w:lastRenderedPageBreak/>
        <w:t>Кои се главните пречки од перспектива на вработените?</w:t>
      </w:r>
      <w:r w:rsidR="0064227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Недостаток на информации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Недоверба во менаџментот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Страв од ризик или последици</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Низок интерес кај вработените</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Правна неизвесност</w:t>
      </w:r>
      <w:r w:rsidR="0064227E">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Друго: _______ </w:t>
      </w:r>
    </w:p>
    <w:p w14:paraId="70CD7CC5" w14:textId="57C9CA88" w:rsidR="00EE7556" w:rsidRPr="00EE7556" w:rsidRDefault="00EE7556" w:rsidP="00EE7556">
      <w:pPr>
        <w:pStyle w:val="BodyText"/>
        <w:numPr>
          <w:ilvl w:val="0"/>
          <w:numId w:val="49"/>
        </w:numPr>
        <w:spacing w:line="360" w:lineRule="auto"/>
        <w:jc w:val="both"/>
        <w:rPr>
          <w:rFonts w:eastAsia="Arial Unicode MS"/>
          <w:color w:val="000000"/>
          <w:bdr w:val="nil"/>
          <w:lang w:val="en-US"/>
        </w:rPr>
      </w:pPr>
      <w:r w:rsidRPr="00EE7556">
        <w:rPr>
          <w:rFonts w:eastAsia="Arial Unicode MS"/>
          <w:b/>
          <w:bCs/>
          <w:color w:val="000000"/>
          <w:bdr w:val="nil"/>
          <w:lang w:val="en-US"/>
        </w:rPr>
        <w:t>Колку е соодветна правната рамка во Македонија за заштита на правата на вработените во вакви модели?</w:t>
      </w:r>
      <w:r w:rsidR="00D934E9">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Целосно несоодветна</w:t>
      </w:r>
      <w:r w:rsidR="00D934E9">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Делумно несоодветна</w:t>
      </w:r>
      <w:r w:rsidR="00D934E9">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Неутрална</w:t>
      </w:r>
      <w:r w:rsidR="00D934E9">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Соодветна </w:t>
      </w:r>
    </w:p>
    <w:p w14:paraId="16387F44" w14:textId="736BB8BE" w:rsidR="00EE7556" w:rsidRPr="00EE7556" w:rsidRDefault="00EE7556" w:rsidP="00EE7556">
      <w:pPr>
        <w:pStyle w:val="BodyText"/>
        <w:spacing w:line="360" w:lineRule="auto"/>
        <w:jc w:val="both"/>
        <w:rPr>
          <w:rFonts w:eastAsia="Arial Unicode MS"/>
          <w:color w:val="000000"/>
          <w:bdr w:val="nil"/>
          <w:lang w:val="en-US"/>
        </w:rPr>
      </w:pPr>
    </w:p>
    <w:p w14:paraId="1077042F" w14:textId="77777777" w:rsidR="00EE7556" w:rsidRPr="00EE7556" w:rsidRDefault="00EE7556" w:rsidP="00D934E9">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8: Влијание на ЕУ и реформска динамика</w:t>
      </w:r>
    </w:p>
    <w:p w14:paraId="40E8468E" w14:textId="527457B9" w:rsidR="00EE7556" w:rsidRPr="00EE7556" w:rsidRDefault="00EE7556" w:rsidP="00EE7556">
      <w:pPr>
        <w:pStyle w:val="BodyText"/>
        <w:numPr>
          <w:ilvl w:val="0"/>
          <w:numId w:val="50"/>
        </w:numPr>
        <w:spacing w:line="360" w:lineRule="auto"/>
        <w:jc w:val="both"/>
        <w:rPr>
          <w:rFonts w:eastAsia="Arial Unicode MS"/>
          <w:color w:val="000000"/>
          <w:bdr w:val="nil"/>
          <w:lang w:val="en-US"/>
        </w:rPr>
      </w:pPr>
      <w:r w:rsidRPr="00EE7556">
        <w:rPr>
          <w:rFonts w:eastAsia="Arial Unicode MS"/>
          <w:b/>
          <w:bCs/>
          <w:color w:val="000000"/>
          <w:bdr w:val="nil"/>
          <w:lang w:val="en-US"/>
        </w:rPr>
        <w:t>Дали сметате дека усогласувањето со Европската Унија придонесува за посилни права на учество на вработените?</w:t>
      </w:r>
      <w:r w:rsidR="00D934E9">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Воопшто не</w:t>
      </w:r>
      <w:r w:rsidR="00D934E9">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Малку</w:t>
      </w:r>
      <w:r w:rsidR="000E1F2C">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Умерено</w:t>
      </w:r>
      <w:r w:rsidR="000E1F2C">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Многу </w:t>
      </w:r>
    </w:p>
    <w:p w14:paraId="29E79A5E" w14:textId="6C3EEFAE" w:rsidR="00EE7556" w:rsidRPr="00EE7556" w:rsidRDefault="00EE7556" w:rsidP="00EE7556">
      <w:pPr>
        <w:pStyle w:val="BodyText"/>
        <w:numPr>
          <w:ilvl w:val="0"/>
          <w:numId w:val="50"/>
        </w:numPr>
        <w:spacing w:line="360" w:lineRule="auto"/>
        <w:jc w:val="both"/>
        <w:rPr>
          <w:rFonts w:eastAsia="Arial Unicode MS"/>
          <w:color w:val="000000"/>
          <w:bdr w:val="nil"/>
          <w:lang w:val="en-US"/>
        </w:rPr>
      </w:pPr>
      <w:r w:rsidRPr="00EE7556">
        <w:rPr>
          <w:rFonts w:eastAsia="Arial Unicode MS"/>
          <w:b/>
          <w:bCs/>
          <w:color w:val="000000"/>
          <w:bdr w:val="nil"/>
          <w:lang w:val="en-US"/>
        </w:rPr>
        <w:t>Дали реформите поттикнати од ЕУ би ја зголемиле вашата поддршка за вакви модели?</w:t>
      </w:r>
      <w:r w:rsidR="00B22ECE">
        <w:rPr>
          <w:rFonts w:eastAsia="Arial Unicode MS"/>
          <w:b/>
          <w:bC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Да</w:t>
      </w:r>
      <w:r w:rsidR="00161502">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Можеби</w:t>
      </w:r>
      <w:r w:rsidR="00161502">
        <w:rPr>
          <w:rFonts w:eastAsia="Arial Unicode MS"/>
          <w:color w:val="000000"/>
          <w:bdr w:val="nil"/>
          <w:lang w:val="en-US"/>
        </w:rPr>
        <w:tab/>
      </w:r>
      <w:r w:rsidRPr="00EE7556">
        <w:rPr>
          <w:rFonts w:eastAsia="Arial Unicode MS"/>
          <w:color w:val="000000"/>
          <w:bdr w:val="nil"/>
          <w:lang w:val="en-US"/>
        </w:rPr>
        <w:br/>
      </w:r>
      <w:r w:rsidRPr="00EE7556">
        <w:rPr>
          <w:rFonts w:ascii="Segoe UI Symbol" w:eastAsia="Arial Unicode MS" w:hAnsi="Segoe UI Symbol" w:cs="Segoe UI Symbol"/>
          <w:color w:val="000000"/>
          <w:bdr w:val="nil"/>
          <w:lang w:val="en-US"/>
        </w:rPr>
        <w:t>☐</w:t>
      </w:r>
      <w:r w:rsidRPr="00EE7556">
        <w:rPr>
          <w:rFonts w:eastAsia="Arial Unicode MS"/>
          <w:color w:val="000000"/>
          <w:bdr w:val="nil"/>
          <w:lang w:val="en-US"/>
        </w:rPr>
        <w:t xml:space="preserve"> Не </w:t>
      </w:r>
    </w:p>
    <w:p w14:paraId="3519C764" w14:textId="457DC525" w:rsidR="00EE7556" w:rsidRPr="00EE7556" w:rsidRDefault="00EE7556" w:rsidP="00EE7556">
      <w:pPr>
        <w:pStyle w:val="BodyText"/>
        <w:spacing w:line="360" w:lineRule="auto"/>
        <w:jc w:val="both"/>
        <w:rPr>
          <w:rFonts w:eastAsia="Arial Unicode MS"/>
          <w:color w:val="000000"/>
          <w:bdr w:val="nil"/>
          <w:lang w:val="en-US"/>
        </w:rPr>
      </w:pPr>
    </w:p>
    <w:p w14:paraId="3903067E" w14:textId="77777777" w:rsidR="00EE7556" w:rsidRPr="00EE7556" w:rsidRDefault="00EE7556" w:rsidP="00161502">
      <w:pPr>
        <w:pStyle w:val="BodyText"/>
        <w:spacing w:line="360" w:lineRule="auto"/>
        <w:jc w:val="both"/>
        <w:rPr>
          <w:rFonts w:eastAsia="Arial Unicode MS"/>
          <w:b/>
          <w:bCs/>
          <w:color w:val="000000"/>
          <w:bdr w:val="nil"/>
          <w:lang w:val="en-US"/>
        </w:rPr>
      </w:pPr>
      <w:r w:rsidRPr="00EE7556">
        <w:rPr>
          <w:rFonts w:eastAsia="Arial Unicode MS"/>
          <w:b/>
          <w:bCs/>
          <w:color w:val="000000"/>
          <w:bdr w:val="nil"/>
          <w:lang w:val="en-US"/>
        </w:rPr>
        <w:t>Секција 9: Отворени прашања (квалитативни)</w:t>
      </w:r>
    </w:p>
    <w:p w14:paraId="441CEE55" w14:textId="57D6B7F8" w:rsidR="00EE7556" w:rsidRPr="00EE7556" w:rsidRDefault="00EE7556" w:rsidP="00EE7556">
      <w:pPr>
        <w:pStyle w:val="BodyText"/>
        <w:numPr>
          <w:ilvl w:val="0"/>
          <w:numId w:val="51"/>
        </w:numPr>
        <w:spacing w:line="360" w:lineRule="auto"/>
        <w:jc w:val="both"/>
        <w:rPr>
          <w:rFonts w:eastAsia="Arial Unicode MS"/>
          <w:color w:val="000000"/>
          <w:bdr w:val="nil"/>
          <w:lang w:val="en-US"/>
        </w:rPr>
      </w:pPr>
      <w:r w:rsidRPr="00EE7556">
        <w:rPr>
          <w:rFonts w:eastAsia="Arial Unicode MS"/>
          <w:b/>
          <w:bCs/>
          <w:color w:val="000000"/>
          <w:bdr w:val="nil"/>
          <w:lang w:val="en-US"/>
        </w:rPr>
        <w:t>Според вас, кој би бил најреалистичниот и најправичниот модел на учество на вработените во Македонија?</w:t>
      </w:r>
      <w:r w:rsidRPr="00EE7556">
        <w:rPr>
          <w:rFonts w:eastAsia="Arial Unicode MS"/>
          <w:color w:val="000000"/>
          <w:bdr w:val="nil"/>
          <w:lang w:val="en-US"/>
        </w:rPr>
        <w:t xml:space="preserve"> </w:t>
      </w:r>
    </w:p>
    <w:p w14:paraId="24F01590" w14:textId="77777777" w:rsidR="00EE7556" w:rsidRPr="00EE7556" w:rsidRDefault="00EE7556" w:rsidP="00EE7556">
      <w:pPr>
        <w:pStyle w:val="BodyText"/>
        <w:numPr>
          <w:ilvl w:val="0"/>
          <w:numId w:val="51"/>
        </w:numPr>
        <w:spacing w:line="360" w:lineRule="auto"/>
        <w:jc w:val="both"/>
        <w:rPr>
          <w:rFonts w:eastAsia="Arial Unicode MS"/>
          <w:color w:val="000000"/>
          <w:bdr w:val="nil"/>
          <w:lang w:val="en-US"/>
        </w:rPr>
      </w:pPr>
      <w:r w:rsidRPr="00EE7556">
        <w:rPr>
          <w:rFonts w:eastAsia="Arial Unicode MS"/>
          <w:b/>
          <w:bCs/>
          <w:color w:val="000000"/>
          <w:bdr w:val="nil"/>
          <w:lang w:val="en-US"/>
        </w:rPr>
        <w:lastRenderedPageBreak/>
        <w:t>Што треба да се промени во вашата компанија за да ги поддржите ваквите реформи?</w:t>
      </w:r>
      <w:r w:rsidRPr="00EE7556">
        <w:rPr>
          <w:rFonts w:eastAsia="Arial Unicode MS"/>
          <w:color w:val="000000"/>
          <w:bdr w:val="nil"/>
          <w:lang w:val="en-US"/>
        </w:rPr>
        <w:t xml:space="preserve"> </w:t>
      </w:r>
    </w:p>
    <w:p w14:paraId="2977F142" w14:textId="77777777" w:rsidR="00EE7556" w:rsidRPr="002C1F11" w:rsidRDefault="00EE7556" w:rsidP="00EE7556">
      <w:pPr>
        <w:pStyle w:val="BodyText"/>
        <w:numPr>
          <w:ilvl w:val="0"/>
          <w:numId w:val="51"/>
        </w:numPr>
        <w:spacing w:line="360" w:lineRule="auto"/>
        <w:jc w:val="both"/>
        <w:rPr>
          <w:rFonts w:eastAsia="Arial Unicode MS"/>
          <w:color w:val="000000"/>
          <w:bdr w:val="nil"/>
          <w:lang w:val="en-US"/>
        </w:rPr>
      </w:pPr>
      <w:r w:rsidRPr="00EE7556">
        <w:rPr>
          <w:rFonts w:eastAsia="Arial Unicode MS"/>
          <w:b/>
          <w:bCs/>
          <w:color w:val="000000"/>
          <w:bdr w:val="nil"/>
          <w:lang w:val="en-US"/>
        </w:rPr>
        <w:t>Дали сметате дека ваквите модели би ја подобриле вашата позиција како вработен? Зошто или зошто не?</w:t>
      </w:r>
    </w:p>
    <w:p w14:paraId="5D844B5E" w14:textId="77777777" w:rsidR="002C1F11" w:rsidRDefault="002C1F11" w:rsidP="002C1F11">
      <w:pPr>
        <w:pStyle w:val="BodyText"/>
        <w:spacing w:line="360" w:lineRule="auto"/>
        <w:jc w:val="both"/>
        <w:rPr>
          <w:rFonts w:eastAsia="Arial Unicode MS"/>
          <w:b/>
          <w:bCs/>
          <w:color w:val="000000"/>
          <w:bdr w:val="nil"/>
          <w:lang w:val="en-US"/>
        </w:rPr>
      </w:pPr>
    </w:p>
    <w:p w14:paraId="1699D2EE" w14:textId="77777777" w:rsidR="002C1F11" w:rsidRPr="002C1F11" w:rsidRDefault="002C1F11" w:rsidP="00C24205">
      <w:pPr>
        <w:pStyle w:val="BodyText"/>
        <w:jc w:val="both"/>
        <w:rPr>
          <w:rFonts w:eastAsia="Arial Unicode MS"/>
          <w:b/>
          <w:bCs/>
          <w:color w:val="000000"/>
          <w:bdr w:val="nil"/>
          <w:lang w:val="mk-MK"/>
        </w:rPr>
      </w:pPr>
      <w:r w:rsidRPr="002C1F11">
        <w:rPr>
          <w:rFonts w:eastAsia="Arial Unicode MS"/>
          <w:b/>
          <w:bCs/>
          <w:color w:val="000000"/>
          <w:bdr w:val="nil"/>
          <w:lang w:val="mk-MK"/>
        </w:rPr>
        <w:t xml:space="preserve">Методолошка белешка </w:t>
      </w:r>
    </w:p>
    <w:p w14:paraId="04F94758" w14:textId="29E0F8B1" w:rsidR="002C1F11" w:rsidRDefault="002C1F11" w:rsidP="00C24205">
      <w:pPr>
        <w:pStyle w:val="BodyText"/>
        <w:jc w:val="both"/>
        <w:rPr>
          <w:rFonts w:eastAsia="Arial Unicode MS"/>
          <w:color w:val="000000"/>
          <w:bdr w:val="nil"/>
          <w:lang w:val="mk-MK"/>
        </w:rPr>
      </w:pPr>
      <w:r w:rsidRPr="002C1F11">
        <w:rPr>
          <w:rFonts w:eastAsia="Arial Unicode MS"/>
          <w:color w:val="000000"/>
          <w:bdr w:val="nil"/>
          <w:lang w:val="mk-MK"/>
        </w:rPr>
        <w:t xml:space="preserve">Овој прашалник е конципиран како дел од компаративен истражувачки дизајн насочен кон испитување на перцепциите, очекувањата и подготвеноста на вработените за воведување модели на учество во корпоративното управување во Македонија. Инструментот е структурно и содржински усогласен со паралелниот прашалник наменет за </w:t>
      </w:r>
      <w:r w:rsidR="00F2354B">
        <w:rPr>
          <w:rFonts w:eastAsia="Arial Unicode MS"/>
          <w:color w:val="000000"/>
          <w:bdr w:val="nil"/>
          <w:lang w:val="mk-MK"/>
        </w:rPr>
        <w:t>трговски друштва</w:t>
      </w:r>
      <w:r w:rsidRPr="002C1F11">
        <w:rPr>
          <w:rFonts w:eastAsia="Arial Unicode MS"/>
          <w:color w:val="000000"/>
          <w:bdr w:val="nil"/>
          <w:lang w:val="mk-MK"/>
        </w:rPr>
        <w:t xml:space="preserve">, со цел да се овозможи систематска анализа на конвергенциите и дивергенциите помеѓу двете групи </w:t>
      </w:r>
      <w:r w:rsidR="001E6FC9">
        <w:rPr>
          <w:rFonts w:eastAsia="Arial Unicode MS"/>
          <w:color w:val="000000"/>
          <w:bdr w:val="nil"/>
          <w:lang w:val="mk-MK"/>
        </w:rPr>
        <w:t xml:space="preserve">на </w:t>
      </w:r>
      <w:r w:rsidRPr="002C1F11">
        <w:rPr>
          <w:rFonts w:eastAsia="Arial Unicode MS"/>
          <w:color w:val="000000"/>
          <w:bdr w:val="nil"/>
          <w:lang w:val="mk-MK"/>
        </w:rPr>
        <w:t>актери.</w:t>
      </w:r>
    </w:p>
    <w:p w14:paraId="39D35F4C" w14:textId="77777777" w:rsidR="002C1F11" w:rsidRDefault="002C1F11" w:rsidP="00C24205">
      <w:pPr>
        <w:pStyle w:val="BodyText"/>
        <w:jc w:val="both"/>
        <w:rPr>
          <w:rFonts w:eastAsia="Arial Unicode MS"/>
          <w:color w:val="000000"/>
          <w:bdr w:val="nil"/>
          <w:lang w:val="mk-MK"/>
        </w:rPr>
      </w:pPr>
    </w:p>
    <w:p w14:paraId="2A122950" w14:textId="26B99D46" w:rsidR="002C1F11" w:rsidRDefault="002C1F11" w:rsidP="00C24205">
      <w:pPr>
        <w:pStyle w:val="BodyText"/>
        <w:jc w:val="both"/>
        <w:rPr>
          <w:rFonts w:eastAsia="Arial Unicode MS"/>
          <w:color w:val="000000"/>
          <w:bdr w:val="nil"/>
          <w:lang w:val="en-US"/>
        </w:rPr>
      </w:pPr>
      <w:r w:rsidRPr="002C1F11">
        <w:rPr>
          <w:rFonts w:eastAsia="Arial Unicode MS"/>
          <w:color w:val="000000"/>
          <w:bdr w:val="nil"/>
          <w:lang w:val="mk-MK"/>
        </w:rPr>
        <w:t>Прашалникот комбинира затворени прашања со претходно дефинирани категории и ограничен број отворени прашања, што овозможува примена на мешан методолошки пристап. Квантитативниот дел овозможува мерење на нивоата на свесност, перцепирана релевантност, проценка на придобивки и ризици, како и степенот на поддршка за различни инструменти на учество. Квалитативниот дел, преку отворените прашања, обезбедува подлабок увид во аргументацијата, контекстуалните фактори и специфичните услови под кои вработените би поддржале вакви реформи.</w:t>
      </w:r>
    </w:p>
    <w:p w14:paraId="55BC57C5" w14:textId="77777777" w:rsidR="005771E8" w:rsidRDefault="005771E8" w:rsidP="00C24205">
      <w:pPr>
        <w:pStyle w:val="BodyText"/>
        <w:jc w:val="both"/>
        <w:rPr>
          <w:rFonts w:eastAsia="Arial Unicode MS"/>
          <w:color w:val="000000"/>
          <w:bdr w:val="nil"/>
          <w:lang w:val="en-US"/>
        </w:rPr>
      </w:pPr>
    </w:p>
    <w:p w14:paraId="0D9BAC95" w14:textId="114FEAF8" w:rsidR="005771E8" w:rsidRDefault="005771E8" w:rsidP="00C24205">
      <w:pPr>
        <w:pStyle w:val="BodyText"/>
        <w:jc w:val="both"/>
        <w:rPr>
          <w:rFonts w:eastAsia="Arial Unicode MS"/>
          <w:color w:val="000000"/>
          <w:bdr w:val="nil"/>
          <w:lang w:val="mk-MK"/>
        </w:rPr>
      </w:pPr>
      <w:r w:rsidRPr="005771E8">
        <w:rPr>
          <w:rFonts w:eastAsia="Arial Unicode MS"/>
          <w:color w:val="000000"/>
          <w:bdr w:val="nil"/>
          <w:lang w:val="mk-MK"/>
        </w:rPr>
        <w:t>Посебна вредност на инструментот претставува неговата дизајнирана „вкрстена“ логика, која овозможува споредбена анализа со одговорите на работодавачите, особено во однос на: (1) нивото на информираност и разбирање на моделите, (2) проценката на релевантност и применливост, (3) перцепираните придобивки и ризици, (4) интересот за сопственост на акции и (5) поддршката за застапеност во органите на управување. На тој начин, инструментот овозможува идентификација на потенцијални перцепциски јазови и институционални бариери за имплементација.</w:t>
      </w:r>
    </w:p>
    <w:p w14:paraId="4FD816A1" w14:textId="77777777" w:rsidR="00C24205" w:rsidRDefault="00C24205" w:rsidP="00C24205">
      <w:pPr>
        <w:pStyle w:val="BodyText"/>
        <w:jc w:val="both"/>
        <w:rPr>
          <w:rFonts w:eastAsia="Arial Unicode MS"/>
          <w:color w:val="000000"/>
          <w:bdr w:val="nil"/>
          <w:lang w:val="mk-MK"/>
        </w:rPr>
      </w:pPr>
    </w:p>
    <w:p w14:paraId="1712C59F" w14:textId="22DDE9CD" w:rsidR="00C24205" w:rsidRDefault="00C24205" w:rsidP="00C24205">
      <w:pPr>
        <w:pStyle w:val="BodyText"/>
        <w:jc w:val="both"/>
        <w:rPr>
          <w:rFonts w:eastAsia="Arial Unicode MS"/>
          <w:b/>
          <w:bCs/>
          <w:color w:val="000000"/>
          <w:bdr w:val="nil"/>
          <w:lang w:val="mk-MK"/>
        </w:rPr>
      </w:pPr>
      <w:r w:rsidRPr="00C24205">
        <w:rPr>
          <w:rFonts w:eastAsia="Arial Unicode MS"/>
          <w:b/>
          <w:bCs/>
          <w:color w:val="000000"/>
          <w:bdr w:val="nil"/>
          <w:lang w:val="mk-MK"/>
        </w:rPr>
        <w:t>Напомена</w:t>
      </w:r>
    </w:p>
    <w:p w14:paraId="0CE84145" w14:textId="7B5A7F00" w:rsidR="00C24205" w:rsidRDefault="008A6A6F" w:rsidP="00C24205">
      <w:pPr>
        <w:pStyle w:val="BodyText"/>
        <w:jc w:val="both"/>
        <w:rPr>
          <w:rFonts w:eastAsia="Arial Unicode MS"/>
          <w:color w:val="000000"/>
          <w:bdr w:val="nil"/>
          <w:lang w:val="mk-MK"/>
        </w:rPr>
      </w:pPr>
      <w:r w:rsidRPr="008A6A6F">
        <w:rPr>
          <w:rFonts w:eastAsia="Arial Unicode MS"/>
          <w:color w:val="000000"/>
          <w:bdr w:val="nil"/>
          <w:lang w:val="mk-MK"/>
        </w:rPr>
        <w:t>Резултатите добиени од овој прашалник треба да се толкуваат во светло на неколку ограничувања. Прво, податоците се базираат на само-перцепција на испитаниците, што може да доведе до одредено ниво на субјективност, особено во однос на проценката на ефективноста на постојните механизми и довербата во институциите. Второ, нивото на информираност за комплексни модели како што се ESOP или кодетерминација може да варира значително помеѓу испитаниците, што може да влијае врз квалитетот и конзистентноста на одговорите.</w:t>
      </w:r>
    </w:p>
    <w:p w14:paraId="59563005" w14:textId="77777777" w:rsidR="008A6A6F" w:rsidRDefault="008A6A6F" w:rsidP="00C24205">
      <w:pPr>
        <w:pStyle w:val="BodyText"/>
        <w:jc w:val="both"/>
        <w:rPr>
          <w:rFonts w:eastAsia="Arial Unicode MS"/>
          <w:color w:val="000000"/>
          <w:bdr w:val="nil"/>
          <w:lang w:val="mk-MK"/>
        </w:rPr>
      </w:pPr>
    </w:p>
    <w:p w14:paraId="0C07A244" w14:textId="795E540A" w:rsidR="008A6A6F" w:rsidRDefault="008A6A6F" w:rsidP="00C24205">
      <w:pPr>
        <w:pStyle w:val="BodyText"/>
        <w:jc w:val="both"/>
        <w:rPr>
          <w:rFonts w:eastAsia="Arial Unicode MS"/>
          <w:color w:val="000000"/>
          <w:bdr w:val="nil"/>
          <w:lang w:val="mk-MK"/>
        </w:rPr>
      </w:pPr>
      <w:r w:rsidRPr="008A6A6F">
        <w:rPr>
          <w:rFonts w:eastAsia="Arial Unicode MS"/>
          <w:color w:val="000000"/>
          <w:bdr w:val="nil"/>
          <w:lang w:val="mk-MK"/>
        </w:rPr>
        <w:t>Дополнително, постои ризик од ограничена репрезентативност, особено доколку примерокот е концентриран во одредени сектори или типови на компании. Во таа насока, резултатите треба да се интерпретираат како индикативни трендови, а не како целосно генерализирачки заклучоци за целокупниот пазар на труд во Македонија.</w:t>
      </w:r>
    </w:p>
    <w:p w14:paraId="2DE102A3" w14:textId="77777777" w:rsidR="006E1F14" w:rsidRDefault="006E1F14" w:rsidP="00C24205">
      <w:pPr>
        <w:pStyle w:val="BodyText"/>
        <w:jc w:val="both"/>
        <w:rPr>
          <w:rFonts w:eastAsia="Arial Unicode MS"/>
          <w:color w:val="000000"/>
          <w:bdr w:val="nil"/>
          <w:lang w:val="mk-MK"/>
        </w:rPr>
      </w:pPr>
    </w:p>
    <w:p w14:paraId="7B64460E" w14:textId="10326090" w:rsidR="00C24205" w:rsidRPr="00EE7556" w:rsidRDefault="006E1F14" w:rsidP="00C24205">
      <w:pPr>
        <w:pStyle w:val="BodyText"/>
        <w:jc w:val="both"/>
        <w:rPr>
          <w:rFonts w:eastAsia="Arial Unicode MS"/>
          <w:color w:val="000000"/>
          <w:bdr w:val="nil"/>
          <w:lang w:val="mk-MK"/>
        </w:rPr>
      </w:pPr>
      <w:r w:rsidRPr="006E1F14">
        <w:rPr>
          <w:rFonts w:eastAsia="Arial Unicode MS"/>
          <w:color w:val="000000"/>
          <w:bdr w:val="nil"/>
          <w:lang w:val="mk-MK"/>
        </w:rPr>
        <w:t xml:space="preserve">Конечно, при споредбата со одговорите од прашалникот за </w:t>
      </w:r>
      <w:r>
        <w:rPr>
          <w:rFonts w:eastAsia="Arial Unicode MS"/>
          <w:color w:val="000000"/>
          <w:bdr w:val="nil"/>
          <w:lang w:val="mk-MK"/>
        </w:rPr>
        <w:t>трговски друштва</w:t>
      </w:r>
      <w:r w:rsidRPr="006E1F14">
        <w:rPr>
          <w:rFonts w:eastAsia="Arial Unicode MS"/>
          <w:color w:val="000000"/>
          <w:bdr w:val="nil"/>
          <w:lang w:val="mk-MK"/>
        </w:rPr>
        <w:t>, потребно е да се има предвид дека двете групи оперираат од различни позици</w:t>
      </w:r>
      <w:r w:rsidR="00DB7926">
        <w:rPr>
          <w:rFonts w:eastAsia="Arial Unicode MS"/>
          <w:color w:val="000000"/>
          <w:bdr w:val="nil"/>
          <w:lang w:val="mk-MK"/>
        </w:rPr>
        <w:t>и</w:t>
      </w:r>
      <w:r w:rsidRPr="006E1F14">
        <w:rPr>
          <w:rFonts w:eastAsia="Arial Unicode MS"/>
          <w:color w:val="000000"/>
          <w:bdr w:val="nil"/>
          <w:lang w:val="mk-MK"/>
        </w:rPr>
        <w:t xml:space="preserve"> и интересни рамки, што може да влијае врз нивните перцепции за истите прашања.</w:t>
      </w:r>
    </w:p>
    <w:p w14:paraId="076486A8" w14:textId="2F6EC2B0" w:rsidR="00263DD8" w:rsidRPr="00C24205" w:rsidRDefault="00C24205" w:rsidP="005C1B16">
      <w:pPr>
        <w:pStyle w:val="BodyText"/>
        <w:jc w:val="both"/>
        <w:rPr>
          <w:rFonts w:eastAsia="Arial Unicode MS"/>
          <w:b/>
          <w:bCs/>
          <w:color w:val="000000"/>
          <w:bdr w:val="nil"/>
          <w:lang w:val="mk-MK"/>
        </w:rPr>
      </w:pPr>
      <w:r w:rsidRPr="00C24205">
        <w:rPr>
          <w:rFonts w:eastAsia="Arial Unicode MS"/>
          <w:b/>
          <w:bCs/>
          <w:color w:val="000000"/>
          <w:bdr w:val="nil"/>
          <w:lang w:val="mk-MK"/>
        </w:rPr>
        <w:lastRenderedPageBreak/>
        <w:t>Синтетички заклучок</w:t>
      </w:r>
    </w:p>
    <w:p w14:paraId="168CD8FB" w14:textId="77777777" w:rsidR="00DA0366" w:rsidRDefault="005C1B16" w:rsidP="005C1B16">
      <w:pPr>
        <w:pStyle w:val="BodyText"/>
        <w:jc w:val="both"/>
        <w:rPr>
          <w:rFonts w:eastAsia="Arial Unicode MS"/>
          <w:color w:val="000000"/>
          <w:bdr w:val="nil"/>
          <w:lang w:val="mk-MK"/>
        </w:rPr>
      </w:pPr>
      <w:r w:rsidRPr="005C1B16">
        <w:rPr>
          <w:rFonts w:eastAsia="Arial Unicode MS"/>
          <w:color w:val="000000"/>
          <w:bdr w:val="nil"/>
          <w:lang w:val="mk-MK"/>
        </w:rPr>
        <w:t xml:space="preserve">Прашалникот за вработени овозможува систематско мапирање на ставовите, очекувањата и резервите на една од клучните групи актери во процесот на реформа на корпоративното управување. Неговата аналитичка вредност доаѓа до израз во комбинација со паралелниот инструмент за </w:t>
      </w:r>
      <w:r>
        <w:rPr>
          <w:rFonts w:eastAsia="Arial Unicode MS"/>
          <w:color w:val="000000"/>
          <w:bdr w:val="nil"/>
          <w:lang w:val="mk-MK"/>
        </w:rPr>
        <w:t>трговски друштва</w:t>
      </w:r>
      <w:r w:rsidRPr="005C1B16">
        <w:rPr>
          <w:rFonts w:eastAsia="Arial Unicode MS"/>
          <w:color w:val="000000"/>
          <w:bdr w:val="nil"/>
          <w:lang w:val="mk-MK"/>
        </w:rPr>
        <w:t xml:space="preserve">, преку што се создава основа за идентификација на структурни неусогласености помеѓу понудата и побарувачката за модели на учество. </w:t>
      </w:r>
    </w:p>
    <w:p w14:paraId="4F296CBC" w14:textId="77777777" w:rsidR="00DA0366" w:rsidRDefault="00DA0366" w:rsidP="005C1B16">
      <w:pPr>
        <w:pStyle w:val="BodyText"/>
        <w:jc w:val="both"/>
        <w:rPr>
          <w:rFonts w:eastAsia="Arial Unicode MS"/>
          <w:color w:val="000000"/>
          <w:bdr w:val="nil"/>
          <w:lang w:val="mk-MK"/>
        </w:rPr>
      </w:pPr>
    </w:p>
    <w:p w14:paraId="47B86A6B" w14:textId="77777777" w:rsidR="00DA0366" w:rsidRDefault="005C1B16" w:rsidP="005C1B16">
      <w:pPr>
        <w:pStyle w:val="BodyText"/>
        <w:jc w:val="both"/>
        <w:rPr>
          <w:rFonts w:eastAsia="Arial Unicode MS"/>
          <w:color w:val="000000"/>
          <w:bdr w:val="nil"/>
          <w:lang w:val="mk-MK"/>
        </w:rPr>
      </w:pPr>
      <w:r w:rsidRPr="005C1B16">
        <w:rPr>
          <w:rFonts w:eastAsia="Arial Unicode MS"/>
          <w:color w:val="000000"/>
          <w:bdr w:val="nil"/>
          <w:lang w:val="mk-MK"/>
        </w:rPr>
        <w:t>Очекувано, резултатите ќе укажат на тоа дека вработените генерално покажуваат повисоко ниво на отвореност кон модели кои обезбедуваат економска корист и засилен глас во одлучувањето, но истовремено изразуваат резерви поврзани со довербата, правната сигурност и реалната изводливост. Токму овие амбивалентни позиции се клучни за разбирање на ограничувањата на постојниот институционален контекст.</w:t>
      </w:r>
      <w:r w:rsidR="00DA0366">
        <w:rPr>
          <w:rFonts w:eastAsia="Arial Unicode MS"/>
          <w:color w:val="000000"/>
          <w:bdr w:val="nil"/>
          <w:lang w:val="mk-MK"/>
        </w:rPr>
        <w:t xml:space="preserve"> </w:t>
      </w:r>
      <w:r w:rsidR="00DA0366" w:rsidRPr="00DA0366">
        <w:rPr>
          <w:rFonts w:eastAsia="Arial Unicode MS"/>
          <w:color w:val="000000"/>
          <w:bdr w:val="nil"/>
          <w:lang w:val="mk-MK"/>
        </w:rPr>
        <w:t xml:space="preserve">Во тој поглед, инструментот не служи само како дескриптивна алатка, туку и како аналитичка основа за формулирање на препораки за постепена и контекстуално чувствителна реформа. </w:t>
      </w:r>
    </w:p>
    <w:p w14:paraId="4AC3A5D7" w14:textId="77777777" w:rsidR="00DA0366" w:rsidRDefault="00DA0366" w:rsidP="005C1B16">
      <w:pPr>
        <w:pStyle w:val="BodyText"/>
        <w:jc w:val="both"/>
        <w:rPr>
          <w:rFonts w:eastAsia="Arial Unicode MS"/>
          <w:color w:val="000000"/>
          <w:bdr w:val="nil"/>
          <w:lang w:val="mk-MK"/>
        </w:rPr>
      </w:pPr>
    </w:p>
    <w:p w14:paraId="3552DA28" w14:textId="71353C7E" w:rsidR="00987B23" w:rsidRDefault="00DA0366" w:rsidP="005C1B16">
      <w:pPr>
        <w:pStyle w:val="BodyText"/>
        <w:jc w:val="both"/>
        <w:rPr>
          <w:rFonts w:eastAsia="Arial Unicode MS"/>
          <w:color w:val="000000"/>
          <w:bdr w:val="nil"/>
          <w:lang w:val="mk-MK"/>
        </w:rPr>
      </w:pPr>
      <w:r w:rsidRPr="00DA0366">
        <w:rPr>
          <w:rFonts w:eastAsia="Arial Unicode MS"/>
          <w:color w:val="000000"/>
          <w:bdr w:val="nil"/>
          <w:lang w:val="mk-MK"/>
        </w:rPr>
        <w:t xml:space="preserve">Идентификуваните перцепциски јазови помеѓу вработените и работодавачите укажуваат дека успешната имплементација на модели на учество ќе зависи од дизајнирање на правни и институционални решенија кои истовремено адресираат прашања на доверба, јасност на правилата и распределба на контролата. Оттука, прашалникот придонесува кон пошироката аргументација дека корпоративното управување станува огледало на институционалната зрелост, а воведувањето на модели на учество на вработените претставува економска, </w:t>
      </w:r>
      <w:r w:rsidR="005171F9">
        <w:rPr>
          <w:rFonts w:eastAsia="Arial Unicode MS"/>
          <w:color w:val="000000"/>
          <w:bdr w:val="nil"/>
          <w:lang w:val="mk-MK"/>
        </w:rPr>
        <w:t xml:space="preserve">но </w:t>
      </w:r>
      <w:r w:rsidRPr="00DA0366">
        <w:rPr>
          <w:rFonts w:eastAsia="Arial Unicode MS"/>
          <w:color w:val="000000"/>
          <w:bdr w:val="nil"/>
          <w:lang w:val="mk-MK"/>
        </w:rPr>
        <w:t>и демократска реформа.</w:t>
      </w:r>
    </w:p>
    <w:p w14:paraId="1C92F812" w14:textId="77777777" w:rsidR="0044582E" w:rsidRDefault="0044582E" w:rsidP="005C1B16">
      <w:pPr>
        <w:pStyle w:val="BodyText"/>
        <w:jc w:val="both"/>
        <w:rPr>
          <w:rFonts w:eastAsia="Arial Unicode MS"/>
          <w:color w:val="000000"/>
          <w:bdr w:val="nil"/>
          <w:lang w:val="mk-MK"/>
        </w:rPr>
      </w:pPr>
    </w:p>
    <w:p w14:paraId="6AC8CC7B" w14:textId="77777777" w:rsidR="00DA0366" w:rsidRDefault="00DA0366" w:rsidP="005C1B16">
      <w:pPr>
        <w:pStyle w:val="BodyText"/>
        <w:jc w:val="both"/>
        <w:rPr>
          <w:rFonts w:eastAsia="Arial Unicode MS"/>
          <w:color w:val="000000"/>
          <w:bdr w:val="nil"/>
          <w:lang w:val="mk-MK"/>
        </w:rPr>
      </w:pPr>
    </w:p>
    <w:p w14:paraId="66CDDF44" w14:textId="77777777" w:rsidR="00DA0366" w:rsidRDefault="00DA0366" w:rsidP="005C1B16">
      <w:pPr>
        <w:pStyle w:val="BodyText"/>
        <w:jc w:val="both"/>
        <w:rPr>
          <w:rFonts w:eastAsia="Arial Unicode MS"/>
          <w:color w:val="000000"/>
          <w:bdr w:val="nil"/>
          <w:lang w:val="mk-MK"/>
        </w:rPr>
      </w:pPr>
    </w:p>
    <w:p w14:paraId="77C716B0" w14:textId="77777777" w:rsidR="00DA0366" w:rsidRDefault="00DA0366" w:rsidP="005C1B16">
      <w:pPr>
        <w:pStyle w:val="BodyText"/>
        <w:jc w:val="both"/>
        <w:rPr>
          <w:rFonts w:eastAsia="Arial Unicode MS"/>
          <w:color w:val="000000"/>
          <w:bdr w:val="nil"/>
          <w:lang w:val="mk-MK"/>
        </w:rPr>
      </w:pPr>
    </w:p>
    <w:p w14:paraId="3D883DDC" w14:textId="77777777" w:rsidR="00DA0366" w:rsidRDefault="00DA0366" w:rsidP="005C1B16">
      <w:pPr>
        <w:pStyle w:val="BodyText"/>
        <w:jc w:val="both"/>
        <w:rPr>
          <w:rFonts w:eastAsia="Arial Unicode MS"/>
          <w:color w:val="000000"/>
          <w:bdr w:val="nil"/>
          <w:lang w:val="mk-MK"/>
        </w:rPr>
      </w:pPr>
    </w:p>
    <w:p w14:paraId="2EF2C6BB" w14:textId="77777777" w:rsidR="00DA0366" w:rsidRDefault="00DA0366" w:rsidP="005C1B16">
      <w:pPr>
        <w:pStyle w:val="BodyText"/>
        <w:jc w:val="both"/>
        <w:rPr>
          <w:rFonts w:eastAsia="Arial Unicode MS"/>
          <w:color w:val="000000"/>
          <w:bdr w:val="nil"/>
          <w:lang w:val="mk-MK"/>
        </w:rPr>
      </w:pPr>
    </w:p>
    <w:p w14:paraId="59E3B964" w14:textId="77777777" w:rsidR="00DA0366" w:rsidRDefault="00DA0366" w:rsidP="005C1B16">
      <w:pPr>
        <w:pStyle w:val="BodyText"/>
        <w:jc w:val="both"/>
        <w:rPr>
          <w:rFonts w:eastAsia="Arial Unicode MS"/>
          <w:color w:val="000000"/>
          <w:bdr w:val="nil"/>
          <w:lang w:val="mk-MK"/>
        </w:rPr>
      </w:pPr>
    </w:p>
    <w:p w14:paraId="4FABA9EC" w14:textId="77777777" w:rsidR="00DA0366" w:rsidRDefault="00DA0366" w:rsidP="005C1B16">
      <w:pPr>
        <w:pStyle w:val="BodyText"/>
        <w:jc w:val="both"/>
        <w:rPr>
          <w:rFonts w:eastAsia="Arial Unicode MS"/>
          <w:color w:val="000000"/>
          <w:bdr w:val="nil"/>
          <w:lang w:val="mk-MK"/>
        </w:rPr>
      </w:pPr>
    </w:p>
    <w:p w14:paraId="063D8F7B" w14:textId="77777777" w:rsidR="00DA0366" w:rsidRDefault="00DA0366" w:rsidP="005C1B16">
      <w:pPr>
        <w:pStyle w:val="BodyText"/>
        <w:jc w:val="both"/>
        <w:rPr>
          <w:rFonts w:eastAsia="Arial Unicode MS"/>
          <w:color w:val="000000"/>
          <w:bdr w:val="nil"/>
          <w:lang w:val="mk-MK"/>
        </w:rPr>
      </w:pPr>
    </w:p>
    <w:p w14:paraId="1E9E7456" w14:textId="77777777" w:rsidR="00DA0366" w:rsidRDefault="00DA0366" w:rsidP="005C1B16">
      <w:pPr>
        <w:pStyle w:val="BodyText"/>
        <w:jc w:val="both"/>
        <w:rPr>
          <w:rFonts w:eastAsia="Arial Unicode MS"/>
          <w:color w:val="000000"/>
          <w:bdr w:val="nil"/>
          <w:lang w:val="mk-MK"/>
        </w:rPr>
      </w:pPr>
    </w:p>
    <w:p w14:paraId="53829979" w14:textId="77777777" w:rsidR="00DA0366" w:rsidRDefault="00DA0366" w:rsidP="005C1B16">
      <w:pPr>
        <w:pStyle w:val="BodyText"/>
        <w:jc w:val="both"/>
        <w:rPr>
          <w:rFonts w:eastAsia="Arial Unicode MS"/>
          <w:color w:val="000000"/>
          <w:bdr w:val="nil"/>
          <w:lang w:val="mk-MK"/>
        </w:rPr>
      </w:pPr>
    </w:p>
    <w:p w14:paraId="32C32D0F" w14:textId="77777777" w:rsidR="00DA0366" w:rsidRDefault="00DA0366" w:rsidP="005C1B16">
      <w:pPr>
        <w:pStyle w:val="BodyText"/>
        <w:jc w:val="both"/>
        <w:rPr>
          <w:rFonts w:eastAsia="Arial Unicode MS"/>
          <w:color w:val="000000"/>
          <w:bdr w:val="nil"/>
          <w:lang w:val="mk-MK"/>
        </w:rPr>
      </w:pPr>
    </w:p>
    <w:p w14:paraId="3051BA21" w14:textId="77777777" w:rsidR="00DA0366" w:rsidRDefault="00DA0366" w:rsidP="005C1B16">
      <w:pPr>
        <w:pStyle w:val="BodyText"/>
        <w:jc w:val="both"/>
        <w:rPr>
          <w:rFonts w:eastAsia="Arial Unicode MS"/>
          <w:color w:val="000000"/>
          <w:bdr w:val="nil"/>
          <w:lang w:val="mk-MK"/>
        </w:rPr>
      </w:pPr>
    </w:p>
    <w:p w14:paraId="20736900" w14:textId="77777777" w:rsidR="00DA0366" w:rsidRDefault="00DA0366" w:rsidP="005C1B16">
      <w:pPr>
        <w:pStyle w:val="BodyText"/>
        <w:jc w:val="both"/>
        <w:rPr>
          <w:rFonts w:eastAsia="Arial Unicode MS"/>
          <w:color w:val="000000"/>
          <w:bdr w:val="nil"/>
          <w:lang w:val="mk-MK"/>
        </w:rPr>
      </w:pPr>
    </w:p>
    <w:p w14:paraId="5B982224" w14:textId="77777777" w:rsidR="00DA0366" w:rsidRDefault="00DA0366" w:rsidP="005C1B16">
      <w:pPr>
        <w:pStyle w:val="BodyText"/>
        <w:jc w:val="both"/>
        <w:rPr>
          <w:rFonts w:eastAsia="Arial Unicode MS"/>
          <w:color w:val="000000"/>
          <w:bdr w:val="nil"/>
          <w:lang w:val="mk-MK"/>
        </w:rPr>
      </w:pPr>
    </w:p>
    <w:p w14:paraId="40F5B102" w14:textId="77777777" w:rsidR="00DA0366" w:rsidRDefault="00DA0366" w:rsidP="005C1B16">
      <w:pPr>
        <w:pStyle w:val="BodyText"/>
        <w:jc w:val="both"/>
        <w:rPr>
          <w:rFonts w:eastAsia="Arial Unicode MS"/>
          <w:color w:val="000000"/>
          <w:bdr w:val="nil"/>
          <w:lang w:val="mk-MK"/>
        </w:rPr>
      </w:pPr>
    </w:p>
    <w:p w14:paraId="543F6913" w14:textId="77777777" w:rsidR="00DA0366" w:rsidRDefault="00DA0366" w:rsidP="005C1B16">
      <w:pPr>
        <w:pStyle w:val="BodyText"/>
        <w:jc w:val="both"/>
        <w:rPr>
          <w:rFonts w:eastAsia="Arial Unicode MS"/>
          <w:color w:val="000000"/>
          <w:bdr w:val="nil"/>
          <w:lang w:val="mk-MK"/>
        </w:rPr>
      </w:pPr>
    </w:p>
    <w:p w14:paraId="11CB235F" w14:textId="77777777" w:rsidR="00DA0366" w:rsidRDefault="00DA0366" w:rsidP="005C1B16">
      <w:pPr>
        <w:pStyle w:val="BodyText"/>
        <w:jc w:val="both"/>
        <w:rPr>
          <w:rFonts w:eastAsia="Arial Unicode MS"/>
          <w:color w:val="000000"/>
          <w:bdr w:val="nil"/>
          <w:lang w:val="mk-MK"/>
        </w:rPr>
      </w:pPr>
    </w:p>
    <w:p w14:paraId="021B85F7" w14:textId="77777777" w:rsidR="00DA0366" w:rsidRDefault="00DA0366" w:rsidP="005C1B16">
      <w:pPr>
        <w:pStyle w:val="BodyText"/>
        <w:jc w:val="both"/>
        <w:rPr>
          <w:rFonts w:eastAsia="Arial Unicode MS"/>
          <w:color w:val="000000"/>
          <w:bdr w:val="nil"/>
          <w:lang w:val="mk-MK"/>
        </w:rPr>
      </w:pPr>
    </w:p>
    <w:p w14:paraId="10FDEC39" w14:textId="77777777" w:rsidR="00DA0366" w:rsidRDefault="00DA0366" w:rsidP="005C1B16">
      <w:pPr>
        <w:pStyle w:val="BodyText"/>
        <w:jc w:val="both"/>
        <w:rPr>
          <w:rFonts w:eastAsia="Arial Unicode MS"/>
          <w:color w:val="000000"/>
          <w:bdr w:val="nil"/>
          <w:lang w:val="mk-MK"/>
        </w:rPr>
      </w:pPr>
    </w:p>
    <w:p w14:paraId="7F6B02C6" w14:textId="77777777" w:rsidR="00DA0366" w:rsidRDefault="00DA0366" w:rsidP="005C1B16">
      <w:pPr>
        <w:pStyle w:val="BodyText"/>
        <w:jc w:val="both"/>
        <w:rPr>
          <w:rFonts w:eastAsia="Arial Unicode MS"/>
          <w:color w:val="000000"/>
          <w:bdr w:val="nil"/>
          <w:lang w:val="mk-MK"/>
        </w:rPr>
      </w:pPr>
    </w:p>
    <w:p w14:paraId="558B1B46" w14:textId="77777777" w:rsidR="00DA0366" w:rsidRDefault="00DA0366" w:rsidP="005C1B16">
      <w:pPr>
        <w:pStyle w:val="BodyText"/>
        <w:jc w:val="both"/>
        <w:rPr>
          <w:rFonts w:eastAsia="Arial Unicode MS"/>
          <w:color w:val="000000"/>
          <w:bdr w:val="nil"/>
          <w:lang w:val="mk-MK"/>
        </w:rPr>
      </w:pPr>
    </w:p>
    <w:p w14:paraId="6DDEFD00" w14:textId="77777777" w:rsidR="00DA0366" w:rsidRDefault="00DA0366" w:rsidP="005C1B16">
      <w:pPr>
        <w:pStyle w:val="BodyText"/>
        <w:jc w:val="both"/>
        <w:rPr>
          <w:rFonts w:eastAsia="Arial Unicode MS"/>
          <w:color w:val="000000"/>
          <w:bdr w:val="nil"/>
          <w:lang w:val="mk-MK"/>
        </w:rPr>
      </w:pPr>
    </w:p>
    <w:p w14:paraId="7CFBC0BC" w14:textId="77777777" w:rsidR="005171F9" w:rsidRPr="000E3A7D" w:rsidRDefault="005171F9" w:rsidP="005171F9">
      <w:pPr>
        <w:pStyle w:val="BodyText"/>
        <w:spacing w:before="240" w:after="240" w:line="360" w:lineRule="auto"/>
        <w:jc w:val="both"/>
        <w:rPr>
          <w:rFonts w:eastAsia="Arial Unicode MS"/>
          <w:color w:val="000000"/>
          <w:bdr w:val="nil"/>
          <w:lang w:val="mk-MK"/>
        </w:rPr>
      </w:pPr>
    </w:p>
    <w:p w14:paraId="611DD831" w14:textId="7CA4D8A3" w:rsidR="005171F9" w:rsidRDefault="005171F9" w:rsidP="005171F9">
      <w:pPr>
        <w:pStyle w:val="Heading1"/>
        <w:spacing w:after="240"/>
        <w:jc w:val="both"/>
        <w:rPr>
          <w:lang w:val="mk-MK"/>
        </w:rPr>
      </w:pPr>
      <w:bookmarkStart w:id="148" w:name="_Toc230524001"/>
      <w:r w:rsidRPr="00F53881">
        <w:rPr>
          <w:lang w:val="mk-MK"/>
        </w:rPr>
        <w:lastRenderedPageBreak/>
        <w:t xml:space="preserve">Прилог </w:t>
      </w:r>
      <w:r>
        <w:rPr>
          <w:lang w:val="mk-MK"/>
        </w:rPr>
        <w:t>10</w:t>
      </w:r>
      <w:r>
        <w:rPr>
          <w:lang w:val="en-US"/>
        </w:rPr>
        <w:t xml:space="preserve">: </w:t>
      </w:r>
      <w:r>
        <w:rPr>
          <w:lang w:val="mk-MK"/>
        </w:rPr>
        <w:t>Користен прашалник за интервјуата со национални и меѓународни експерти</w:t>
      </w:r>
      <w:bookmarkEnd w:id="148"/>
    </w:p>
    <w:p w14:paraId="50FBBF38" w14:textId="77777777" w:rsidR="005171F9" w:rsidRDefault="005171F9" w:rsidP="005171F9">
      <w:pPr>
        <w:pStyle w:val="BodyText"/>
        <w:rPr>
          <w:u w:val="single"/>
          <w:lang w:val="mk-MK"/>
        </w:rPr>
      </w:pPr>
      <w:r w:rsidRPr="001374EA">
        <w:rPr>
          <w:u w:val="single"/>
          <w:lang w:val="mk-MK"/>
        </w:rPr>
        <w:t>Англиска верзија</w:t>
      </w:r>
    </w:p>
    <w:p w14:paraId="612E4970" w14:textId="77777777" w:rsidR="00DA0366" w:rsidRDefault="00DA0366" w:rsidP="005C1B16">
      <w:pPr>
        <w:pStyle w:val="BodyText"/>
        <w:jc w:val="both"/>
        <w:rPr>
          <w:rFonts w:eastAsia="Arial Unicode MS"/>
          <w:color w:val="000000"/>
          <w:bdr w:val="nil"/>
          <w:lang w:val="mk-MK"/>
        </w:rPr>
      </w:pPr>
    </w:p>
    <w:p w14:paraId="149BBFF5"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1: Expert Profile</w:t>
      </w:r>
    </w:p>
    <w:p w14:paraId="361FC517" w14:textId="0FAD90D2" w:rsidR="00D60074" w:rsidRPr="00D60074" w:rsidRDefault="00D60074" w:rsidP="00D60074">
      <w:pPr>
        <w:pStyle w:val="BodyText"/>
        <w:numPr>
          <w:ilvl w:val="0"/>
          <w:numId w:val="52"/>
        </w:numPr>
        <w:jc w:val="both"/>
        <w:rPr>
          <w:rFonts w:eastAsia="Arial Unicode MS"/>
          <w:color w:val="000000"/>
          <w:bdr w:val="nil"/>
          <w:lang w:val="en-US"/>
        </w:rPr>
      </w:pPr>
      <w:r w:rsidRPr="00D60074">
        <w:rPr>
          <w:rFonts w:eastAsia="Arial Unicode MS"/>
          <w:b/>
          <w:bCs/>
          <w:color w:val="000000"/>
          <w:bdr w:val="nil"/>
          <w:lang w:val="en-US"/>
        </w:rPr>
        <w:t>Area of expertise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Corporate governance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Labour law / industrial relations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Company law</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Economics / finance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Public policy / EU integration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7BD8C7D6" w14:textId="2AB891D8" w:rsidR="00D60074" w:rsidRPr="00D60074" w:rsidRDefault="00D60074" w:rsidP="00D60074">
      <w:pPr>
        <w:pStyle w:val="BodyText"/>
        <w:numPr>
          <w:ilvl w:val="0"/>
          <w:numId w:val="52"/>
        </w:numPr>
        <w:jc w:val="both"/>
        <w:rPr>
          <w:rFonts w:eastAsia="Arial Unicode MS"/>
          <w:color w:val="000000"/>
          <w:bdr w:val="nil"/>
          <w:lang w:val="en-US"/>
        </w:rPr>
      </w:pPr>
      <w:r w:rsidRPr="00D60074">
        <w:rPr>
          <w:rFonts w:eastAsia="Arial Unicode MS"/>
          <w:b/>
          <w:bCs/>
          <w:color w:val="000000"/>
          <w:bdr w:val="nil"/>
          <w:lang w:val="en-US"/>
        </w:rPr>
        <w:t>Level of expertise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National expert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International expert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Both </w:t>
      </w:r>
    </w:p>
    <w:p w14:paraId="46775DB2" w14:textId="640A7258" w:rsidR="00D60074" w:rsidRPr="00D60074" w:rsidRDefault="00D60074" w:rsidP="00D60074">
      <w:pPr>
        <w:pStyle w:val="BodyText"/>
        <w:numPr>
          <w:ilvl w:val="0"/>
          <w:numId w:val="52"/>
        </w:numPr>
        <w:jc w:val="both"/>
        <w:rPr>
          <w:rFonts w:eastAsia="Arial Unicode MS"/>
          <w:color w:val="000000"/>
          <w:bdr w:val="nil"/>
          <w:lang w:val="en-US"/>
        </w:rPr>
      </w:pPr>
      <w:r w:rsidRPr="00D60074">
        <w:rPr>
          <w:rFonts w:eastAsia="Arial Unicode MS"/>
          <w:b/>
          <w:bCs/>
          <w:color w:val="000000"/>
          <w:bdr w:val="nil"/>
          <w:lang w:val="en-US"/>
        </w:rPr>
        <w:t>Primary professional background</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Academia</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Legal practice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Policy / government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International organization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Private sector</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6C52405D" w14:textId="1CAF1E5A" w:rsidR="00D60074" w:rsidRPr="00D60074" w:rsidRDefault="00D60074" w:rsidP="00D60074">
      <w:pPr>
        <w:pStyle w:val="BodyText"/>
        <w:numPr>
          <w:ilvl w:val="0"/>
          <w:numId w:val="52"/>
        </w:numPr>
        <w:jc w:val="both"/>
        <w:rPr>
          <w:rFonts w:eastAsia="Arial Unicode MS"/>
          <w:color w:val="000000"/>
          <w:bdr w:val="nil"/>
          <w:lang w:val="en-US"/>
        </w:rPr>
      </w:pPr>
      <w:r w:rsidRPr="00D60074">
        <w:rPr>
          <w:rFonts w:eastAsia="Arial Unicode MS"/>
          <w:b/>
          <w:bCs/>
          <w:color w:val="000000"/>
          <w:bdr w:val="nil"/>
          <w:lang w:val="en-US"/>
        </w:rPr>
        <w:t>Years of experience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0–5 years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5–10 years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10–20 years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20+ years </w:t>
      </w:r>
    </w:p>
    <w:p w14:paraId="2A7C33A9" w14:textId="052C1BB8" w:rsidR="00D60074" w:rsidRPr="00D60074" w:rsidRDefault="00D60074" w:rsidP="00D60074">
      <w:pPr>
        <w:pStyle w:val="BodyText"/>
        <w:jc w:val="both"/>
        <w:rPr>
          <w:rFonts w:eastAsia="Arial Unicode MS"/>
          <w:color w:val="000000"/>
          <w:bdr w:val="nil"/>
          <w:lang w:val="en-US"/>
        </w:rPr>
      </w:pPr>
    </w:p>
    <w:p w14:paraId="79D6A83E"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2: Assessment of Current Context</w:t>
      </w:r>
    </w:p>
    <w:p w14:paraId="3B014829"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Q14–Q15 and Employee Q19)</w:t>
      </w:r>
    </w:p>
    <w:p w14:paraId="3B3A2DA1" w14:textId="32EC22D1" w:rsidR="00D60074" w:rsidRPr="00D60074" w:rsidRDefault="00D60074" w:rsidP="00D60074">
      <w:pPr>
        <w:pStyle w:val="BodyText"/>
        <w:numPr>
          <w:ilvl w:val="0"/>
          <w:numId w:val="53"/>
        </w:numPr>
        <w:jc w:val="both"/>
        <w:rPr>
          <w:rFonts w:eastAsia="Arial Unicode MS"/>
          <w:color w:val="000000"/>
          <w:bdr w:val="nil"/>
          <w:lang w:val="en-US"/>
        </w:rPr>
      </w:pPr>
      <w:r w:rsidRPr="00D60074">
        <w:rPr>
          <w:rFonts w:eastAsia="Arial Unicode MS"/>
          <w:b/>
          <w:bCs/>
          <w:color w:val="000000"/>
          <w:bdr w:val="nil"/>
          <w:lang w:val="en-US"/>
        </w:rPr>
        <w:t>How would you assess the adequacy of the current legal and institutional framework in North Macedonia for employee participation models?</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Completely inadequate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Somewhat inadequate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Neutral</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Adequate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Highly adequate </w:t>
      </w:r>
    </w:p>
    <w:p w14:paraId="41F54012" w14:textId="0DC08D31" w:rsidR="00D60074" w:rsidRPr="00D60074" w:rsidRDefault="00D60074" w:rsidP="00D60074">
      <w:pPr>
        <w:pStyle w:val="BodyText"/>
        <w:numPr>
          <w:ilvl w:val="0"/>
          <w:numId w:val="53"/>
        </w:numPr>
        <w:jc w:val="both"/>
        <w:rPr>
          <w:rFonts w:eastAsia="Arial Unicode MS"/>
          <w:color w:val="000000"/>
          <w:bdr w:val="nil"/>
          <w:lang w:val="en-US"/>
        </w:rPr>
      </w:pPr>
      <w:r w:rsidRPr="00D60074">
        <w:rPr>
          <w:rFonts w:eastAsia="Arial Unicode MS"/>
          <w:b/>
          <w:bCs/>
          <w:color w:val="000000"/>
          <w:bdr w:val="nil"/>
          <w:lang w:val="en-US"/>
        </w:rPr>
        <w:t>What are the main structural constraints? (select up to 3)</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Weak enforcement mechanisms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Lack of legal clarity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Institutional capacity limitations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Political economy constraints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lastRenderedPageBreak/>
        <w:t>☐</w:t>
      </w:r>
      <w:r w:rsidRPr="00D60074">
        <w:rPr>
          <w:rFonts w:eastAsia="Arial Unicode MS"/>
          <w:color w:val="000000"/>
          <w:bdr w:val="nil"/>
          <w:lang w:val="en-US"/>
        </w:rPr>
        <w:t xml:space="preserve"> Low awareness among stakeholders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78A7D06C" w14:textId="280B04EC" w:rsidR="00D60074" w:rsidRPr="00D60074" w:rsidRDefault="00D60074" w:rsidP="00D60074">
      <w:pPr>
        <w:pStyle w:val="BodyText"/>
        <w:numPr>
          <w:ilvl w:val="0"/>
          <w:numId w:val="53"/>
        </w:numPr>
        <w:jc w:val="both"/>
        <w:rPr>
          <w:rFonts w:eastAsia="Arial Unicode MS"/>
          <w:color w:val="000000"/>
          <w:bdr w:val="nil"/>
          <w:lang w:val="en-US"/>
        </w:rPr>
      </w:pPr>
      <w:r w:rsidRPr="00D60074">
        <w:rPr>
          <w:rFonts w:eastAsia="Arial Unicode MS"/>
          <w:b/>
          <w:bCs/>
          <w:color w:val="000000"/>
          <w:bdr w:val="nil"/>
          <w:lang w:val="en-US"/>
        </w:rPr>
        <w:t>How would you assess the current level of employee representation in practice?</w:t>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Very weak</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Weak</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Moderate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Strong </w:t>
      </w:r>
    </w:p>
    <w:p w14:paraId="58F3AFED" w14:textId="49C8958B" w:rsidR="00D60074" w:rsidRPr="00D60074" w:rsidRDefault="00D60074" w:rsidP="00D60074">
      <w:pPr>
        <w:pStyle w:val="BodyText"/>
        <w:jc w:val="both"/>
        <w:rPr>
          <w:rFonts w:eastAsia="Arial Unicode MS"/>
          <w:color w:val="000000"/>
          <w:bdr w:val="nil"/>
          <w:lang w:val="en-US"/>
        </w:rPr>
      </w:pPr>
    </w:p>
    <w:p w14:paraId="17B0F822"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3: Relevance and Policy Justification</w:t>
      </w:r>
    </w:p>
    <w:p w14:paraId="7B2BEC71"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Q6 and Employee Q8)</w:t>
      </w:r>
    </w:p>
    <w:p w14:paraId="5F1A9ED0" w14:textId="0159303B" w:rsidR="00D60074" w:rsidRPr="00D60074" w:rsidRDefault="00D60074" w:rsidP="00D60074">
      <w:pPr>
        <w:pStyle w:val="BodyText"/>
        <w:numPr>
          <w:ilvl w:val="0"/>
          <w:numId w:val="54"/>
        </w:numPr>
        <w:jc w:val="both"/>
        <w:rPr>
          <w:rFonts w:eastAsia="Arial Unicode MS"/>
          <w:color w:val="000000"/>
          <w:bdr w:val="nil"/>
          <w:lang w:val="en-US"/>
        </w:rPr>
      </w:pPr>
      <w:r w:rsidRPr="00D60074">
        <w:rPr>
          <w:rFonts w:eastAsia="Arial Unicode MS"/>
          <w:b/>
          <w:bCs/>
          <w:color w:val="000000"/>
          <w:bdr w:val="nil"/>
          <w:lang w:val="en-US"/>
        </w:rPr>
        <w:t>How relevant are employee participation models for North Macedonia in the current stage of economic and institutional development?</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Not relevant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Slightly relevant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Moderately relevant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Highly relevant </w:t>
      </w:r>
    </w:p>
    <w:p w14:paraId="1B4B83D5" w14:textId="2C0E4E71" w:rsidR="00D60074" w:rsidRPr="00D60074" w:rsidRDefault="00D60074" w:rsidP="00D60074">
      <w:pPr>
        <w:pStyle w:val="BodyText"/>
        <w:numPr>
          <w:ilvl w:val="0"/>
          <w:numId w:val="54"/>
        </w:numPr>
        <w:jc w:val="both"/>
        <w:rPr>
          <w:rFonts w:eastAsia="Arial Unicode MS"/>
          <w:color w:val="000000"/>
          <w:bdr w:val="nil"/>
          <w:lang w:val="en-US"/>
        </w:rPr>
      </w:pPr>
      <w:r w:rsidRPr="00D60074">
        <w:rPr>
          <w:rFonts w:eastAsia="Arial Unicode MS"/>
          <w:b/>
          <w:bCs/>
          <w:color w:val="000000"/>
          <w:bdr w:val="nil"/>
          <w:lang w:val="en-US"/>
        </w:rPr>
        <w:t>What are the primary policy objectives such models should serve? (select up to 3)</w:t>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Improving corporate performance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Enhancing labour rights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Increasing social cohesion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Aligning with EU standards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Strengthening corporate accountability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3B0D35EE" w14:textId="3BE41F31" w:rsidR="00D60074" w:rsidRPr="00D60074" w:rsidRDefault="00D60074" w:rsidP="00D60074">
      <w:pPr>
        <w:pStyle w:val="BodyText"/>
        <w:jc w:val="both"/>
        <w:rPr>
          <w:rFonts w:eastAsia="Arial Unicode MS"/>
          <w:color w:val="000000"/>
          <w:bdr w:val="nil"/>
          <w:lang w:val="en-US"/>
        </w:rPr>
      </w:pPr>
    </w:p>
    <w:p w14:paraId="04DAC41B"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4: Evaluation of Instruments</w:t>
      </w:r>
    </w:p>
    <w:p w14:paraId="57A1EEB6" w14:textId="77777777" w:rsidR="00D60074" w:rsidRPr="00D60074" w:rsidRDefault="00D60074" w:rsidP="00D60074">
      <w:pPr>
        <w:pStyle w:val="BodyText"/>
        <w:jc w:val="both"/>
        <w:rPr>
          <w:rFonts w:eastAsia="Arial Unicode MS"/>
          <w:b/>
          <w:bCs/>
          <w:color w:val="000000"/>
          <w:bdr w:val="nil"/>
          <w:lang w:val="en-US"/>
        </w:rPr>
      </w:pPr>
      <w:r w:rsidRPr="00D60074">
        <w:rPr>
          <w:rFonts w:eastAsia="Arial Unicode MS"/>
          <w:b/>
          <w:bCs/>
          <w:color w:val="000000"/>
          <w:bdr w:val="nil"/>
          <w:lang w:val="en-US"/>
        </w:rPr>
        <w:t>A. Employee Share Ownership</w:t>
      </w:r>
    </w:p>
    <w:p w14:paraId="7A4FB114"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Q9–Q11 and Employee Q11–Q13)</w:t>
      </w:r>
    </w:p>
    <w:p w14:paraId="5E493ADC" w14:textId="6CE136DD" w:rsidR="00D60074" w:rsidRPr="00D60074" w:rsidRDefault="00D60074" w:rsidP="00D60074">
      <w:pPr>
        <w:pStyle w:val="BodyText"/>
        <w:numPr>
          <w:ilvl w:val="0"/>
          <w:numId w:val="55"/>
        </w:numPr>
        <w:jc w:val="both"/>
        <w:rPr>
          <w:rFonts w:eastAsia="Arial Unicode MS"/>
          <w:color w:val="000000"/>
          <w:bdr w:val="nil"/>
          <w:lang w:val="en-US"/>
        </w:rPr>
      </w:pPr>
      <w:r w:rsidRPr="00D60074">
        <w:rPr>
          <w:rFonts w:eastAsia="Arial Unicode MS"/>
          <w:b/>
          <w:bCs/>
          <w:color w:val="000000"/>
          <w:bdr w:val="nil"/>
          <w:lang w:val="en-US"/>
        </w:rPr>
        <w:t>How appropriate are employee share ownership schemes in the Macedonian context?</w:t>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Not appropriate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Slightly appropriate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Moderately appropriate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Highly appropriate </w:t>
      </w:r>
    </w:p>
    <w:p w14:paraId="3A63E7A8" w14:textId="37B4D347" w:rsidR="00D60074" w:rsidRPr="00D60074" w:rsidRDefault="00D60074" w:rsidP="00D60074">
      <w:pPr>
        <w:pStyle w:val="BodyText"/>
        <w:numPr>
          <w:ilvl w:val="0"/>
          <w:numId w:val="55"/>
        </w:numPr>
        <w:jc w:val="both"/>
        <w:rPr>
          <w:rFonts w:eastAsia="Arial Unicode MS"/>
          <w:color w:val="000000"/>
          <w:bdr w:val="nil"/>
          <w:lang w:val="en-US"/>
        </w:rPr>
      </w:pPr>
      <w:r w:rsidRPr="00D60074">
        <w:rPr>
          <w:rFonts w:eastAsia="Arial Unicode MS"/>
          <w:b/>
          <w:bCs/>
          <w:color w:val="000000"/>
          <w:bdr w:val="nil"/>
          <w:lang w:val="en-US"/>
        </w:rPr>
        <w:t>What design features are essential for their success? (select up to 3)</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Clear legal framework</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Tax incentives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Protection against financial risk</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Inclusive access (beyond key employees)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Limits on control dilution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25BAFACA" w14:textId="3B565346" w:rsidR="00D60074" w:rsidRPr="00D60074" w:rsidRDefault="00D60074" w:rsidP="00D60074">
      <w:pPr>
        <w:pStyle w:val="BodyText"/>
        <w:numPr>
          <w:ilvl w:val="0"/>
          <w:numId w:val="55"/>
        </w:numPr>
        <w:jc w:val="both"/>
        <w:rPr>
          <w:rFonts w:eastAsia="Arial Unicode MS"/>
          <w:color w:val="000000"/>
          <w:bdr w:val="nil"/>
          <w:lang w:val="en-US"/>
        </w:rPr>
      </w:pPr>
      <w:r w:rsidRPr="00D60074">
        <w:rPr>
          <w:rFonts w:eastAsia="Arial Unicode MS"/>
          <w:b/>
          <w:bCs/>
          <w:color w:val="000000"/>
          <w:bdr w:val="nil"/>
          <w:lang w:val="en-US"/>
        </w:rPr>
        <w:t>Which model would be most suitable?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Direct share ownership</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ESOP-type structures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Hybrid models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lastRenderedPageBreak/>
        <w:t>☐</w:t>
      </w:r>
      <w:r w:rsidRPr="00D60074">
        <w:rPr>
          <w:rFonts w:eastAsia="Arial Unicode MS"/>
          <w:color w:val="000000"/>
          <w:bdr w:val="nil"/>
          <w:lang w:val="en-US"/>
        </w:rPr>
        <w:t xml:space="preserve"> Profit-sharing without ownership</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Context-dependent </w:t>
      </w:r>
    </w:p>
    <w:p w14:paraId="1133DA4C" w14:textId="79C57221" w:rsidR="00D60074" w:rsidRPr="00D60074" w:rsidRDefault="00D60074" w:rsidP="00D60074">
      <w:pPr>
        <w:pStyle w:val="BodyText"/>
        <w:jc w:val="both"/>
        <w:rPr>
          <w:rFonts w:eastAsia="Arial Unicode MS"/>
          <w:color w:val="000000"/>
          <w:bdr w:val="nil"/>
          <w:lang w:val="en-US"/>
        </w:rPr>
      </w:pPr>
    </w:p>
    <w:p w14:paraId="0D4A50F5" w14:textId="77777777" w:rsidR="00D60074" w:rsidRPr="00D60074" w:rsidRDefault="00D60074" w:rsidP="00D60074">
      <w:pPr>
        <w:pStyle w:val="BodyText"/>
        <w:jc w:val="both"/>
        <w:rPr>
          <w:rFonts w:eastAsia="Arial Unicode MS"/>
          <w:b/>
          <w:bCs/>
          <w:color w:val="000000"/>
          <w:bdr w:val="nil"/>
          <w:lang w:val="en-US"/>
        </w:rPr>
      </w:pPr>
      <w:r w:rsidRPr="00D60074">
        <w:rPr>
          <w:rFonts w:eastAsia="Arial Unicode MS"/>
          <w:b/>
          <w:bCs/>
          <w:color w:val="000000"/>
          <w:bdr w:val="nil"/>
          <w:lang w:val="en-US"/>
        </w:rPr>
        <w:t>B. Participation in Governance</w:t>
      </w:r>
    </w:p>
    <w:p w14:paraId="77107515"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Q12–Q13 and Employee Q14–Q16)</w:t>
      </w:r>
    </w:p>
    <w:p w14:paraId="4D689BAB" w14:textId="3A42DA1A" w:rsidR="00D60074" w:rsidRPr="00D60074" w:rsidRDefault="00D60074" w:rsidP="00D60074">
      <w:pPr>
        <w:pStyle w:val="BodyText"/>
        <w:numPr>
          <w:ilvl w:val="0"/>
          <w:numId w:val="56"/>
        </w:numPr>
        <w:jc w:val="both"/>
        <w:rPr>
          <w:rFonts w:eastAsia="Arial Unicode MS"/>
          <w:color w:val="000000"/>
          <w:bdr w:val="nil"/>
          <w:lang w:val="en-US"/>
        </w:rPr>
      </w:pPr>
      <w:r w:rsidRPr="00D60074">
        <w:rPr>
          <w:rFonts w:eastAsia="Arial Unicode MS"/>
          <w:b/>
          <w:bCs/>
          <w:color w:val="000000"/>
          <w:bdr w:val="nil"/>
          <w:lang w:val="en-US"/>
        </w:rPr>
        <w:t>To what extent should employees be represented in corporate governance structures?</w:t>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Not at all</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Limited (advisory)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Moderate (board-level minority representation)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Extensive (co-determination) </w:t>
      </w:r>
    </w:p>
    <w:p w14:paraId="4128BE78" w14:textId="396BD3F6" w:rsidR="00D60074" w:rsidRPr="00D60074" w:rsidRDefault="00D60074" w:rsidP="00D60074">
      <w:pPr>
        <w:pStyle w:val="BodyText"/>
        <w:numPr>
          <w:ilvl w:val="0"/>
          <w:numId w:val="56"/>
        </w:numPr>
        <w:jc w:val="both"/>
        <w:rPr>
          <w:rFonts w:eastAsia="Arial Unicode MS"/>
          <w:color w:val="000000"/>
          <w:bdr w:val="nil"/>
          <w:lang w:val="en-US"/>
        </w:rPr>
      </w:pPr>
      <w:r w:rsidRPr="00D60074">
        <w:rPr>
          <w:rFonts w:eastAsia="Arial Unicode MS"/>
          <w:b/>
          <w:bCs/>
          <w:color w:val="000000"/>
          <w:bdr w:val="nil"/>
          <w:lang w:val="en-US"/>
        </w:rPr>
        <w:t>What level of influence is most appropriate?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Informational</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Consultative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Decision-making </w:t>
      </w:r>
    </w:p>
    <w:p w14:paraId="531FE925" w14:textId="42FC2117" w:rsidR="00D60074" w:rsidRPr="00D60074" w:rsidRDefault="00D60074" w:rsidP="00D60074">
      <w:pPr>
        <w:pStyle w:val="BodyText"/>
        <w:numPr>
          <w:ilvl w:val="0"/>
          <w:numId w:val="56"/>
        </w:numPr>
        <w:jc w:val="both"/>
        <w:rPr>
          <w:rFonts w:eastAsia="Arial Unicode MS"/>
          <w:color w:val="000000"/>
          <w:bdr w:val="nil"/>
          <w:lang w:val="en-US"/>
        </w:rPr>
      </w:pPr>
      <w:r w:rsidRPr="00D60074">
        <w:rPr>
          <w:rFonts w:eastAsia="Arial Unicode MS"/>
          <w:b/>
          <w:bCs/>
          <w:color w:val="000000"/>
          <w:bdr w:val="nil"/>
          <w:lang w:val="en-US"/>
        </w:rPr>
        <w:t>Which model is most feasible in the short to medium term?</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Advisory mechanisms only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Gradual introduction of board representation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Worker councils with formal links to management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Full co-determination </w:t>
      </w:r>
    </w:p>
    <w:p w14:paraId="4B016260" w14:textId="77777777" w:rsidR="00EF6315" w:rsidRDefault="00EF6315" w:rsidP="00EF6315">
      <w:pPr>
        <w:pStyle w:val="BodyText"/>
        <w:jc w:val="both"/>
        <w:rPr>
          <w:rFonts w:eastAsia="Arial Unicode MS"/>
          <w:color w:val="000000"/>
          <w:bdr w:val="nil"/>
          <w:lang w:val="en-US"/>
        </w:rPr>
      </w:pPr>
    </w:p>
    <w:p w14:paraId="55FF7C04" w14:textId="50B8577E"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5: Risk–Benefit Assessment</w:t>
      </w:r>
    </w:p>
    <w:p w14:paraId="454591E0"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Q7–Q8 and Employee Q9–Q10)</w:t>
      </w:r>
    </w:p>
    <w:p w14:paraId="18FA11D9" w14:textId="2C9EE5D4" w:rsidR="00D60074" w:rsidRPr="00D60074" w:rsidRDefault="00D60074" w:rsidP="00D60074">
      <w:pPr>
        <w:pStyle w:val="BodyText"/>
        <w:numPr>
          <w:ilvl w:val="0"/>
          <w:numId w:val="57"/>
        </w:numPr>
        <w:jc w:val="both"/>
        <w:rPr>
          <w:rFonts w:eastAsia="Arial Unicode MS"/>
          <w:color w:val="000000"/>
          <w:bdr w:val="nil"/>
          <w:lang w:val="en-US"/>
        </w:rPr>
      </w:pPr>
      <w:r w:rsidRPr="00D60074">
        <w:rPr>
          <w:rFonts w:eastAsia="Arial Unicode MS"/>
          <w:b/>
          <w:bCs/>
          <w:color w:val="000000"/>
          <w:bdr w:val="nil"/>
          <w:lang w:val="en-US"/>
        </w:rPr>
        <w:t>What are the most significant expected benefits? (select up to 3)</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Improved firm performance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Greater employee engagement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Reduced labour conflict</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Better governance practices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EU convergence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4C8B72A5" w14:textId="04D0141C" w:rsidR="00D60074" w:rsidRPr="00D60074" w:rsidRDefault="00D60074" w:rsidP="00D60074">
      <w:pPr>
        <w:pStyle w:val="BodyText"/>
        <w:numPr>
          <w:ilvl w:val="0"/>
          <w:numId w:val="57"/>
        </w:numPr>
        <w:jc w:val="both"/>
        <w:rPr>
          <w:rFonts w:eastAsia="Arial Unicode MS"/>
          <w:color w:val="000000"/>
          <w:bdr w:val="nil"/>
          <w:lang w:val="en-US"/>
        </w:rPr>
      </w:pPr>
      <w:r w:rsidRPr="00D60074">
        <w:rPr>
          <w:rFonts w:eastAsia="Arial Unicode MS"/>
          <w:b/>
          <w:bCs/>
          <w:color w:val="000000"/>
          <w:bdr w:val="nil"/>
          <w:lang w:val="en-US"/>
        </w:rPr>
        <w:t>What are the most significant risks? (select up to 3)</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Managerial inefficiency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Tokenistic implementation</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Regulatory complexity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Political capture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Resistance from owners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1CBA025B" w14:textId="3DA03530" w:rsidR="00D60074" w:rsidRPr="00D60074" w:rsidRDefault="00D60074" w:rsidP="00D60074">
      <w:pPr>
        <w:pStyle w:val="BodyText"/>
        <w:jc w:val="both"/>
        <w:rPr>
          <w:rFonts w:eastAsia="Arial Unicode MS"/>
          <w:color w:val="000000"/>
          <w:bdr w:val="nil"/>
          <w:lang w:val="en-US"/>
        </w:rPr>
      </w:pPr>
    </w:p>
    <w:p w14:paraId="26F90B71"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6: Feasibility and Reform Strategy</w:t>
      </w:r>
    </w:p>
    <w:p w14:paraId="3B38B23C"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Q18–Q19 and Employee Q18)</w:t>
      </w:r>
    </w:p>
    <w:p w14:paraId="091A8CE1" w14:textId="3ED33547" w:rsidR="00D60074" w:rsidRPr="00D60074" w:rsidRDefault="00D60074" w:rsidP="00D60074">
      <w:pPr>
        <w:pStyle w:val="BodyText"/>
        <w:numPr>
          <w:ilvl w:val="0"/>
          <w:numId w:val="58"/>
        </w:numPr>
        <w:jc w:val="both"/>
        <w:rPr>
          <w:rFonts w:eastAsia="Arial Unicode MS"/>
          <w:color w:val="000000"/>
          <w:bdr w:val="nil"/>
          <w:lang w:val="en-US"/>
        </w:rPr>
      </w:pPr>
      <w:r w:rsidRPr="00D60074">
        <w:rPr>
          <w:rFonts w:eastAsia="Arial Unicode MS"/>
          <w:b/>
          <w:bCs/>
          <w:color w:val="000000"/>
          <w:bdr w:val="nil"/>
          <w:lang w:val="en-US"/>
        </w:rPr>
        <w:t>What are the main barriers to implementation in North Macedonia?</w:t>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Legal barriers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Institutional capacity</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Employer resistance</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lastRenderedPageBreak/>
        <w:t>☐</w:t>
      </w:r>
      <w:r w:rsidRPr="00D60074">
        <w:rPr>
          <w:rFonts w:eastAsia="Arial Unicode MS"/>
          <w:color w:val="000000"/>
          <w:bdr w:val="nil"/>
          <w:lang w:val="en-US"/>
        </w:rPr>
        <w:t xml:space="preserve"> Employee readiness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Economic constraints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Other: _______ </w:t>
      </w:r>
    </w:p>
    <w:p w14:paraId="5A9B487D" w14:textId="616B6EE2" w:rsidR="00D60074" w:rsidRPr="00D60074" w:rsidRDefault="00D60074" w:rsidP="00D60074">
      <w:pPr>
        <w:pStyle w:val="BodyText"/>
        <w:numPr>
          <w:ilvl w:val="0"/>
          <w:numId w:val="58"/>
        </w:numPr>
        <w:jc w:val="both"/>
        <w:rPr>
          <w:rFonts w:eastAsia="Arial Unicode MS"/>
          <w:color w:val="000000"/>
          <w:bdr w:val="nil"/>
          <w:lang w:val="en-US"/>
        </w:rPr>
      </w:pPr>
      <w:r w:rsidRPr="00D60074">
        <w:rPr>
          <w:rFonts w:eastAsia="Arial Unicode MS"/>
          <w:b/>
          <w:bCs/>
          <w:color w:val="000000"/>
          <w:bdr w:val="nil"/>
          <w:lang w:val="en-US"/>
        </w:rPr>
        <w:t>What reform approach would be most effective?</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Gradual / incremental reform</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Pilot projects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Comprehensive legislative reform</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Sector-specific approaches </w:t>
      </w:r>
    </w:p>
    <w:p w14:paraId="1238B875" w14:textId="27B081AA" w:rsidR="00D60074" w:rsidRPr="00D60074" w:rsidRDefault="00D60074" w:rsidP="00D60074">
      <w:pPr>
        <w:pStyle w:val="BodyText"/>
        <w:numPr>
          <w:ilvl w:val="0"/>
          <w:numId w:val="58"/>
        </w:numPr>
        <w:jc w:val="both"/>
        <w:rPr>
          <w:rFonts w:eastAsia="Arial Unicode MS"/>
          <w:color w:val="000000"/>
          <w:bdr w:val="nil"/>
          <w:lang w:val="en-US"/>
        </w:rPr>
      </w:pPr>
      <w:r w:rsidRPr="00D60074">
        <w:rPr>
          <w:rFonts w:eastAsia="Arial Unicode MS"/>
          <w:b/>
          <w:bCs/>
          <w:color w:val="000000"/>
          <w:bdr w:val="nil"/>
          <w:lang w:val="en-US"/>
        </w:rPr>
        <w:t>What time horizon is realistic for meaningful implementation?</w:t>
      </w:r>
      <w:r w:rsidR="00EF6315">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Short-term (1–3 years)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Medium-term (3–5 years)</w:t>
      </w:r>
      <w:r w:rsidR="00EF6315">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Long-term (5+ years) </w:t>
      </w:r>
    </w:p>
    <w:p w14:paraId="25091A33" w14:textId="396B17CC" w:rsidR="00D60074" w:rsidRPr="00D60074" w:rsidRDefault="00D60074" w:rsidP="00D60074">
      <w:pPr>
        <w:pStyle w:val="BodyText"/>
        <w:jc w:val="both"/>
        <w:rPr>
          <w:rFonts w:eastAsia="Arial Unicode MS"/>
          <w:color w:val="000000"/>
          <w:bdr w:val="nil"/>
          <w:lang w:val="en-US"/>
        </w:rPr>
      </w:pPr>
    </w:p>
    <w:p w14:paraId="693EEB1F" w14:textId="77777777" w:rsidR="00D60074" w:rsidRPr="00D60074" w:rsidRDefault="00D60074" w:rsidP="00EF6315">
      <w:pPr>
        <w:pStyle w:val="BodyText"/>
        <w:jc w:val="both"/>
        <w:rPr>
          <w:rFonts w:eastAsia="Arial Unicode MS"/>
          <w:b/>
          <w:bCs/>
          <w:color w:val="000000"/>
          <w:bdr w:val="nil"/>
          <w:lang w:val="en-US"/>
        </w:rPr>
      </w:pPr>
      <w:r w:rsidRPr="00D60074">
        <w:rPr>
          <w:rFonts w:eastAsia="Arial Unicode MS"/>
          <w:b/>
          <w:bCs/>
          <w:color w:val="000000"/>
          <w:bdr w:val="nil"/>
          <w:lang w:val="en-US"/>
        </w:rPr>
        <w:t>Section 7: EU Influence and Comparative Perspective</w:t>
      </w:r>
    </w:p>
    <w:p w14:paraId="2DCEE0E0" w14:textId="77777777" w:rsidR="00D60074" w:rsidRPr="00D60074" w:rsidRDefault="00D60074" w:rsidP="00D60074">
      <w:pPr>
        <w:pStyle w:val="BodyText"/>
        <w:jc w:val="both"/>
        <w:rPr>
          <w:rFonts w:eastAsia="Arial Unicode MS"/>
          <w:color w:val="000000"/>
          <w:bdr w:val="nil"/>
          <w:lang w:val="en-US"/>
        </w:rPr>
      </w:pPr>
      <w:r w:rsidRPr="00D60074">
        <w:rPr>
          <w:rFonts w:eastAsia="Arial Unicode MS"/>
          <w:i/>
          <w:iCs/>
          <w:color w:val="000000"/>
          <w:bdr w:val="nil"/>
          <w:lang w:val="en-US"/>
        </w:rPr>
        <w:t>(Cross-reference with Company Q16–Q17 and Employee Q20–Q21)</w:t>
      </w:r>
    </w:p>
    <w:p w14:paraId="7495B854" w14:textId="495B53C3" w:rsidR="00D60074" w:rsidRPr="00D60074" w:rsidRDefault="00D60074" w:rsidP="00D60074">
      <w:pPr>
        <w:pStyle w:val="BodyText"/>
        <w:numPr>
          <w:ilvl w:val="0"/>
          <w:numId w:val="59"/>
        </w:numPr>
        <w:jc w:val="both"/>
        <w:rPr>
          <w:rFonts w:eastAsia="Arial Unicode MS"/>
          <w:color w:val="000000"/>
          <w:bdr w:val="nil"/>
          <w:lang w:val="en-US"/>
        </w:rPr>
      </w:pPr>
      <w:r w:rsidRPr="00D60074">
        <w:rPr>
          <w:rFonts w:eastAsia="Arial Unicode MS"/>
          <w:b/>
          <w:bCs/>
          <w:color w:val="000000"/>
          <w:bdr w:val="nil"/>
          <w:lang w:val="en-US"/>
        </w:rPr>
        <w:t>To what extent should EU alignment drive reforms in this area?</w:t>
      </w:r>
      <w:r w:rsidR="000941FE">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Not at all</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Slightly</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Moderately</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Strongly </w:t>
      </w:r>
    </w:p>
    <w:p w14:paraId="2ECD6F3E" w14:textId="1C7167C1" w:rsidR="00D60074" w:rsidRPr="00D60074" w:rsidRDefault="00D60074" w:rsidP="00D60074">
      <w:pPr>
        <w:pStyle w:val="BodyText"/>
        <w:numPr>
          <w:ilvl w:val="0"/>
          <w:numId w:val="59"/>
        </w:numPr>
        <w:jc w:val="both"/>
        <w:rPr>
          <w:rFonts w:eastAsia="Arial Unicode MS"/>
          <w:color w:val="000000"/>
          <w:bdr w:val="nil"/>
          <w:lang w:val="en-US"/>
        </w:rPr>
      </w:pPr>
      <w:r w:rsidRPr="00D60074">
        <w:rPr>
          <w:rFonts w:eastAsia="Arial Unicode MS"/>
          <w:b/>
          <w:bCs/>
          <w:color w:val="000000"/>
          <w:bdr w:val="nil"/>
          <w:lang w:val="en-US"/>
        </w:rPr>
        <w:t>Which comparative models are most relevant for North Macedonia?</w:t>
      </w:r>
      <w:r w:rsidR="000941FE">
        <w:rPr>
          <w:rFonts w:eastAsia="Arial Unicode MS"/>
          <w:b/>
          <w:bC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German co-determination</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Nordic models</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Anglo-Saxon ESOP models</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Hybrid / transitional models</w:t>
      </w:r>
      <w:r w:rsidR="000941FE">
        <w:rPr>
          <w:rFonts w:eastAsia="Arial Unicode MS"/>
          <w:color w:val="000000"/>
          <w:bdr w:val="nil"/>
          <w:lang w:val="en-US"/>
        </w:rPr>
        <w:tab/>
      </w:r>
      <w:r w:rsidRPr="00D60074">
        <w:rPr>
          <w:rFonts w:eastAsia="Arial Unicode MS"/>
          <w:color w:val="000000"/>
          <w:bdr w:val="nil"/>
          <w:lang w:val="en-US"/>
        </w:rPr>
        <w:br/>
      </w:r>
      <w:r w:rsidRPr="00D60074">
        <w:rPr>
          <w:rFonts w:ascii="Segoe UI Symbol" w:eastAsia="Arial Unicode MS" w:hAnsi="Segoe UI Symbol" w:cs="Segoe UI Symbol"/>
          <w:color w:val="000000"/>
          <w:bdr w:val="nil"/>
          <w:lang w:val="en-US"/>
        </w:rPr>
        <w:t>☐</w:t>
      </w:r>
      <w:r w:rsidRPr="00D60074">
        <w:rPr>
          <w:rFonts w:eastAsia="Arial Unicode MS"/>
          <w:color w:val="000000"/>
          <w:bdr w:val="nil"/>
          <w:lang w:val="en-US"/>
        </w:rPr>
        <w:t xml:space="preserve"> Context-specific design </w:t>
      </w:r>
    </w:p>
    <w:p w14:paraId="1A3179C3" w14:textId="45A62317" w:rsidR="00D60074" w:rsidRPr="00D60074" w:rsidRDefault="00D60074" w:rsidP="00D60074">
      <w:pPr>
        <w:pStyle w:val="BodyText"/>
        <w:jc w:val="both"/>
        <w:rPr>
          <w:rFonts w:eastAsia="Arial Unicode MS"/>
          <w:color w:val="000000"/>
          <w:bdr w:val="nil"/>
          <w:lang w:val="en-US"/>
        </w:rPr>
      </w:pPr>
    </w:p>
    <w:p w14:paraId="7718F851" w14:textId="77777777" w:rsidR="00D60074" w:rsidRPr="00D60074" w:rsidRDefault="00D60074" w:rsidP="000941FE">
      <w:pPr>
        <w:pStyle w:val="BodyText"/>
        <w:jc w:val="both"/>
        <w:rPr>
          <w:rFonts w:eastAsia="Arial Unicode MS"/>
          <w:b/>
          <w:bCs/>
          <w:color w:val="000000"/>
          <w:bdr w:val="nil"/>
          <w:lang w:val="en-US"/>
        </w:rPr>
      </w:pPr>
      <w:r w:rsidRPr="00D60074">
        <w:rPr>
          <w:rFonts w:eastAsia="Arial Unicode MS"/>
          <w:b/>
          <w:bCs/>
          <w:color w:val="000000"/>
          <w:bdr w:val="nil"/>
          <w:lang w:val="en-US"/>
        </w:rPr>
        <w:t>Section 8: Open Questions (Qualitative)</w:t>
      </w:r>
    </w:p>
    <w:p w14:paraId="13FB2A66" w14:textId="77777777" w:rsidR="00D60074" w:rsidRPr="00D60074" w:rsidRDefault="00D60074" w:rsidP="00D60074">
      <w:pPr>
        <w:pStyle w:val="BodyText"/>
        <w:numPr>
          <w:ilvl w:val="0"/>
          <w:numId w:val="60"/>
        </w:numPr>
        <w:jc w:val="both"/>
        <w:rPr>
          <w:rFonts w:eastAsia="Arial Unicode MS"/>
          <w:color w:val="000000"/>
          <w:bdr w:val="nil"/>
          <w:lang w:val="en-US"/>
        </w:rPr>
      </w:pPr>
      <w:r w:rsidRPr="00D60074">
        <w:rPr>
          <w:rFonts w:eastAsia="Arial Unicode MS"/>
          <w:b/>
          <w:bCs/>
          <w:color w:val="000000"/>
          <w:bdr w:val="nil"/>
          <w:lang w:val="en-US"/>
        </w:rPr>
        <w:t>In your view, what is the most realistic reform pathway for introducing employee participation in North Macedonia?</w:t>
      </w:r>
      <w:r w:rsidRPr="00D60074">
        <w:rPr>
          <w:rFonts w:eastAsia="Arial Unicode MS"/>
          <w:color w:val="000000"/>
          <w:bdr w:val="nil"/>
          <w:lang w:val="en-US"/>
        </w:rPr>
        <w:t xml:space="preserve"> </w:t>
      </w:r>
    </w:p>
    <w:p w14:paraId="25963EFB" w14:textId="77777777" w:rsidR="00D60074" w:rsidRPr="00D60074" w:rsidRDefault="00D60074" w:rsidP="00D60074">
      <w:pPr>
        <w:pStyle w:val="BodyText"/>
        <w:numPr>
          <w:ilvl w:val="0"/>
          <w:numId w:val="60"/>
        </w:numPr>
        <w:jc w:val="both"/>
        <w:rPr>
          <w:rFonts w:eastAsia="Arial Unicode MS"/>
          <w:color w:val="000000"/>
          <w:bdr w:val="nil"/>
          <w:lang w:val="en-US"/>
        </w:rPr>
      </w:pPr>
      <w:r w:rsidRPr="00D60074">
        <w:rPr>
          <w:rFonts w:eastAsia="Arial Unicode MS"/>
          <w:b/>
          <w:bCs/>
          <w:color w:val="000000"/>
          <w:bdr w:val="nil"/>
          <w:lang w:val="en-US"/>
        </w:rPr>
        <w:t>How can policy design address the gap between employer and employee perceptions identified in practice?</w:t>
      </w:r>
      <w:r w:rsidRPr="00D60074">
        <w:rPr>
          <w:rFonts w:eastAsia="Arial Unicode MS"/>
          <w:color w:val="000000"/>
          <w:bdr w:val="nil"/>
          <w:lang w:val="en-US"/>
        </w:rPr>
        <w:t xml:space="preserve"> </w:t>
      </w:r>
    </w:p>
    <w:p w14:paraId="0FFAF84E" w14:textId="77777777" w:rsidR="00D60074" w:rsidRPr="00D60074" w:rsidRDefault="00D60074" w:rsidP="00D60074">
      <w:pPr>
        <w:pStyle w:val="BodyText"/>
        <w:numPr>
          <w:ilvl w:val="0"/>
          <w:numId w:val="60"/>
        </w:numPr>
        <w:jc w:val="both"/>
        <w:rPr>
          <w:rFonts w:eastAsia="Arial Unicode MS"/>
          <w:color w:val="000000"/>
          <w:bdr w:val="nil"/>
          <w:lang w:val="en-US"/>
        </w:rPr>
      </w:pPr>
      <w:r w:rsidRPr="00D60074">
        <w:rPr>
          <w:rFonts w:eastAsia="Arial Unicode MS"/>
          <w:b/>
          <w:bCs/>
          <w:color w:val="000000"/>
          <w:bdr w:val="nil"/>
          <w:lang w:val="en-US"/>
        </w:rPr>
        <w:t>Do you consider employee participation to be primarily an economic, legal, or democratic reform? Please explain.</w:t>
      </w:r>
    </w:p>
    <w:p w14:paraId="1C02CCED" w14:textId="77777777" w:rsidR="00D60074" w:rsidRDefault="00D60074" w:rsidP="005C1B16">
      <w:pPr>
        <w:pStyle w:val="BodyText"/>
        <w:jc w:val="both"/>
        <w:rPr>
          <w:rFonts w:eastAsia="Arial Unicode MS"/>
          <w:color w:val="000000"/>
          <w:bdr w:val="nil"/>
          <w:lang w:val="en-US"/>
        </w:rPr>
      </w:pPr>
    </w:p>
    <w:p w14:paraId="37E870F7" w14:textId="77777777" w:rsidR="00C717AC" w:rsidRDefault="00C717AC" w:rsidP="005C1B16">
      <w:pPr>
        <w:pStyle w:val="BodyText"/>
        <w:jc w:val="both"/>
        <w:rPr>
          <w:rFonts w:eastAsia="Arial Unicode MS"/>
          <w:color w:val="000000"/>
          <w:bdr w:val="nil"/>
          <w:lang w:val="en-US"/>
        </w:rPr>
      </w:pPr>
    </w:p>
    <w:p w14:paraId="706C6C2B" w14:textId="77777777" w:rsidR="00C717AC" w:rsidRDefault="00C717AC" w:rsidP="005C1B16">
      <w:pPr>
        <w:pStyle w:val="BodyText"/>
        <w:jc w:val="both"/>
        <w:rPr>
          <w:rFonts w:eastAsia="Arial Unicode MS"/>
          <w:color w:val="000000"/>
          <w:bdr w:val="nil"/>
          <w:lang w:val="en-US"/>
        </w:rPr>
      </w:pPr>
    </w:p>
    <w:p w14:paraId="389A4C81" w14:textId="77777777" w:rsidR="00C717AC" w:rsidRDefault="00C717AC" w:rsidP="005C1B16">
      <w:pPr>
        <w:pStyle w:val="BodyText"/>
        <w:jc w:val="both"/>
        <w:rPr>
          <w:rFonts w:eastAsia="Arial Unicode MS"/>
          <w:color w:val="000000"/>
          <w:bdr w:val="nil"/>
          <w:lang w:val="en-US"/>
        </w:rPr>
      </w:pPr>
    </w:p>
    <w:p w14:paraId="4A7B5DBF" w14:textId="77777777" w:rsidR="00C717AC" w:rsidRDefault="00C717AC" w:rsidP="005C1B16">
      <w:pPr>
        <w:pStyle w:val="BodyText"/>
        <w:jc w:val="both"/>
        <w:rPr>
          <w:rFonts w:eastAsia="Arial Unicode MS"/>
          <w:color w:val="000000"/>
          <w:bdr w:val="nil"/>
          <w:lang w:val="en-US"/>
        </w:rPr>
      </w:pPr>
    </w:p>
    <w:p w14:paraId="11BE66F6" w14:textId="77777777" w:rsidR="00C717AC" w:rsidRDefault="00C717AC" w:rsidP="005C1B16">
      <w:pPr>
        <w:pStyle w:val="BodyText"/>
        <w:jc w:val="both"/>
        <w:rPr>
          <w:rFonts w:eastAsia="Arial Unicode MS"/>
          <w:color w:val="000000"/>
          <w:bdr w:val="nil"/>
          <w:lang w:val="mk-MK"/>
        </w:rPr>
      </w:pPr>
    </w:p>
    <w:p w14:paraId="5465206A" w14:textId="77777777" w:rsidR="000E3A7D" w:rsidRDefault="000E3A7D" w:rsidP="005C1B16">
      <w:pPr>
        <w:pStyle w:val="BodyText"/>
        <w:jc w:val="both"/>
        <w:rPr>
          <w:rFonts w:eastAsia="Arial Unicode MS"/>
          <w:color w:val="000000"/>
          <w:bdr w:val="nil"/>
          <w:lang w:val="mk-MK"/>
        </w:rPr>
      </w:pPr>
    </w:p>
    <w:p w14:paraId="08A30407" w14:textId="77777777" w:rsidR="000E3A7D" w:rsidRPr="000E3A7D" w:rsidRDefault="000E3A7D" w:rsidP="005C1B16">
      <w:pPr>
        <w:pStyle w:val="BodyText"/>
        <w:jc w:val="both"/>
        <w:rPr>
          <w:rFonts w:eastAsia="Arial Unicode MS"/>
          <w:color w:val="000000"/>
          <w:bdr w:val="nil"/>
          <w:lang w:val="mk-MK"/>
        </w:rPr>
      </w:pPr>
    </w:p>
    <w:p w14:paraId="7417F695" w14:textId="77777777" w:rsidR="00C717AC" w:rsidRDefault="00C717AC" w:rsidP="005C1B16">
      <w:pPr>
        <w:pStyle w:val="BodyText"/>
        <w:jc w:val="both"/>
        <w:rPr>
          <w:rFonts w:eastAsia="Arial Unicode MS"/>
          <w:color w:val="000000"/>
          <w:bdr w:val="nil"/>
          <w:lang w:val="en-US"/>
        </w:rPr>
      </w:pPr>
    </w:p>
    <w:p w14:paraId="158D875F" w14:textId="77777777" w:rsidR="00C717AC" w:rsidRDefault="00C717AC" w:rsidP="005C1B16">
      <w:pPr>
        <w:pStyle w:val="BodyText"/>
        <w:jc w:val="both"/>
        <w:rPr>
          <w:rFonts w:eastAsia="Arial Unicode MS"/>
          <w:color w:val="000000"/>
          <w:bdr w:val="nil"/>
          <w:lang w:val="en-US"/>
        </w:rPr>
      </w:pPr>
    </w:p>
    <w:p w14:paraId="17A3D20A" w14:textId="77777777" w:rsidR="00C717AC" w:rsidRDefault="00C717AC" w:rsidP="005C1B16">
      <w:pPr>
        <w:pStyle w:val="BodyText"/>
        <w:jc w:val="both"/>
        <w:rPr>
          <w:rFonts w:eastAsia="Arial Unicode MS"/>
          <w:color w:val="000000"/>
          <w:bdr w:val="nil"/>
          <w:lang w:val="en-US"/>
        </w:rPr>
      </w:pPr>
    </w:p>
    <w:p w14:paraId="4880F71F" w14:textId="77777777" w:rsidR="00C717AC" w:rsidRDefault="00C717AC" w:rsidP="005C1B16">
      <w:pPr>
        <w:pStyle w:val="BodyText"/>
        <w:jc w:val="both"/>
        <w:rPr>
          <w:rFonts w:eastAsia="Arial Unicode MS"/>
          <w:color w:val="000000"/>
          <w:bdr w:val="nil"/>
          <w:lang w:val="en-US"/>
        </w:rPr>
      </w:pPr>
    </w:p>
    <w:p w14:paraId="27396DE2" w14:textId="0F6A5BC3" w:rsidR="00C717AC" w:rsidRPr="00C717AC" w:rsidRDefault="00C717AC" w:rsidP="005C1B16">
      <w:pPr>
        <w:pStyle w:val="BodyText"/>
        <w:jc w:val="both"/>
        <w:rPr>
          <w:rFonts w:eastAsia="Arial Unicode MS"/>
          <w:color w:val="000000"/>
          <w:u w:val="single"/>
          <w:bdr w:val="nil"/>
          <w:lang w:val="mk-MK"/>
        </w:rPr>
      </w:pPr>
      <w:r w:rsidRPr="00C717AC">
        <w:rPr>
          <w:rFonts w:eastAsia="Arial Unicode MS"/>
          <w:color w:val="000000"/>
          <w:u w:val="single"/>
          <w:bdr w:val="nil"/>
          <w:lang w:val="mk-MK"/>
        </w:rPr>
        <w:lastRenderedPageBreak/>
        <w:t>Македонска верзија</w:t>
      </w:r>
    </w:p>
    <w:p w14:paraId="322C26C8" w14:textId="77777777" w:rsidR="0044582E" w:rsidRDefault="0044582E" w:rsidP="005C1B16">
      <w:pPr>
        <w:pStyle w:val="BodyText"/>
        <w:jc w:val="both"/>
        <w:rPr>
          <w:rFonts w:eastAsia="Arial Unicode MS"/>
          <w:color w:val="000000"/>
          <w:bdr w:val="nil"/>
          <w:lang w:val="mk-MK"/>
        </w:rPr>
      </w:pPr>
    </w:p>
    <w:p w14:paraId="72D6561D"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1: Профил на експертот</w:t>
      </w:r>
    </w:p>
    <w:p w14:paraId="23B29850" w14:textId="3087523B" w:rsidR="00C717AC" w:rsidRPr="00C717AC" w:rsidRDefault="00C717AC" w:rsidP="00C717AC">
      <w:pPr>
        <w:pStyle w:val="BodyText"/>
        <w:numPr>
          <w:ilvl w:val="0"/>
          <w:numId w:val="61"/>
        </w:numPr>
        <w:jc w:val="both"/>
        <w:rPr>
          <w:rFonts w:eastAsia="Arial Unicode MS"/>
          <w:color w:val="000000"/>
          <w:bdr w:val="nil"/>
          <w:lang w:val="en-US"/>
        </w:rPr>
      </w:pPr>
      <w:r w:rsidRPr="00C717AC">
        <w:rPr>
          <w:rFonts w:eastAsia="Arial Unicode MS"/>
          <w:b/>
          <w:bCs/>
          <w:color w:val="000000"/>
          <w:bdr w:val="nil"/>
          <w:lang w:val="en-US"/>
        </w:rPr>
        <w:t>Област на експертиза</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Корпоративно управување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Трудово право / индустриски односи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Трговско право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Економија / финансии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Јавни политики / ЕУ интеграција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1589FF9E" w14:textId="33301D50" w:rsidR="00C717AC" w:rsidRPr="00C717AC" w:rsidRDefault="00C717AC" w:rsidP="00C717AC">
      <w:pPr>
        <w:pStyle w:val="BodyText"/>
        <w:numPr>
          <w:ilvl w:val="0"/>
          <w:numId w:val="61"/>
        </w:numPr>
        <w:jc w:val="both"/>
        <w:rPr>
          <w:rFonts w:eastAsia="Arial Unicode MS"/>
          <w:color w:val="000000"/>
          <w:bdr w:val="nil"/>
          <w:lang w:val="en-US"/>
        </w:rPr>
      </w:pPr>
      <w:r w:rsidRPr="00C717AC">
        <w:rPr>
          <w:rFonts w:eastAsia="Arial Unicode MS"/>
          <w:b/>
          <w:bCs/>
          <w:color w:val="000000"/>
          <w:bdr w:val="nil"/>
          <w:lang w:val="en-US"/>
        </w:rPr>
        <w:t>Ниво на експертиза</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Национален експерт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Меѓународен експерт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И двете </w:t>
      </w:r>
    </w:p>
    <w:p w14:paraId="6A201FF8" w14:textId="494E1181" w:rsidR="00C717AC" w:rsidRPr="00C717AC" w:rsidRDefault="00C717AC" w:rsidP="00C717AC">
      <w:pPr>
        <w:pStyle w:val="BodyText"/>
        <w:numPr>
          <w:ilvl w:val="0"/>
          <w:numId w:val="61"/>
        </w:numPr>
        <w:jc w:val="both"/>
        <w:rPr>
          <w:rFonts w:eastAsia="Arial Unicode MS"/>
          <w:color w:val="000000"/>
          <w:bdr w:val="nil"/>
          <w:lang w:val="en-US"/>
        </w:rPr>
      </w:pPr>
      <w:r w:rsidRPr="00C717AC">
        <w:rPr>
          <w:rFonts w:eastAsia="Arial Unicode MS"/>
          <w:b/>
          <w:bCs/>
          <w:color w:val="000000"/>
          <w:bdr w:val="nil"/>
          <w:lang w:val="en-US"/>
        </w:rPr>
        <w:t>Примарна професионална позадина</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Академија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Правна практика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Јавен сектор / носење политики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Меѓународна организација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Приватен сектор</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6D77698C" w14:textId="3AF83C09" w:rsidR="00C717AC" w:rsidRPr="00C717AC" w:rsidRDefault="00C717AC" w:rsidP="00C717AC">
      <w:pPr>
        <w:pStyle w:val="BodyText"/>
        <w:numPr>
          <w:ilvl w:val="0"/>
          <w:numId w:val="61"/>
        </w:numPr>
        <w:jc w:val="both"/>
        <w:rPr>
          <w:rFonts w:eastAsia="Arial Unicode MS"/>
          <w:color w:val="000000"/>
          <w:bdr w:val="nil"/>
          <w:lang w:val="en-US"/>
        </w:rPr>
      </w:pPr>
      <w:r w:rsidRPr="00C717AC">
        <w:rPr>
          <w:rFonts w:eastAsia="Arial Unicode MS"/>
          <w:b/>
          <w:bCs/>
          <w:color w:val="000000"/>
          <w:bdr w:val="nil"/>
          <w:lang w:val="en-US"/>
        </w:rPr>
        <w:t>Години на искуство</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0–5 години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5–10 години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10–20 години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20+ години </w:t>
      </w:r>
    </w:p>
    <w:p w14:paraId="191914C0" w14:textId="6023EAA7" w:rsidR="00C717AC" w:rsidRPr="00C717AC" w:rsidRDefault="00C717AC" w:rsidP="00C717AC">
      <w:pPr>
        <w:pStyle w:val="BodyText"/>
        <w:jc w:val="both"/>
        <w:rPr>
          <w:rFonts w:eastAsia="Arial Unicode MS"/>
          <w:color w:val="000000"/>
          <w:bdr w:val="nil"/>
          <w:lang w:val="en-US"/>
        </w:rPr>
      </w:pPr>
    </w:p>
    <w:p w14:paraId="723DCB03"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2: Оценка на тековниот контекст</w:t>
      </w:r>
    </w:p>
    <w:p w14:paraId="47A213F2" w14:textId="6EFA02EF" w:rsidR="00C717AC" w:rsidRPr="00C717AC" w:rsidRDefault="00C717AC" w:rsidP="00C717AC">
      <w:pPr>
        <w:pStyle w:val="BodyText"/>
        <w:numPr>
          <w:ilvl w:val="0"/>
          <w:numId w:val="62"/>
        </w:numPr>
        <w:jc w:val="both"/>
        <w:rPr>
          <w:rFonts w:eastAsia="Arial Unicode MS"/>
          <w:color w:val="000000"/>
          <w:bdr w:val="nil"/>
          <w:lang w:val="en-US"/>
        </w:rPr>
      </w:pPr>
      <w:r w:rsidRPr="00C717AC">
        <w:rPr>
          <w:rFonts w:eastAsia="Arial Unicode MS"/>
          <w:b/>
          <w:bCs/>
          <w:color w:val="000000"/>
          <w:bdr w:val="nil"/>
          <w:lang w:val="en-US"/>
        </w:rPr>
        <w:t>Како ја оценувате соодветноста на постојната правна и институционална рамка во Македонија за модели на учество на вработените?</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Целосно несоодветна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Делумно несоодветна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Неутрална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Соодветна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Високо соодветна </w:t>
      </w:r>
    </w:p>
    <w:p w14:paraId="2FE40D72" w14:textId="51DC0EC8" w:rsidR="00C717AC" w:rsidRPr="00C717AC" w:rsidRDefault="00C717AC" w:rsidP="00C717AC">
      <w:pPr>
        <w:pStyle w:val="BodyText"/>
        <w:numPr>
          <w:ilvl w:val="0"/>
          <w:numId w:val="62"/>
        </w:numPr>
        <w:jc w:val="both"/>
        <w:rPr>
          <w:rFonts w:eastAsia="Arial Unicode MS"/>
          <w:color w:val="000000"/>
          <w:bdr w:val="nil"/>
          <w:lang w:val="en-US"/>
        </w:rPr>
      </w:pPr>
      <w:r w:rsidRPr="00C717AC">
        <w:rPr>
          <w:rFonts w:eastAsia="Arial Unicode MS"/>
          <w:b/>
          <w:bCs/>
          <w:color w:val="000000"/>
          <w:bdr w:val="nil"/>
          <w:lang w:val="en-US"/>
        </w:rPr>
        <w:t>Кои се главните структурни ограничувања? (изберете до 3)</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Слаби механизми за спроведување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Недостаток на правна јасност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Ограничен институционален капацитет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Политичко-економски ограничувања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Ниско ниво на свесност кај засегнатите страни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5AE4A2C8" w14:textId="61494C65" w:rsidR="00C717AC" w:rsidRPr="00C717AC" w:rsidRDefault="00C717AC" w:rsidP="00C717AC">
      <w:pPr>
        <w:pStyle w:val="BodyText"/>
        <w:numPr>
          <w:ilvl w:val="0"/>
          <w:numId w:val="62"/>
        </w:numPr>
        <w:jc w:val="both"/>
        <w:rPr>
          <w:rFonts w:eastAsia="Arial Unicode MS"/>
          <w:color w:val="000000"/>
          <w:bdr w:val="nil"/>
          <w:lang w:val="en-US"/>
        </w:rPr>
      </w:pPr>
      <w:r w:rsidRPr="00C717AC">
        <w:rPr>
          <w:rFonts w:eastAsia="Arial Unicode MS"/>
          <w:b/>
          <w:bCs/>
          <w:color w:val="000000"/>
          <w:bdr w:val="nil"/>
          <w:lang w:val="en-US"/>
        </w:rPr>
        <w:t>Како го оценувате тековното ниво на застапеност на вработените во пракса?</w:t>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Многу слабо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lastRenderedPageBreak/>
        <w:t>☐</w:t>
      </w:r>
      <w:r w:rsidRPr="00C717AC">
        <w:rPr>
          <w:rFonts w:eastAsia="Arial Unicode MS"/>
          <w:color w:val="000000"/>
          <w:bdr w:val="nil"/>
          <w:lang w:val="en-US"/>
        </w:rPr>
        <w:t xml:space="preserve"> Слабо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Умерено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Силно </w:t>
      </w:r>
    </w:p>
    <w:p w14:paraId="1045C0BB" w14:textId="5404BB36" w:rsidR="00C717AC" w:rsidRPr="00C717AC" w:rsidRDefault="00C717AC" w:rsidP="00C717AC">
      <w:pPr>
        <w:pStyle w:val="BodyText"/>
        <w:jc w:val="both"/>
        <w:rPr>
          <w:rFonts w:eastAsia="Arial Unicode MS"/>
          <w:color w:val="000000"/>
          <w:bdr w:val="nil"/>
          <w:lang w:val="en-US"/>
        </w:rPr>
      </w:pPr>
    </w:p>
    <w:p w14:paraId="5EFF72E4"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3: Релевантност и политичка оправданост</w:t>
      </w:r>
    </w:p>
    <w:p w14:paraId="08E76E12" w14:textId="635C8227" w:rsidR="00C717AC" w:rsidRPr="00C717AC" w:rsidRDefault="00C717AC" w:rsidP="00C717AC">
      <w:pPr>
        <w:pStyle w:val="BodyText"/>
        <w:numPr>
          <w:ilvl w:val="0"/>
          <w:numId w:val="63"/>
        </w:numPr>
        <w:jc w:val="both"/>
        <w:rPr>
          <w:rFonts w:eastAsia="Arial Unicode MS"/>
          <w:color w:val="000000"/>
          <w:bdr w:val="nil"/>
          <w:lang w:val="en-US"/>
        </w:rPr>
      </w:pPr>
      <w:r w:rsidRPr="00C717AC">
        <w:rPr>
          <w:rFonts w:eastAsia="Arial Unicode MS"/>
          <w:b/>
          <w:bCs/>
          <w:color w:val="000000"/>
          <w:bdr w:val="nil"/>
          <w:lang w:val="en-US"/>
        </w:rPr>
        <w:t>Колку се релевантни моделите на учество на вработените за Македонија во тековната фаза на економски и институционален развој?</w:t>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Воопшто не се релевантни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Малку се релевантни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Умерено се релевантни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Многу се релевантни </w:t>
      </w:r>
    </w:p>
    <w:p w14:paraId="317668D4" w14:textId="74D0A05A" w:rsidR="00C717AC" w:rsidRPr="00C717AC" w:rsidRDefault="00C717AC" w:rsidP="00C717AC">
      <w:pPr>
        <w:pStyle w:val="BodyText"/>
        <w:numPr>
          <w:ilvl w:val="0"/>
          <w:numId w:val="63"/>
        </w:numPr>
        <w:jc w:val="both"/>
        <w:rPr>
          <w:rFonts w:eastAsia="Arial Unicode MS"/>
          <w:color w:val="000000"/>
          <w:bdr w:val="nil"/>
          <w:lang w:val="en-US"/>
        </w:rPr>
      </w:pPr>
      <w:r w:rsidRPr="00C717AC">
        <w:rPr>
          <w:rFonts w:eastAsia="Arial Unicode MS"/>
          <w:b/>
          <w:bCs/>
          <w:color w:val="000000"/>
          <w:bdr w:val="nil"/>
          <w:lang w:val="en-US"/>
        </w:rPr>
        <w:t>Кои се примарните цели на јавните политики што треба да ги опслужуваат овие модели? (изберете до 3)</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Подобрување на перформансите на компаниите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Унапредување на работничките права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Зголемување на социјалната кохезија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Усогласување со стандардите на ЕУ</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Зајакнување на корпоративната отчетност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26A06103" w14:textId="02A49DA7" w:rsidR="00C717AC" w:rsidRPr="00C717AC" w:rsidRDefault="00C717AC" w:rsidP="00C717AC">
      <w:pPr>
        <w:pStyle w:val="BodyText"/>
        <w:jc w:val="both"/>
        <w:rPr>
          <w:rFonts w:eastAsia="Arial Unicode MS"/>
          <w:color w:val="000000"/>
          <w:bdr w:val="nil"/>
          <w:lang w:val="en-US"/>
        </w:rPr>
      </w:pPr>
    </w:p>
    <w:p w14:paraId="71B67B51"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4: Евалуација на инструменти</w:t>
      </w:r>
    </w:p>
    <w:p w14:paraId="00A5BA5B" w14:textId="77777777" w:rsidR="00C717AC" w:rsidRPr="00C717AC" w:rsidRDefault="00C717AC" w:rsidP="00C717AC">
      <w:pPr>
        <w:pStyle w:val="BodyText"/>
        <w:jc w:val="both"/>
        <w:rPr>
          <w:rFonts w:eastAsia="Arial Unicode MS"/>
          <w:b/>
          <w:bCs/>
          <w:color w:val="000000"/>
          <w:bdr w:val="nil"/>
          <w:lang w:val="en-US"/>
        </w:rPr>
      </w:pPr>
      <w:r w:rsidRPr="00C717AC">
        <w:rPr>
          <w:rFonts w:eastAsia="Arial Unicode MS"/>
          <w:b/>
          <w:bCs/>
          <w:color w:val="000000"/>
          <w:bdr w:val="nil"/>
          <w:lang w:val="en-US"/>
        </w:rPr>
        <w:t>A. Сопственост на акции од страна на вработените</w:t>
      </w:r>
    </w:p>
    <w:p w14:paraId="70EAE622" w14:textId="6C9FEC09" w:rsidR="00C717AC" w:rsidRPr="00C717AC" w:rsidRDefault="00C717AC" w:rsidP="00C717AC">
      <w:pPr>
        <w:pStyle w:val="BodyText"/>
        <w:numPr>
          <w:ilvl w:val="0"/>
          <w:numId w:val="64"/>
        </w:numPr>
        <w:jc w:val="both"/>
        <w:rPr>
          <w:rFonts w:eastAsia="Arial Unicode MS"/>
          <w:color w:val="000000"/>
          <w:bdr w:val="nil"/>
          <w:lang w:val="en-US"/>
        </w:rPr>
      </w:pPr>
      <w:r w:rsidRPr="00C717AC">
        <w:rPr>
          <w:rFonts w:eastAsia="Arial Unicode MS"/>
          <w:b/>
          <w:bCs/>
          <w:color w:val="000000"/>
          <w:bdr w:val="nil"/>
          <w:lang w:val="en-US"/>
        </w:rPr>
        <w:t>Колку се соодветни шемите за сопственост на акции од страна на вработените во македонскиот контекст?</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Воопшто не се соодветни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Малку се соодветни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Умерено се соодветни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Многу се соодветни </w:t>
      </w:r>
    </w:p>
    <w:p w14:paraId="7E8BA594" w14:textId="19A64E8B" w:rsidR="00C717AC" w:rsidRPr="00C717AC" w:rsidRDefault="00C717AC" w:rsidP="00C717AC">
      <w:pPr>
        <w:pStyle w:val="BodyText"/>
        <w:numPr>
          <w:ilvl w:val="0"/>
          <w:numId w:val="64"/>
        </w:numPr>
        <w:jc w:val="both"/>
        <w:rPr>
          <w:rFonts w:eastAsia="Arial Unicode MS"/>
          <w:color w:val="000000"/>
          <w:bdr w:val="nil"/>
          <w:lang w:val="en-US"/>
        </w:rPr>
      </w:pPr>
      <w:r w:rsidRPr="00C717AC">
        <w:rPr>
          <w:rFonts w:eastAsia="Arial Unicode MS"/>
          <w:b/>
          <w:bCs/>
          <w:color w:val="000000"/>
          <w:bdr w:val="nil"/>
          <w:lang w:val="en-US"/>
        </w:rPr>
        <w:t>Кои дизајнерски карактеристики се клучни за нивниот успех? (изберете до 3)</w:t>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Јасна правна рамка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Даночни поттикнувања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Заштита од финансиски ризик</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Инклузивен пристап (не само за клучни вработени)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Ограничувања на разредување на контролата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4E5C147A" w14:textId="79C6E697" w:rsidR="00C717AC" w:rsidRPr="00C717AC" w:rsidRDefault="00C717AC" w:rsidP="00C717AC">
      <w:pPr>
        <w:pStyle w:val="BodyText"/>
        <w:numPr>
          <w:ilvl w:val="0"/>
          <w:numId w:val="64"/>
        </w:numPr>
        <w:jc w:val="both"/>
        <w:rPr>
          <w:rFonts w:eastAsia="Arial Unicode MS"/>
          <w:color w:val="000000"/>
          <w:bdr w:val="nil"/>
          <w:lang w:val="en-US"/>
        </w:rPr>
      </w:pPr>
      <w:r w:rsidRPr="00C717AC">
        <w:rPr>
          <w:rFonts w:eastAsia="Arial Unicode MS"/>
          <w:b/>
          <w:bCs/>
          <w:color w:val="000000"/>
          <w:bdr w:val="nil"/>
          <w:lang w:val="en-US"/>
        </w:rPr>
        <w:t>Кој модел би бил најсоодветен?</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Директна сопственост на акции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Структури од типот ESOP</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Хибридни модели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Учество во добивка без сопственост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Контекстуално зависно решение </w:t>
      </w:r>
    </w:p>
    <w:p w14:paraId="3D8A73F2" w14:textId="5E891F2C" w:rsidR="00C717AC" w:rsidRDefault="00C717AC" w:rsidP="00C717AC">
      <w:pPr>
        <w:pStyle w:val="BodyText"/>
        <w:jc w:val="both"/>
        <w:rPr>
          <w:rFonts w:eastAsia="Arial Unicode MS"/>
          <w:color w:val="000000"/>
          <w:bdr w:val="nil"/>
          <w:lang w:val="mk-MK"/>
        </w:rPr>
      </w:pPr>
    </w:p>
    <w:p w14:paraId="6C2CC1B3" w14:textId="77777777" w:rsidR="00386602" w:rsidRPr="00C717AC" w:rsidRDefault="00386602" w:rsidP="00C717AC">
      <w:pPr>
        <w:pStyle w:val="BodyText"/>
        <w:jc w:val="both"/>
        <w:rPr>
          <w:rFonts w:eastAsia="Arial Unicode MS"/>
          <w:color w:val="000000"/>
          <w:bdr w:val="nil"/>
          <w:lang w:val="mk-MK"/>
        </w:rPr>
      </w:pPr>
    </w:p>
    <w:p w14:paraId="038EECC6" w14:textId="77777777" w:rsidR="00C717AC" w:rsidRPr="00C717AC" w:rsidRDefault="00C717AC" w:rsidP="00C717AC">
      <w:pPr>
        <w:pStyle w:val="BodyText"/>
        <w:jc w:val="both"/>
        <w:rPr>
          <w:rFonts w:eastAsia="Arial Unicode MS"/>
          <w:b/>
          <w:bCs/>
          <w:color w:val="000000"/>
          <w:bdr w:val="nil"/>
          <w:lang w:val="en-US"/>
        </w:rPr>
      </w:pPr>
      <w:r w:rsidRPr="00C717AC">
        <w:rPr>
          <w:rFonts w:eastAsia="Arial Unicode MS"/>
          <w:b/>
          <w:bCs/>
          <w:color w:val="000000"/>
          <w:bdr w:val="nil"/>
          <w:lang w:val="en-US"/>
        </w:rPr>
        <w:lastRenderedPageBreak/>
        <w:t>B. Учество во управувањето</w:t>
      </w:r>
    </w:p>
    <w:p w14:paraId="1D1E23F3" w14:textId="0DBD5CC4" w:rsidR="00C717AC" w:rsidRPr="00C717AC" w:rsidRDefault="00C717AC" w:rsidP="00C717AC">
      <w:pPr>
        <w:pStyle w:val="BodyText"/>
        <w:numPr>
          <w:ilvl w:val="0"/>
          <w:numId w:val="65"/>
        </w:numPr>
        <w:jc w:val="both"/>
        <w:rPr>
          <w:rFonts w:eastAsia="Arial Unicode MS"/>
          <w:color w:val="000000"/>
          <w:bdr w:val="nil"/>
          <w:lang w:val="en-US"/>
        </w:rPr>
      </w:pPr>
      <w:r w:rsidRPr="00C717AC">
        <w:rPr>
          <w:rFonts w:eastAsia="Arial Unicode MS"/>
          <w:b/>
          <w:bCs/>
          <w:color w:val="000000"/>
          <w:bdr w:val="nil"/>
          <w:lang w:val="en-US"/>
        </w:rPr>
        <w:t>До кој степен треба да бидат застапени вработените во структурите на корпоративно управување?</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Воопшто не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Ограничено (советодавно)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Умерено (малцинска застапеност во одбор)</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Високо (кодетерминација) </w:t>
      </w:r>
    </w:p>
    <w:p w14:paraId="2855E7B6" w14:textId="0FF474D0" w:rsidR="00C717AC" w:rsidRPr="00C717AC" w:rsidRDefault="00C717AC" w:rsidP="00C717AC">
      <w:pPr>
        <w:pStyle w:val="BodyText"/>
        <w:numPr>
          <w:ilvl w:val="0"/>
          <w:numId w:val="65"/>
        </w:numPr>
        <w:jc w:val="both"/>
        <w:rPr>
          <w:rFonts w:eastAsia="Arial Unicode MS"/>
          <w:color w:val="000000"/>
          <w:bdr w:val="nil"/>
          <w:lang w:val="en-US"/>
        </w:rPr>
      </w:pPr>
      <w:r w:rsidRPr="00C717AC">
        <w:rPr>
          <w:rFonts w:eastAsia="Arial Unicode MS"/>
          <w:b/>
          <w:bCs/>
          <w:color w:val="000000"/>
          <w:bdr w:val="nil"/>
          <w:lang w:val="en-US"/>
        </w:rPr>
        <w:t>Кое ниво на влијание е најсоодветно?</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Информативно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Консултативно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Со право на одлучување </w:t>
      </w:r>
    </w:p>
    <w:p w14:paraId="02A70112" w14:textId="3722295C" w:rsidR="00C717AC" w:rsidRPr="00C717AC" w:rsidRDefault="00C717AC" w:rsidP="00C717AC">
      <w:pPr>
        <w:pStyle w:val="BodyText"/>
        <w:numPr>
          <w:ilvl w:val="0"/>
          <w:numId w:val="65"/>
        </w:numPr>
        <w:jc w:val="both"/>
        <w:rPr>
          <w:rFonts w:eastAsia="Arial Unicode MS"/>
          <w:color w:val="000000"/>
          <w:bdr w:val="nil"/>
          <w:lang w:val="en-US"/>
        </w:rPr>
      </w:pPr>
      <w:r w:rsidRPr="00C717AC">
        <w:rPr>
          <w:rFonts w:eastAsia="Arial Unicode MS"/>
          <w:b/>
          <w:bCs/>
          <w:color w:val="000000"/>
          <w:bdr w:val="nil"/>
          <w:lang w:val="en-US"/>
        </w:rPr>
        <w:t>Кој модел е најизводлив на краток до среден рок?</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Само советодавни механизми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Постепено воведување на застапеност во одбор</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Работнички совети со формална поврзаност со управувањето</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Целосна кодетерминација </w:t>
      </w:r>
    </w:p>
    <w:p w14:paraId="5BE0BBBF" w14:textId="34997621" w:rsidR="00C717AC" w:rsidRPr="00C717AC" w:rsidRDefault="00C717AC" w:rsidP="00C717AC">
      <w:pPr>
        <w:pStyle w:val="BodyText"/>
        <w:jc w:val="both"/>
        <w:rPr>
          <w:rFonts w:eastAsia="Arial Unicode MS"/>
          <w:color w:val="000000"/>
          <w:bdr w:val="nil"/>
          <w:lang w:val="en-US"/>
        </w:rPr>
      </w:pPr>
    </w:p>
    <w:p w14:paraId="578F6EAC"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5: Анализа на ризици и придобивки</w:t>
      </w:r>
    </w:p>
    <w:p w14:paraId="349596A0" w14:textId="6605719C" w:rsidR="00C717AC" w:rsidRPr="00C717AC" w:rsidRDefault="00C717AC" w:rsidP="00C717AC">
      <w:pPr>
        <w:pStyle w:val="BodyText"/>
        <w:numPr>
          <w:ilvl w:val="0"/>
          <w:numId w:val="66"/>
        </w:numPr>
        <w:jc w:val="both"/>
        <w:rPr>
          <w:rFonts w:eastAsia="Arial Unicode MS"/>
          <w:color w:val="000000"/>
          <w:bdr w:val="nil"/>
          <w:lang w:val="en-US"/>
        </w:rPr>
      </w:pPr>
      <w:r w:rsidRPr="00C717AC">
        <w:rPr>
          <w:rFonts w:eastAsia="Arial Unicode MS"/>
          <w:b/>
          <w:bCs/>
          <w:color w:val="000000"/>
          <w:bdr w:val="nil"/>
          <w:lang w:val="en-US"/>
        </w:rPr>
        <w:t>Кои се најзначајните очекувани придобивки? (изберете до 3)</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Подобрени перформанси на компаниите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Поголема ангажираност на вработените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Намалување на работните конфликти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Подобри практики на управување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Усогласување со ЕУ</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69C03F4E" w14:textId="6B69E545" w:rsidR="00C717AC" w:rsidRPr="00C717AC" w:rsidRDefault="00C717AC" w:rsidP="00C717AC">
      <w:pPr>
        <w:pStyle w:val="BodyText"/>
        <w:numPr>
          <w:ilvl w:val="0"/>
          <w:numId w:val="66"/>
        </w:numPr>
        <w:jc w:val="both"/>
        <w:rPr>
          <w:rFonts w:eastAsia="Arial Unicode MS"/>
          <w:color w:val="000000"/>
          <w:bdr w:val="nil"/>
          <w:lang w:val="en-US"/>
        </w:rPr>
      </w:pPr>
      <w:r w:rsidRPr="00C717AC">
        <w:rPr>
          <w:rFonts w:eastAsia="Arial Unicode MS"/>
          <w:b/>
          <w:bCs/>
          <w:color w:val="000000"/>
          <w:bdr w:val="nil"/>
          <w:lang w:val="en-US"/>
        </w:rPr>
        <w:t>Кои се најзначајните ризици? (изберете до 3)</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Намалена менаџерска ефикасност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Симболична имплементација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Регулаторна комплексност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Политичко влијание / злоупотреба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Отпор од сопствениците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0F49829C" w14:textId="588D6581" w:rsidR="00C717AC" w:rsidRPr="00C717AC" w:rsidRDefault="00C717AC" w:rsidP="00C717AC">
      <w:pPr>
        <w:pStyle w:val="BodyText"/>
        <w:jc w:val="both"/>
        <w:rPr>
          <w:rFonts w:eastAsia="Arial Unicode MS"/>
          <w:color w:val="000000"/>
          <w:bdr w:val="nil"/>
          <w:lang w:val="en-US"/>
        </w:rPr>
      </w:pPr>
    </w:p>
    <w:p w14:paraId="12244409" w14:textId="77777777" w:rsidR="00C717AC" w:rsidRPr="00C717AC" w:rsidRDefault="00C717AC" w:rsidP="00386602">
      <w:pPr>
        <w:pStyle w:val="BodyText"/>
        <w:jc w:val="both"/>
        <w:rPr>
          <w:rFonts w:eastAsia="Arial Unicode MS"/>
          <w:b/>
          <w:bCs/>
          <w:color w:val="000000"/>
          <w:bdr w:val="nil"/>
          <w:lang w:val="en-US"/>
        </w:rPr>
      </w:pPr>
      <w:r w:rsidRPr="00C717AC">
        <w:rPr>
          <w:rFonts w:eastAsia="Arial Unicode MS"/>
          <w:b/>
          <w:bCs/>
          <w:color w:val="000000"/>
          <w:bdr w:val="nil"/>
          <w:lang w:val="en-US"/>
        </w:rPr>
        <w:t>Секција 6: Изводливост и реформска стратегија</w:t>
      </w:r>
    </w:p>
    <w:p w14:paraId="1452CAF0" w14:textId="344CEF5C" w:rsidR="00C717AC" w:rsidRPr="00C717AC" w:rsidRDefault="00C717AC" w:rsidP="00C717AC">
      <w:pPr>
        <w:pStyle w:val="BodyText"/>
        <w:numPr>
          <w:ilvl w:val="0"/>
          <w:numId w:val="67"/>
        </w:numPr>
        <w:jc w:val="both"/>
        <w:rPr>
          <w:rFonts w:eastAsia="Arial Unicode MS"/>
          <w:color w:val="000000"/>
          <w:bdr w:val="nil"/>
          <w:lang w:val="en-US"/>
        </w:rPr>
      </w:pPr>
      <w:r w:rsidRPr="00C717AC">
        <w:rPr>
          <w:rFonts w:eastAsia="Arial Unicode MS"/>
          <w:b/>
          <w:bCs/>
          <w:color w:val="000000"/>
          <w:bdr w:val="nil"/>
          <w:lang w:val="en-US"/>
        </w:rPr>
        <w:t>Кои се главните бариери за имплементација во Македонија?</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Правни бариери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Институционален капацитет</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Отпор од работодавачите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Подготвеност на вработените</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Економски ограничувања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Друго: _______ </w:t>
      </w:r>
    </w:p>
    <w:p w14:paraId="47401F78" w14:textId="40DC207A" w:rsidR="00C717AC" w:rsidRPr="00C717AC" w:rsidRDefault="00C717AC" w:rsidP="00C717AC">
      <w:pPr>
        <w:pStyle w:val="BodyText"/>
        <w:numPr>
          <w:ilvl w:val="0"/>
          <w:numId w:val="67"/>
        </w:numPr>
        <w:jc w:val="both"/>
        <w:rPr>
          <w:rFonts w:eastAsia="Arial Unicode MS"/>
          <w:color w:val="000000"/>
          <w:bdr w:val="nil"/>
          <w:lang w:val="en-US"/>
        </w:rPr>
      </w:pPr>
      <w:r w:rsidRPr="00C717AC">
        <w:rPr>
          <w:rFonts w:eastAsia="Arial Unicode MS"/>
          <w:b/>
          <w:bCs/>
          <w:color w:val="000000"/>
          <w:bdr w:val="nil"/>
          <w:lang w:val="en-US"/>
        </w:rPr>
        <w:t>Кој пристап кон реформи би бил најефективен?</w:t>
      </w:r>
      <w:r w:rsidR="00386602">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Постепени / инкрементални реформи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Пилот-проекти</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lastRenderedPageBreak/>
        <w:t>☐</w:t>
      </w:r>
      <w:r w:rsidRPr="00C717AC">
        <w:rPr>
          <w:rFonts w:eastAsia="Arial Unicode MS"/>
          <w:color w:val="000000"/>
          <w:bdr w:val="nil"/>
          <w:lang w:val="en-US"/>
        </w:rPr>
        <w:t xml:space="preserve"> Сеопфатна законска реформа</w:t>
      </w:r>
      <w:r w:rsidR="00386602">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Секторски пристап </w:t>
      </w:r>
    </w:p>
    <w:p w14:paraId="020426F9" w14:textId="6AA9878A" w:rsidR="00C717AC" w:rsidRPr="00C717AC" w:rsidRDefault="00C717AC" w:rsidP="00C717AC">
      <w:pPr>
        <w:pStyle w:val="BodyText"/>
        <w:numPr>
          <w:ilvl w:val="0"/>
          <w:numId w:val="67"/>
        </w:numPr>
        <w:jc w:val="both"/>
        <w:rPr>
          <w:rFonts w:eastAsia="Arial Unicode MS"/>
          <w:color w:val="000000"/>
          <w:bdr w:val="nil"/>
          <w:lang w:val="en-US"/>
        </w:rPr>
      </w:pPr>
      <w:r w:rsidRPr="00C717AC">
        <w:rPr>
          <w:rFonts w:eastAsia="Arial Unicode MS"/>
          <w:b/>
          <w:bCs/>
          <w:color w:val="000000"/>
          <w:bdr w:val="nil"/>
          <w:lang w:val="en-US"/>
        </w:rPr>
        <w:t>Кој временски хоризонт е реалистичен за значајна имплементација?</w:t>
      </w:r>
      <w:r w:rsidR="008B35EB">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Краткорочен (1–3 години)</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Среднорочен (3–5 години)</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Долгорочен (5+ години) </w:t>
      </w:r>
    </w:p>
    <w:p w14:paraId="7457D2E7" w14:textId="04C19F0A" w:rsidR="00C717AC" w:rsidRPr="00C717AC" w:rsidRDefault="00C717AC" w:rsidP="00C717AC">
      <w:pPr>
        <w:pStyle w:val="BodyText"/>
        <w:jc w:val="both"/>
        <w:rPr>
          <w:rFonts w:eastAsia="Arial Unicode MS"/>
          <w:color w:val="000000"/>
          <w:bdr w:val="nil"/>
          <w:lang w:val="en-US"/>
        </w:rPr>
      </w:pPr>
    </w:p>
    <w:p w14:paraId="6842EDD1" w14:textId="77777777" w:rsidR="00C717AC" w:rsidRPr="00C717AC" w:rsidRDefault="00C717AC" w:rsidP="003E65E5">
      <w:pPr>
        <w:pStyle w:val="BodyText"/>
        <w:jc w:val="both"/>
        <w:rPr>
          <w:rFonts w:eastAsia="Arial Unicode MS"/>
          <w:b/>
          <w:bCs/>
          <w:color w:val="000000"/>
          <w:bdr w:val="nil"/>
          <w:lang w:val="en-US"/>
        </w:rPr>
      </w:pPr>
      <w:r w:rsidRPr="00C717AC">
        <w:rPr>
          <w:rFonts w:eastAsia="Arial Unicode MS"/>
          <w:b/>
          <w:bCs/>
          <w:color w:val="000000"/>
          <w:bdr w:val="nil"/>
          <w:lang w:val="en-US"/>
        </w:rPr>
        <w:t>Секција 7: Влијание на ЕУ и компаративна перспектива</w:t>
      </w:r>
    </w:p>
    <w:p w14:paraId="6AAA4C1B" w14:textId="4346ED64" w:rsidR="00C717AC" w:rsidRPr="00C717AC" w:rsidRDefault="00C717AC" w:rsidP="00C717AC">
      <w:pPr>
        <w:pStyle w:val="BodyText"/>
        <w:numPr>
          <w:ilvl w:val="0"/>
          <w:numId w:val="68"/>
        </w:numPr>
        <w:jc w:val="both"/>
        <w:rPr>
          <w:rFonts w:eastAsia="Arial Unicode MS"/>
          <w:color w:val="000000"/>
          <w:bdr w:val="nil"/>
          <w:lang w:val="en-US"/>
        </w:rPr>
      </w:pPr>
      <w:r w:rsidRPr="00C717AC">
        <w:rPr>
          <w:rFonts w:eastAsia="Arial Unicode MS"/>
          <w:b/>
          <w:bCs/>
          <w:color w:val="000000"/>
          <w:bdr w:val="nil"/>
          <w:lang w:val="en-US"/>
        </w:rPr>
        <w:t>До кој степен усогласувањето со Европската Унија треба да ги води реформите во оваа област?</w:t>
      </w:r>
      <w:r w:rsidR="003E65E5">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Воопшто не</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Малку</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Умерено</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Силно </w:t>
      </w:r>
    </w:p>
    <w:p w14:paraId="22369834" w14:textId="799588CC" w:rsidR="00C717AC" w:rsidRPr="00C717AC" w:rsidRDefault="00C717AC" w:rsidP="00C717AC">
      <w:pPr>
        <w:pStyle w:val="BodyText"/>
        <w:numPr>
          <w:ilvl w:val="0"/>
          <w:numId w:val="68"/>
        </w:numPr>
        <w:jc w:val="both"/>
        <w:rPr>
          <w:rFonts w:eastAsia="Arial Unicode MS"/>
          <w:color w:val="000000"/>
          <w:bdr w:val="nil"/>
          <w:lang w:val="en-US"/>
        </w:rPr>
      </w:pPr>
      <w:r w:rsidRPr="00C717AC">
        <w:rPr>
          <w:rFonts w:eastAsia="Arial Unicode MS"/>
          <w:b/>
          <w:bCs/>
          <w:color w:val="000000"/>
          <w:bdr w:val="nil"/>
          <w:lang w:val="en-US"/>
        </w:rPr>
        <w:t>Кои компаративни модели се најрелевантни за Северна Македонија?</w:t>
      </w:r>
      <w:r w:rsidR="003E65E5">
        <w:rPr>
          <w:rFonts w:eastAsia="Arial Unicode MS"/>
          <w:b/>
          <w:bC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Германска кодетерминација</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Нордиски модели</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Англо-саксонски ESOP модели</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Хибридни / транзициски модели</w:t>
      </w:r>
      <w:r w:rsidR="003E65E5">
        <w:rPr>
          <w:rFonts w:eastAsia="Arial Unicode MS"/>
          <w:color w:val="000000"/>
          <w:bdr w:val="nil"/>
          <w:lang w:val="mk-MK"/>
        </w:rPr>
        <w:tab/>
      </w:r>
      <w:r w:rsidRPr="00C717AC">
        <w:rPr>
          <w:rFonts w:eastAsia="Arial Unicode MS"/>
          <w:color w:val="000000"/>
          <w:bdr w:val="nil"/>
          <w:lang w:val="en-US"/>
        </w:rPr>
        <w:br/>
      </w:r>
      <w:r w:rsidRPr="00C717AC">
        <w:rPr>
          <w:rFonts w:ascii="Segoe UI Symbol" w:eastAsia="Arial Unicode MS" w:hAnsi="Segoe UI Symbol" w:cs="Segoe UI Symbol"/>
          <w:color w:val="000000"/>
          <w:bdr w:val="nil"/>
          <w:lang w:val="en-US"/>
        </w:rPr>
        <w:t>☐</w:t>
      </w:r>
      <w:r w:rsidRPr="00C717AC">
        <w:rPr>
          <w:rFonts w:eastAsia="Arial Unicode MS"/>
          <w:color w:val="000000"/>
          <w:bdr w:val="nil"/>
          <w:lang w:val="en-US"/>
        </w:rPr>
        <w:t xml:space="preserve"> Контекстуално специфичен модел </w:t>
      </w:r>
    </w:p>
    <w:p w14:paraId="2379C80D" w14:textId="78ADE7F3" w:rsidR="00C717AC" w:rsidRPr="00C717AC" w:rsidRDefault="00C717AC" w:rsidP="00C717AC">
      <w:pPr>
        <w:pStyle w:val="BodyText"/>
        <w:jc w:val="both"/>
        <w:rPr>
          <w:rFonts w:eastAsia="Arial Unicode MS"/>
          <w:color w:val="000000"/>
          <w:bdr w:val="nil"/>
          <w:lang w:val="en-US"/>
        </w:rPr>
      </w:pPr>
    </w:p>
    <w:p w14:paraId="11FC674D" w14:textId="77777777" w:rsidR="00C717AC" w:rsidRPr="00C717AC" w:rsidRDefault="00C717AC" w:rsidP="003E65E5">
      <w:pPr>
        <w:pStyle w:val="BodyText"/>
        <w:jc w:val="both"/>
        <w:rPr>
          <w:rFonts w:eastAsia="Arial Unicode MS"/>
          <w:b/>
          <w:bCs/>
          <w:color w:val="000000"/>
          <w:bdr w:val="nil"/>
          <w:lang w:val="en-US"/>
        </w:rPr>
      </w:pPr>
      <w:r w:rsidRPr="00C717AC">
        <w:rPr>
          <w:rFonts w:eastAsia="Arial Unicode MS"/>
          <w:b/>
          <w:bCs/>
          <w:color w:val="000000"/>
          <w:bdr w:val="nil"/>
          <w:lang w:val="en-US"/>
        </w:rPr>
        <w:t>Секција 8: Отворени прашања (квалитативни)</w:t>
      </w:r>
    </w:p>
    <w:p w14:paraId="1B13C0E1" w14:textId="55820474" w:rsidR="00C717AC" w:rsidRPr="00C717AC" w:rsidRDefault="00C717AC" w:rsidP="00C717AC">
      <w:pPr>
        <w:pStyle w:val="BodyText"/>
        <w:numPr>
          <w:ilvl w:val="0"/>
          <w:numId w:val="69"/>
        </w:numPr>
        <w:jc w:val="both"/>
        <w:rPr>
          <w:rFonts w:eastAsia="Arial Unicode MS"/>
          <w:color w:val="000000"/>
          <w:bdr w:val="nil"/>
          <w:lang w:val="en-US"/>
        </w:rPr>
      </w:pPr>
      <w:r w:rsidRPr="00C717AC">
        <w:rPr>
          <w:rFonts w:eastAsia="Arial Unicode MS"/>
          <w:b/>
          <w:bCs/>
          <w:color w:val="000000"/>
          <w:bdr w:val="nil"/>
          <w:lang w:val="en-US"/>
        </w:rPr>
        <w:t>Според вас, кој е најреалистичниот реформски пат за воведување на учество на вработените во Македонија?</w:t>
      </w:r>
      <w:r w:rsidRPr="00C717AC">
        <w:rPr>
          <w:rFonts w:eastAsia="Arial Unicode MS"/>
          <w:color w:val="000000"/>
          <w:bdr w:val="nil"/>
          <w:lang w:val="en-US"/>
        </w:rPr>
        <w:t xml:space="preserve"> </w:t>
      </w:r>
    </w:p>
    <w:p w14:paraId="5FDB2B4A" w14:textId="77777777" w:rsidR="00C717AC" w:rsidRPr="00C717AC" w:rsidRDefault="00C717AC" w:rsidP="00C717AC">
      <w:pPr>
        <w:pStyle w:val="BodyText"/>
        <w:numPr>
          <w:ilvl w:val="0"/>
          <w:numId w:val="69"/>
        </w:numPr>
        <w:jc w:val="both"/>
        <w:rPr>
          <w:rFonts w:eastAsia="Arial Unicode MS"/>
          <w:color w:val="000000"/>
          <w:bdr w:val="nil"/>
          <w:lang w:val="en-US"/>
        </w:rPr>
      </w:pPr>
      <w:r w:rsidRPr="00C717AC">
        <w:rPr>
          <w:rFonts w:eastAsia="Arial Unicode MS"/>
          <w:b/>
          <w:bCs/>
          <w:color w:val="000000"/>
          <w:bdr w:val="nil"/>
          <w:lang w:val="en-US"/>
        </w:rPr>
        <w:t>Како може дизајнот на јавните политики да го адресира јазот помеѓу перцепциите на работодавачите и вработените?</w:t>
      </w:r>
      <w:r w:rsidRPr="00C717AC">
        <w:rPr>
          <w:rFonts w:eastAsia="Arial Unicode MS"/>
          <w:color w:val="000000"/>
          <w:bdr w:val="nil"/>
          <w:lang w:val="en-US"/>
        </w:rPr>
        <w:t xml:space="preserve"> </w:t>
      </w:r>
    </w:p>
    <w:p w14:paraId="76188E85" w14:textId="77777777" w:rsidR="00C717AC" w:rsidRPr="00C717AC" w:rsidRDefault="00C717AC" w:rsidP="00C717AC">
      <w:pPr>
        <w:pStyle w:val="BodyText"/>
        <w:numPr>
          <w:ilvl w:val="0"/>
          <w:numId w:val="69"/>
        </w:numPr>
        <w:jc w:val="both"/>
        <w:rPr>
          <w:rFonts w:eastAsia="Arial Unicode MS"/>
          <w:color w:val="000000"/>
          <w:bdr w:val="nil"/>
          <w:lang w:val="en-US"/>
        </w:rPr>
      </w:pPr>
      <w:r w:rsidRPr="00C717AC">
        <w:rPr>
          <w:rFonts w:eastAsia="Arial Unicode MS"/>
          <w:b/>
          <w:bCs/>
          <w:color w:val="000000"/>
          <w:bdr w:val="nil"/>
          <w:lang w:val="en-US"/>
        </w:rPr>
        <w:t>Дали учеството на вработените го сметате првенствено за економска, правна или демократска реформа? Објаснете.</w:t>
      </w:r>
    </w:p>
    <w:p w14:paraId="358AF56E" w14:textId="77777777" w:rsidR="00C717AC" w:rsidRDefault="00C717AC" w:rsidP="005C1B16">
      <w:pPr>
        <w:pStyle w:val="BodyText"/>
        <w:jc w:val="both"/>
        <w:rPr>
          <w:rFonts w:eastAsia="Arial Unicode MS"/>
          <w:color w:val="000000"/>
          <w:bdr w:val="nil"/>
          <w:lang w:val="mk-MK"/>
        </w:rPr>
      </w:pPr>
    </w:p>
    <w:p w14:paraId="251DC80E" w14:textId="77777777" w:rsidR="00D739AB" w:rsidRPr="00D739AB" w:rsidRDefault="00D739AB" w:rsidP="005C1B16">
      <w:pPr>
        <w:pStyle w:val="BodyText"/>
        <w:jc w:val="both"/>
        <w:rPr>
          <w:rFonts w:eastAsia="Arial Unicode MS"/>
          <w:b/>
          <w:bCs/>
          <w:color w:val="000000"/>
          <w:bdr w:val="nil"/>
          <w:lang w:val="mk-MK"/>
        </w:rPr>
      </w:pPr>
      <w:r w:rsidRPr="00D739AB">
        <w:rPr>
          <w:rFonts w:eastAsia="Arial Unicode MS"/>
          <w:b/>
          <w:bCs/>
          <w:color w:val="000000"/>
          <w:bdr w:val="nil"/>
          <w:lang w:val="mk-MK"/>
        </w:rPr>
        <w:t xml:space="preserve">Методолошка белешка </w:t>
      </w:r>
    </w:p>
    <w:p w14:paraId="73F974F8" w14:textId="3100C32A" w:rsidR="00D739AB" w:rsidRDefault="00D739AB" w:rsidP="005C1B16">
      <w:pPr>
        <w:pStyle w:val="BodyText"/>
        <w:jc w:val="both"/>
        <w:rPr>
          <w:rFonts w:eastAsia="Arial Unicode MS"/>
          <w:color w:val="000000"/>
          <w:bdr w:val="nil"/>
          <w:lang w:val="mk-MK"/>
        </w:rPr>
      </w:pPr>
      <w:r w:rsidRPr="00D739AB">
        <w:rPr>
          <w:rFonts w:eastAsia="Arial Unicode MS"/>
          <w:color w:val="000000"/>
          <w:bdr w:val="nil"/>
          <w:lang w:val="mk-MK"/>
        </w:rPr>
        <w:t xml:space="preserve">Прашалникот за национални и меѓународни експерти е конципиран како трет столб во триаголниот истражувачки дизајн, заедно со инструментите наменети за </w:t>
      </w:r>
      <w:r w:rsidR="006C00DE">
        <w:rPr>
          <w:rFonts w:eastAsia="Arial Unicode MS"/>
          <w:color w:val="000000"/>
          <w:bdr w:val="nil"/>
          <w:lang w:val="mk-MK"/>
        </w:rPr>
        <w:t>трго</w:t>
      </w:r>
      <w:r w:rsidR="007F6E91">
        <w:rPr>
          <w:rFonts w:eastAsia="Arial Unicode MS"/>
          <w:color w:val="000000"/>
          <w:bdr w:val="nil"/>
          <w:lang w:val="mk-MK"/>
        </w:rPr>
        <w:t>вс</w:t>
      </w:r>
      <w:r w:rsidR="00D3162F">
        <w:rPr>
          <w:rFonts w:eastAsia="Arial Unicode MS"/>
          <w:color w:val="000000"/>
          <w:bdr w:val="nil"/>
          <w:lang w:val="mk-MK"/>
        </w:rPr>
        <w:t>ки друштва</w:t>
      </w:r>
      <w:r w:rsidRPr="00D739AB">
        <w:rPr>
          <w:rFonts w:eastAsia="Arial Unicode MS"/>
          <w:color w:val="000000"/>
          <w:bdr w:val="nil"/>
          <w:lang w:val="mk-MK"/>
        </w:rPr>
        <w:t xml:space="preserve"> и вработени. Неговата примарна функција е да обезбеди нормативна, аналитичка и компаративна перспектива врз прашањето на учество на вработените во корпоративното управување, со што се надминуваат ограничувањата на перцепциски базираните податоци од другите две групи испитаници.</w:t>
      </w:r>
    </w:p>
    <w:p w14:paraId="571B4C69" w14:textId="77777777" w:rsidR="004E2316" w:rsidRDefault="004E2316" w:rsidP="005C1B16">
      <w:pPr>
        <w:pStyle w:val="BodyText"/>
        <w:jc w:val="both"/>
        <w:rPr>
          <w:rFonts w:eastAsia="Arial Unicode MS"/>
          <w:color w:val="000000"/>
          <w:bdr w:val="nil"/>
          <w:lang w:val="mk-MK"/>
        </w:rPr>
      </w:pPr>
    </w:p>
    <w:p w14:paraId="4BBFC222" w14:textId="77777777" w:rsidR="00E00CE9" w:rsidRDefault="004E2316" w:rsidP="005C1B16">
      <w:pPr>
        <w:pStyle w:val="BodyText"/>
        <w:jc w:val="both"/>
        <w:rPr>
          <w:rFonts w:eastAsia="Arial Unicode MS"/>
          <w:color w:val="000000"/>
          <w:bdr w:val="nil"/>
          <w:lang w:val="mk-MK"/>
        </w:rPr>
      </w:pPr>
      <w:r w:rsidRPr="004E2316">
        <w:rPr>
          <w:rFonts w:eastAsia="Arial Unicode MS"/>
          <w:color w:val="000000"/>
          <w:bdr w:val="nil"/>
          <w:lang w:val="mk-MK"/>
        </w:rPr>
        <w:t xml:space="preserve">Инструментот комбинира структурирани прашања со повеќекратен избор и селектирани отворени прашања, овозможувајќи интеграција на квантитативни и квалитативни податоци. Квантитативниот сегмент е насочен кон систематска евалуација на: (1) соодветноста на правната и институционалната рамка, (2) релевантноста на моделите во дадениот контекст, (3) погодноста на различни инструменти како што се сопственост на акции и застапеност во управувањето, и (4) проценката на ризици, придобивки и изводливост. Квалитативниот сегмент овозможува подлабока експертска рефлексија за реформски стратегии, институционални дизајни и надминување на идентификуваните јазови помеѓу клучните актери. </w:t>
      </w:r>
    </w:p>
    <w:p w14:paraId="653FDA9B" w14:textId="77777777" w:rsidR="00E00CE9" w:rsidRDefault="00E00CE9" w:rsidP="005C1B16">
      <w:pPr>
        <w:pStyle w:val="BodyText"/>
        <w:jc w:val="both"/>
        <w:rPr>
          <w:rFonts w:eastAsia="Arial Unicode MS"/>
          <w:color w:val="000000"/>
          <w:bdr w:val="nil"/>
          <w:lang w:val="mk-MK"/>
        </w:rPr>
      </w:pPr>
    </w:p>
    <w:p w14:paraId="72F559F0" w14:textId="65E55AB9" w:rsidR="004E2316" w:rsidRDefault="004E2316" w:rsidP="005C1B16">
      <w:pPr>
        <w:pStyle w:val="BodyText"/>
        <w:jc w:val="both"/>
        <w:rPr>
          <w:rFonts w:eastAsia="Arial Unicode MS"/>
          <w:color w:val="000000"/>
          <w:bdr w:val="nil"/>
          <w:lang w:val="mk-MK"/>
        </w:rPr>
      </w:pPr>
      <w:r w:rsidRPr="004E2316">
        <w:rPr>
          <w:rFonts w:eastAsia="Arial Unicode MS"/>
          <w:color w:val="000000"/>
          <w:bdr w:val="nil"/>
          <w:lang w:val="mk-MK"/>
        </w:rPr>
        <w:lastRenderedPageBreak/>
        <w:t xml:space="preserve">Клучна карактеристика на прашалникот е неговата вкрстена структура, која овозможува директна споредливост со резултатите од прашалниците за </w:t>
      </w:r>
      <w:r w:rsidR="00CA4CCE">
        <w:rPr>
          <w:rFonts w:eastAsia="Arial Unicode MS"/>
          <w:color w:val="000000"/>
          <w:bdr w:val="nil"/>
          <w:lang w:val="mk-MK"/>
        </w:rPr>
        <w:t>трговски друштва</w:t>
      </w:r>
      <w:r w:rsidRPr="004E2316">
        <w:rPr>
          <w:rFonts w:eastAsia="Arial Unicode MS"/>
          <w:color w:val="000000"/>
          <w:bdr w:val="nil"/>
          <w:lang w:val="mk-MK"/>
        </w:rPr>
        <w:t xml:space="preserve"> и вработени. Ова е особено </w:t>
      </w:r>
      <w:r w:rsidR="00CA4CCE">
        <w:rPr>
          <w:rFonts w:eastAsia="Arial Unicode MS"/>
          <w:color w:val="000000"/>
          <w:bdr w:val="nil"/>
          <w:lang w:val="mk-MK"/>
        </w:rPr>
        <w:t>битно</w:t>
      </w:r>
      <w:r w:rsidRPr="004E2316">
        <w:rPr>
          <w:rFonts w:eastAsia="Arial Unicode MS"/>
          <w:color w:val="000000"/>
          <w:bdr w:val="nil"/>
          <w:lang w:val="mk-MK"/>
        </w:rPr>
        <w:t xml:space="preserve"> во деловите кои се однесуваат на правната рамка, релевантноста на моделите, изборот на инструменти и проценката на бариери. На тој начин, експертските одговори функционираат како аналитички репер преку кој може да се оценат перцепциските отстапувања и практичните ограничувања идентификувани кај другите групи.</w:t>
      </w:r>
    </w:p>
    <w:p w14:paraId="2D48AA14" w14:textId="77777777" w:rsidR="004E2316" w:rsidRDefault="004E2316" w:rsidP="005C1B16">
      <w:pPr>
        <w:pStyle w:val="BodyText"/>
        <w:jc w:val="both"/>
        <w:rPr>
          <w:rFonts w:eastAsia="Arial Unicode MS"/>
          <w:color w:val="000000"/>
          <w:bdr w:val="nil"/>
          <w:lang w:val="mk-MK"/>
        </w:rPr>
      </w:pPr>
    </w:p>
    <w:p w14:paraId="70A9B032" w14:textId="77777777" w:rsidR="004E2316" w:rsidRDefault="004E2316" w:rsidP="005C1B16">
      <w:pPr>
        <w:pStyle w:val="BodyText"/>
        <w:jc w:val="both"/>
        <w:rPr>
          <w:rFonts w:eastAsia="Arial Unicode MS"/>
          <w:color w:val="000000"/>
          <w:bdr w:val="nil"/>
          <w:lang w:val="mk-MK"/>
        </w:rPr>
      </w:pPr>
      <w:r w:rsidRPr="004E2316">
        <w:rPr>
          <w:rFonts w:eastAsia="Arial Unicode MS"/>
          <w:b/>
          <w:bCs/>
          <w:color w:val="000000"/>
          <w:bdr w:val="nil"/>
          <w:lang w:val="mk-MK"/>
        </w:rPr>
        <w:t>Напомена</w:t>
      </w:r>
      <w:r w:rsidRPr="004E2316">
        <w:rPr>
          <w:rFonts w:eastAsia="Arial Unicode MS"/>
          <w:color w:val="000000"/>
          <w:bdr w:val="nil"/>
          <w:lang w:val="mk-MK"/>
        </w:rPr>
        <w:t xml:space="preserve"> </w:t>
      </w:r>
    </w:p>
    <w:p w14:paraId="50341389" w14:textId="34F9DD40" w:rsidR="004E2316" w:rsidRDefault="004E2316" w:rsidP="005C1B16">
      <w:pPr>
        <w:pStyle w:val="BodyText"/>
        <w:jc w:val="both"/>
        <w:rPr>
          <w:rFonts w:eastAsia="Arial Unicode MS"/>
          <w:color w:val="000000"/>
          <w:bdr w:val="nil"/>
          <w:lang w:val="mk-MK"/>
        </w:rPr>
      </w:pPr>
      <w:r w:rsidRPr="004E2316">
        <w:rPr>
          <w:rFonts w:eastAsia="Arial Unicode MS"/>
          <w:color w:val="000000"/>
          <w:bdr w:val="nil"/>
          <w:lang w:val="mk-MK"/>
        </w:rPr>
        <w:t>При интерпретацијата на резултатите од овој прашалник потребно е да се има предвид дека тие рефлектираат експертски проценки, кои, иако се базирани на знаење и искуство, не се имуни на теоретски пристапи, професионални предиспозиции или компаративни референтни рамки. Различните дисциплинарни позадини на испитаниците можат да доведат до варијации во оценките, особено во однос на приоритетите помеѓу економска ефикасност, правна сигурност и демократска легитимност.</w:t>
      </w:r>
    </w:p>
    <w:p w14:paraId="07550A85" w14:textId="77777777" w:rsidR="004E2316" w:rsidRDefault="004E2316" w:rsidP="005C1B16">
      <w:pPr>
        <w:pStyle w:val="BodyText"/>
        <w:jc w:val="both"/>
        <w:rPr>
          <w:rFonts w:eastAsia="Arial Unicode MS"/>
          <w:color w:val="000000"/>
          <w:bdr w:val="nil"/>
          <w:lang w:val="mk-MK"/>
        </w:rPr>
      </w:pPr>
    </w:p>
    <w:p w14:paraId="4CC2438C" w14:textId="6F62D2AC" w:rsidR="004E2316" w:rsidRDefault="004E2316" w:rsidP="005C1B16">
      <w:pPr>
        <w:pStyle w:val="BodyText"/>
        <w:jc w:val="both"/>
        <w:rPr>
          <w:rFonts w:eastAsia="Arial Unicode MS"/>
          <w:color w:val="000000"/>
          <w:bdr w:val="nil"/>
          <w:lang w:val="mk-MK"/>
        </w:rPr>
      </w:pPr>
      <w:r w:rsidRPr="004E2316">
        <w:rPr>
          <w:rFonts w:eastAsia="Arial Unicode MS"/>
          <w:color w:val="000000"/>
          <w:bdr w:val="nil"/>
          <w:lang w:val="mk-MK"/>
        </w:rPr>
        <w:t xml:space="preserve">Дополнително, постои ризик од „пренос“ на компаративни модели кои не се целосно усогласени со специфичностите на македонскиот институционален контекст. Во таа смисла, резултатите треба да се читаат како индикативни насоки за контекстуално прилагодена реформа. Конечно, при вкрстената анализа со податоците од </w:t>
      </w:r>
      <w:r w:rsidR="00A53413">
        <w:rPr>
          <w:rFonts w:eastAsia="Arial Unicode MS"/>
          <w:color w:val="000000"/>
          <w:bdr w:val="nil"/>
          <w:lang w:val="mk-MK"/>
        </w:rPr>
        <w:t>трговските друштва</w:t>
      </w:r>
      <w:r w:rsidRPr="004E2316">
        <w:rPr>
          <w:rFonts w:eastAsia="Arial Unicode MS"/>
          <w:color w:val="000000"/>
          <w:bdr w:val="nil"/>
          <w:lang w:val="mk-MK"/>
        </w:rPr>
        <w:t xml:space="preserve"> и вработените, потребно е да се земе предвид дека експертските проценки често се ориентирани кон „оптимални“ решенија, додека другите актери реагираат во рамки на постојните институционални и пазарни ограничувања.</w:t>
      </w:r>
    </w:p>
    <w:p w14:paraId="1F78031C" w14:textId="77777777" w:rsidR="004B1793" w:rsidRDefault="004B1793" w:rsidP="005C1B16">
      <w:pPr>
        <w:pStyle w:val="BodyText"/>
        <w:jc w:val="both"/>
        <w:rPr>
          <w:rFonts w:eastAsia="Arial Unicode MS"/>
          <w:color w:val="000000"/>
          <w:bdr w:val="nil"/>
          <w:lang w:val="mk-MK"/>
        </w:rPr>
      </w:pPr>
    </w:p>
    <w:p w14:paraId="30294871" w14:textId="77777777" w:rsidR="004B1793" w:rsidRDefault="004B1793" w:rsidP="005C1B16">
      <w:pPr>
        <w:pStyle w:val="BodyText"/>
        <w:jc w:val="both"/>
        <w:rPr>
          <w:rFonts w:eastAsia="Arial Unicode MS"/>
          <w:color w:val="000000"/>
          <w:bdr w:val="nil"/>
          <w:lang w:val="mk-MK"/>
        </w:rPr>
      </w:pPr>
      <w:r w:rsidRPr="004B1793">
        <w:rPr>
          <w:rFonts w:eastAsia="Arial Unicode MS"/>
          <w:b/>
          <w:bCs/>
          <w:color w:val="000000"/>
          <w:bdr w:val="nil"/>
          <w:lang w:val="mk-MK"/>
        </w:rPr>
        <w:t>Синтетички заклучок</w:t>
      </w:r>
      <w:r w:rsidRPr="004B1793">
        <w:rPr>
          <w:rFonts w:eastAsia="Arial Unicode MS"/>
          <w:color w:val="000000"/>
          <w:bdr w:val="nil"/>
          <w:lang w:val="mk-MK"/>
        </w:rPr>
        <w:t xml:space="preserve"> </w:t>
      </w:r>
    </w:p>
    <w:p w14:paraId="007B89AD" w14:textId="24741E46" w:rsidR="004B1793" w:rsidRDefault="004B1793" w:rsidP="005C1B16">
      <w:pPr>
        <w:pStyle w:val="BodyText"/>
        <w:jc w:val="both"/>
        <w:rPr>
          <w:rFonts w:eastAsia="Arial Unicode MS"/>
          <w:color w:val="000000"/>
          <w:bdr w:val="nil"/>
          <w:lang w:val="mk-MK"/>
        </w:rPr>
      </w:pPr>
      <w:r w:rsidRPr="004B1793">
        <w:rPr>
          <w:rFonts w:eastAsia="Arial Unicode MS"/>
          <w:color w:val="000000"/>
          <w:bdr w:val="nil"/>
          <w:lang w:val="mk-MK"/>
        </w:rPr>
        <w:t xml:space="preserve">Прашалникот за експерти ја заокружува емпириската рамка на истражувањето преку воведување на рефлексивна и нормативна димензија во анализата на учеството на вработените. Неговата аналитичка вредност произлегува од способноста да ги позиционира перцепциите на </w:t>
      </w:r>
      <w:r w:rsidR="007E7F6D">
        <w:rPr>
          <w:rFonts w:eastAsia="Arial Unicode MS"/>
          <w:color w:val="000000"/>
          <w:bdr w:val="nil"/>
          <w:lang w:val="mk-MK"/>
        </w:rPr>
        <w:t>трговските друштва</w:t>
      </w:r>
      <w:r w:rsidRPr="004B1793">
        <w:rPr>
          <w:rFonts w:eastAsia="Arial Unicode MS"/>
          <w:color w:val="000000"/>
          <w:bdr w:val="nil"/>
          <w:lang w:val="mk-MK"/>
        </w:rPr>
        <w:t xml:space="preserve"> и вработените во поширок контекст на правни стандарди, компаративни искуства и реформски стратегии.</w:t>
      </w:r>
    </w:p>
    <w:p w14:paraId="605F6DBC" w14:textId="77777777" w:rsidR="004B1793" w:rsidRDefault="004B1793" w:rsidP="005C1B16">
      <w:pPr>
        <w:pStyle w:val="BodyText"/>
        <w:jc w:val="both"/>
        <w:rPr>
          <w:rFonts w:eastAsia="Arial Unicode MS"/>
          <w:color w:val="000000"/>
          <w:bdr w:val="nil"/>
          <w:lang w:val="mk-MK"/>
        </w:rPr>
      </w:pPr>
    </w:p>
    <w:p w14:paraId="61618D2F" w14:textId="77777777" w:rsidR="007177C8" w:rsidRDefault="004B1793" w:rsidP="005C1B16">
      <w:pPr>
        <w:pStyle w:val="BodyText"/>
        <w:jc w:val="both"/>
        <w:rPr>
          <w:rFonts w:eastAsia="Arial Unicode MS"/>
          <w:color w:val="000000"/>
          <w:bdr w:val="nil"/>
          <w:lang w:val="mk-MK"/>
        </w:rPr>
      </w:pPr>
      <w:r w:rsidRPr="004B1793">
        <w:rPr>
          <w:rFonts w:eastAsia="Arial Unicode MS"/>
          <w:color w:val="000000"/>
          <w:bdr w:val="nil"/>
          <w:lang w:val="mk-MK"/>
        </w:rPr>
        <w:t xml:space="preserve">Очекувано, експертските одговори ќе укажат на релативно високо ниво на согласност околу потребата од постепени и внимателно дизајнирани реформи, кои комбинираат елементи на економска рационалност и институционална изводливост. Во исто време, тие ќе ги нагласат структурните ограничувања поврзани со правната рамка, институционалниот капацитет и политичко-економските динамики, што го усложнува директното воведување на понапредни модели како што е кодетерминацијата. </w:t>
      </w:r>
    </w:p>
    <w:p w14:paraId="12D2CD1B" w14:textId="77777777" w:rsidR="007177C8" w:rsidRDefault="007177C8" w:rsidP="005C1B16">
      <w:pPr>
        <w:pStyle w:val="BodyText"/>
        <w:jc w:val="both"/>
        <w:rPr>
          <w:rFonts w:eastAsia="Arial Unicode MS"/>
          <w:color w:val="000000"/>
          <w:bdr w:val="nil"/>
          <w:lang w:val="mk-MK"/>
        </w:rPr>
      </w:pPr>
    </w:p>
    <w:p w14:paraId="2A67C506" w14:textId="6F07038D" w:rsidR="00A20708" w:rsidRPr="00A20708" w:rsidRDefault="004B1793" w:rsidP="00A20708">
      <w:pPr>
        <w:pStyle w:val="BodyText"/>
        <w:spacing w:after="240"/>
        <w:jc w:val="both"/>
        <w:rPr>
          <w:rFonts w:eastAsia="Arial Unicode MS"/>
          <w:color w:val="000000"/>
          <w:bdr w:val="nil"/>
          <w:lang w:val="mk-MK"/>
        </w:rPr>
      </w:pPr>
      <w:r w:rsidRPr="004B1793">
        <w:rPr>
          <w:rFonts w:eastAsia="Arial Unicode MS"/>
          <w:color w:val="000000"/>
          <w:bdr w:val="nil"/>
          <w:lang w:val="mk-MK"/>
        </w:rPr>
        <w:t>Клучниот придонес на инструментот е во идентификацијата на јазот помеѓу нормативно посакуваните модели и реално изводливите решенија. Во тој поглед, експертските проценки функционираат како медијатор помеѓу интересите и перцепциите на компаниите и вработените, укажувајќи дека успешната реформа ќе зависи од внимателно балансирање помеѓу контрола, учество и доверба. Оттука, овој прашалник ја потврдува тезата дека реформите во корпоративното управување не се исклучиво технички процес, туку комплексна институционална трансформација. Во тој поглед, успешната европеизација е мерлива не само преку формално усогласување, туку и преку способноста на системот да интегрира нови форми на учество на начин кој е функционален, легитимен и одржлив.</w:t>
      </w:r>
    </w:p>
    <w:p w14:paraId="04D97EBB" w14:textId="50FF016F" w:rsidR="00A20708" w:rsidRPr="002A75AD" w:rsidRDefault="00A20708" w:rsidP="002A75AD">
      <w:pPr>
        <w:pStyle w:val="Heading1"/>
        <w:spacing w:after="240"/>
        <w:jc w:val="both"/>
        <w:rPr>
          <w:lang w:val="mk-MK"/>
        </w:rPr>
      </w:pPr>
      <w:bookmarkStart w:id="149" w:name="_Toc230524002"/>
      <w:r w:rsidRPr="00F53881">
        <w:rPr>
          <w:lang w:val="mk-MK"/>
        </w:rPr>
        <w:lastRenderedPageBreak/>
        <w:t xml:space="preserve">Прилог </w:t>
      </w:r>
      <w:r>
        <w:rPr>
          <w:lang w:val="mk-MK"/>
        </w:rPr>
        <w:t>11</w:t>
      </w:r>
      <w:r>
        <w:rPr>
          <w:lang w:val="en-US"/>
        </w:rPr>
        <w:t xml:space="preserve">: </w:t>
      </w:r>
      <w:r w:rsidR="002A75AD">
        <w:rPr>
          <w:lang w:val="mk-MK"/>
        </w:rPr>
        <w:t>Форми на финансиска партиципација во ЕУ</w:t>
      </w:r>
      <w:bookmarkEnd w:id="149"/>
    </w:p>
    <w:p w14:paraId="6613BD3B" w14:textId="1E4F65D0" w:rsidR="00A20708" w:rsidRPr="00EE7556" w:rsidRDefault="00A20708" w:rsidP="005C1B16">
      <w:pPr>
        <w:pStyle w:val="BodyText"/>
        <w:jc w:val="both"/>
        <w:rPr>
          <w:rFonts w:eastAsia="Arial Unicode MS"/>
          <w:color w:val="000000"/>
          <w:bdr w:val="nil"/>
          <w:lang w:val="mk-MK"/>
        </w:rPr>
      </w:pPr>
      <w:r w:rsidRPr="00087397">
        <w:rPr>
          <w:noProof/>
          <w:lang w:val="mk-MK"/>
        </w:rPr>
        <w:drawing>
          <wp:inline distT="0" distB="0" distL="0" distR="0" wp14:anchorId="6701AD2F" wp14:editId="7416BE5A">
            <wp:extent cx="5734050" cy="1892300"/>
            <wp:effectExtent l="0" t="0" r="0" b="0"/>
            <wp:docPr id="99354222" name="Picture 1" descr="A screenshot of a computer&#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9354222" name="Picture 1" descr="A screenshot of a computer&#10;&#10;AI-generated content may be incorrect."/>
                    <pic:cNvPicPr/>
                  </pic:nvPicPr>
                  <pic:blipFill>
                    <a:blip r:embed="rId20"/>
                    <a:stretch>
                      <a:fillRect/>
                    </a:stretch>
                  </pic:blipFill>
                  <pic:spPr>
                    <a:xfrm>
                      <a:off x="0" y="0"/>
                      <a:ext cx="5734050" cy="1892300"/>
                    </a:xfrm>
                    <a:prstGeom prst="rect">
                      <a:avLst/>
                    </a:prstGeom>
                  </pic:spPr>
                </pic:pic>
              </a:graphicData>
            </a:graphic>
          </wp:inline>
        </w:drawing>
      </w:r>
    </w:p>
    <w:p w14:paraId="42643FA3" w14:textId="0BD0D47D" w:rsidR="004A44FA" w:rsidRDefault="004A44FA" w:rsidP="004A44FA">
      <w:pPr>
        <w:pStyle w:val="BodyText"/>
        <w:spacing w:line="360" w:lineRule="auto"/>
        <w:jc w:val="center"/>
        <w:rPr>
          <w:rFonts w:eastAsia="Arial Unicode MS"/>
          <w:color w:val="000000"/>
          <w:sz w:val="26"/>
          <w:szCs w:val="26"/>
          <w:bdr w:val="nil"/>
          <w:lang w:val="en-US"/>
        </w:rPr>
      </w:pPr>
      <w:r w:rsidRPr="00AF1434">
        <w:rPr>
          <w:i/>
          <w:iCs/>
          <w:lang w:val="mk-MK"/>
        </w:rPr>
        <w:t xml:space="preserve">Извор: </w:t>
      </w:r>
      <w:r w:rsidRPr="00AF1434">
        <w:rPr>
          <w:i/>
          <w:iCs/>
          <w:lang w:val="en-US"/>
        </w:rPr>
        <w:t xml:space="preserve">Acquis Communautaire </w:t>
      </w:r>
      <w:r w:rsidRPr="00AF1434">
        <w:rPr>
          <w:i/>
          <w:iCs/>
          <w:lang w:val="mk-MK"/>
        </w:rPr>
        <w:t>на ЕУ за финансиска партиципација на вработените</w:t>
      </w:r>
    </w:p>
    <w:p w14:paraId="402317BB" w14:textId="77777777" w:rsidR="004A44FA" w:rsidRPr="004A44FA" w:rsidRDefault="004A44FA" w:rsidP="004A44FA">
      <w:pPr>
        <w:pStyle w:val="BodyText"/>
        <w:spacing w:line="360" w:lineRule="auto"/>
        <w:jc w:val="center"/>
        <w:rPr>
          <w:rFonts w:eastAsia="Arial Unicode MS"/>
          <w:color w:val="000000"/>
          <w:sz w:val="26"/>
          <w:szCs w:val="26"/>
          <w:bdr w:val="nil"/>
          <w:lang w:val="en-US"/>
        </w:rPr>
      </w:pPr>
    </w:p>
    <w:p w14:paraId="44555383" w14:textId="77777777" w:rsidR="006C2CEC" w:rsidRPr="006C2CEC" w:rsidRDefault="00B36D15" w:rsidP="006C2CEC">
      <w:pPr>
        <w:pStyle w:val="BodyText"/>
        <w:jc w:val="both"/>
        <w:rPr>
          <w:rFonts w:eastAsia="Arial Unicode MS"/>
          <w:b/>
          <w:bCs/>
          <w:color w:val="000000"/>
          <w:bdr w:val="nil"/>
          <w:lang w:val="mk-MK"/>
        </w:rPr>
      </w:pPr>
      <w:r w:rsidRPr="006C2CEC">
        <w:rPr>
          <w:rFonts w:eastAsia="Arial Unicode MS"/>
          <w:b/>
          <w:bCs/>
          <w:color w:val="000000"/>
          <w:bdr w:val="nil"/>
          <w:lang w:val="mk-MK"/>
        </w:rPr>
        <w:t>Методолошка белешка</w:t>
      </w:r>
    </w:p>
    <w:p w14:paraId="66E59ECA" w14:textId="77777777" w:rsidR="00501E5E" w:rsidRDefault="006C2CEC" w:rsidP="006C2CEC">
      <w:pPr>
        <w:pStyle w:val="BodyText"/>
        <w:jc w:val="both"/>
        <w:rPr>
          <w:rFonts w:eastAsia="Arial Unicode MS"/>
          <w:color w:val="000000"/>
          <w:bdr w:val="nil"/>
          <w:lang w:val="mk-MK"/>
        </w:rPr>
      </w:pPr>
      <w:r w:rsidRPr="006C2CEC">
        <w:rPr>
          <w:rFonts w:eastAsia="Arial Unicode MS"/>
          <w:color w:val="000000"/>
          <w:bdr w:val="nil"/>
          <w:lang w:val="mk-MK"/>
        </w:rPr>
        <w:t>Презентираната типологија на модели на финансиско учество на вработените (ESOP, profit-sharing, co-ownership и партиципативни обврзници) е изработена врз основа на компаративна анализа на постојните инструменти во корпоративното управување и индустриските односи. Класификацијата се темели на критериумот на степенот и формата на економско учество на вработените во сопственичката структура и распределбата на добивката.</w:t>
      </w:r>
      <w:r w:rsidR="00501E5E">
        <w:rPr>
          <w:rFonts w:eastAsia="Arial Unicode MS"/>
          <w:color w:val="000000"/>
          <w:bdr w:val="nil"/>
          <w:lang w:val="mk-MK"/>
        </w:rPr>
        <w:t xml:space="preserve"> </w:t>
      </w:r>
    </w:p>
    <w:p w14:paraId="17B22F0C" w14:textId="77777777" w:rsidR="00501E5E" w:rsidRDefault="00501E5E" w:rsidP="006C2CEC">
      <w:pPr>
        <w:pStyle w:val="BodyText"/>
        <w:jc w:val="both"/>
        <w:rPr>
          <w:rFonts w:eastAsia="Arial Unicode MS"/>
          <w:color w:val="000000"/>
          <w:bdr w:val="nil"/>
          <w:lang w:val="mk-MK"/>
        </w:rPr>
      </w:pPr>
    </w:p>
    <w:p w14:paraId="019CFED8" w14:textId="7A3DF050" w:rsidR="004A44FA" w:rsidRPr="00501E5E" w:rsidRDefault="00501E5E" w:rsidP="006C2CEC">
      <w:pPr>
        <w:pStyle w:val="BodyText"/>
        <w:jc w:val="both"/>
        <w:rPr>
          <w:rFonts w:eastAsia="Arial Unicode MS"/>
          <w:color w:val="000000"/>
          <w:bdr w:val="nil"/>
          <w:lang w:val="mk-MK"/>
        </w:rPr>
      </w:pPr>
      <w:r w:rsidRPr="00501E5E">
        <w:rPr>
          <w:rFonts w:eastAsia="Arial Unicode MS"/>
          <w:color w:val="000000"/>
          <w:bdr w:val="nil"/>
          <w:lang w:val="mk-MK"/>
        </w:rPr>
        <w:t>Аналитичкиот пристап е дескриптивно-нормативе</w:t>
      </w:r>
      <w:r w:rsidR="008B3509">
        <w:rPr>
          <w:rFonts w:eastAsia="Arial Unicode MS"/>
          <w:color w:val="000000"/>
          <w:bdr w:val="nil"/>
          <w:lang w:val="mk-MK"/>
        </w:rPr>
        <w:t>н затоа што ги</w:t>
      </w:r>
      <w:r w:rsidRPr="00501E5E">
        <w:rPr>
          <w:rFonts w:eastAsia="Arial Unicode MS"/>
          <w:color w:val="000000"/>
          <w:bdr w:val="nil"/>
          <w:lang w:val="mk-MK"/>
        </w:rPr>
        <w:t xml:space="preserve"> систематизира основните карактеристики на секој модел</w:t>
      </w:r>
      <w:r w:rsidR="001C4F46">
        <w:rPr>
          <w:rFonts w:eastAsia="Arial Unicode MS"/>
          <w:color w:val="000000"/>
          <w:bdr w:val="nil"/>
          <w:lang w:val="mk-MK"/>
        </w:rPr>
        <w:t xml:space="preserve"> и</w:t>
      </w:r>
      <w:r w:rsidRPr="00501E5E">
        <w:rPr>
          <w:rFonts w:eastAsia="Arial Unicode MS"/>
          <w:color w:val="000000"/>
          <w:bdr w:val="nil"/>
          <w:lang w:val="mk-MK"/>
        </w:rPr>
        <w:t xml:space="preserve"> овозможува нивна употреба како референтна рамка за проценка на применливоста во македонскиот контекст. Моделите се претставени во поедноставена форма, со цел да се обезбеди јасност и споредливост, без навлегување во сите варијации кои постојат во различни правни системи.</w:t>
      </w:r>
    </w:p>
    <w:p w14:paraId="31E33E43" w14:textId="77777777" w:rsidR="006C2CEC" w:rsidRPr="004A44FA" w:rsidRDefault="006C2CEC" w:rsidP="006C2CEC">
      <w:pPr>
        <w:pStyle w:val="BodyText"/>
        <w:jc w:val="both"/>
        <w:rPr>
          <w:rFonts w:eastAsia="Arial Unicode MS"/>
          <w:color w:val="000000"/>
          <w:bdr w:val="nil"/>
          <w:lang w:val="en-US"/>
        </w:rPr>
      </w:pPr>
    </w:p>
    <w:p w14:paraId="00C032F4" w14:textId="77777777" w:rsidR="00B36D15" w:rsidRDefault="00B36D15" w:rsidP="00B36D15">
      <w:pPr>
        <w:pStyle w:val="BodyText"/>
        <w:jc w:val="both"/>
        <w:rPr>
          <w:rFonts w:eastAsia="Arial Unicode MS"/>
          <w:color w:val="000000"/>
          <w:bdr w:val="nil"/>
          <w:lang w:val="mk-MK"/>
        </w:rPr>
      </w:pPr>
      <w:r w:rsidRPr="004E2316">
        <w:rPr>
          <w:rFonts w:eastAsia="Arial Unicode MS"/>
          <w:b/>
          <w:bCs/>
          <w:color w:val="000000"/>
          <w:bdr w:val="nil"/>
          <w:lang w:val="mk-MK"/>
        </w:rPr>
        <w:t>Напомена</w:t>
      </w:r>
      <w:r w:rsidRPr="004E2316">
        <w:rPr>
          <w:rFonts w:eastAsia="Arial Unicode MS"/>
          <w:color w:val="000000"/>
          <w:bdr w:val="nil"/>
          <w:lang w:val="mk-MK"/>
        </w:rPr>
        <w:t xml:space="preserve"> </w:t>
      </w:r>
    </w:p>
    <w:p w14:paraId="13F79C8F" w14:textId="03091BBF" w:rsidR="00B36D15" w:rsidRDefault="00CF3E43" w:rsidP="00B36D15">
      <w:pPr>
        <w:pStyle w:val="BodyText"/>
        <w:jc w:val="both"/>
        <w:rPr>
          <w:rFonts w:eastAsia="Arial Unicode MS"/>
          <w:color w:val="000000"/>
          <w:bdr w:val="nil"/>
          <w:lang w:val="mk-MK"/>
        </w:rPr>
      </w:pPr>
      <w:r w:rsidRPr="00CF3E43">
        <w:rPr>
          <w:rFonts w:eastAsia="Arial Unicode MS"/>
          <w:color w:val="000000"/>
          <w:bdr w:val="nil"/>
          <w:lang w:val="mk-MK"/>
        </w:rPr>
        <w:t>Потребно е да се има предвид дека наведените модели не се меѓусебно исклучиви, туку често се комбинираат во пракса, создавајќи хибридни решенија прилагодени на конкретниот институционален и пазарен контекст. Дополнително, нивната ефективност во голема мера зависи од придружните правни, даночни и корпоративно-управувачки рамки.</w:t>
      </w:r>
    </w:p>
    <w:p w14:paraId="6D9E0646" w14:textId="77777777" w:rsidR="00CF3E43" w:rsidRDefault="00CF3E43" w:rsidP="00B36D15">
      <w:pPr>
        <w:pStyle w:val="BodyText"/>
        <w:jc w:val="both"/>
        <w:rPr>
          <w:rFonts w:eastAsia="Arial Unicode MS"/>
          <w:color w:val="000000"/>
          <w:bdr w:val="nil"/>
          <w:lang w:val="mk-MK"/>
        </w:rPr>
      </w:pPr>
    </w:p>
    <w:p w14:paraId="1D3DE27B" w14:textId="4E319E24" w:rsidR="00B36D15" w:rsidRDefault="00CF3E43" w:rsidP="00B36D15">
      <w:pPr>
        <w:pStyle w:val="BodyText"/>
        <w:jc w:val="both"/>
        <w:rPr>
          <w:rFonts w:eastAsia="Arial Unicode MS"/>
          <w:color w:val="000000"/>
          <w:bdr w:val="nil"/>
          <w:lang w:val="mk-MK"/>
        </w:rPr>
      </w:pPr>
      <w:r w:rsidRPr="00CF3E43">
        <w:rPr>
          <w:rFonts w:eastAsia="Arial Unicode MS"/>
          <w:color w:val="000000"/>
          <w:bdr w:val="nil"/>
          <w:lang w:val="mk-MK"/>
        </w:rPr>
        <w:t>Во македонски услови, ограниченото искуство со вакви инструменти, како и недоволно развиената култура на корпоративна транспарентност и учество, мож</w:t>
      </w:r>
      <w:r w:rsidR="00605153">
        <w:rPr>
          <w:rFonts w:eastAsia="Arial Unicode MS"/>
          <w:color w:val="000000"/>
          <w:bdr w:val="nil"/>
          <w:lang w:val="mk-MK"/>
        </w:rPr>
        <w:t>ат</w:t>
      </w:r>
      <w:r w:rsidRPr="00CF3E43">
        <w:rPr>
          <w:rFonts w:eastAsia="Arial Unicode MS"/>
          <w:color w:val="000000"/>
          <w:bdr w:val="nil"/>
          <w:lang w:val="mk-MK"/>
        </w:rPr>
        <w:t xml:space="preserve"> да влијаат врз нивната перцепција и практична имплементација. Оттука, секоја евентуална примена бара внимателна адаптација</w:t>
      </w:r>
      <w:r w:rsidR="007C3131">
        <w:rPr>
          <w:rFonts w:eastAsia="Arial Unicode MS"/>
          <w:color w:val="000000"/>
          <w:bdr w:val="nil"/>
          <w:lang w:val="mk-MK"/>
        </w:rPr>
        <w:t>.</w:t>
      </w:r>
    </w:p>
    <w:p w14:paraId="6A265BED" w14:textId="77777777" w:rsidR="00B36D15" w:rsidRDefault="00B36D15" w:rsidP="00B36D15">
      <w:pPr>
        <w:pStyle w:val="BodyText"/>
        <w:jc w:val="both"/>
        <w:rPr>
          <w:rFonts w:eastAsia="Arial Unicode MS"/>
          <w:color w:val="000000"/>
          <w:bdr w:val="nil"/>
          <w:lang w:val="mk-MK"/>
        </w:rPr>
      </w:pPr>
    </w:p>
    <w:p w14:paraId="5CA18BBB" w14:textId="77777777" w:rsidR="00B36D15" w:rsidRDefault="00B36D15" w:rsidP="00B36D15">
      <w:pPr>
        <w:pStyle w:val="BodyText"/>
        <w:jc w:val="both"/>
        <w:rPr>
          <w:rFonts w:eastAsia="Arial Unicode MS"/>
          <w:color w:val="000000"/>
          <w:bdr w:val="nil"/>
          <w:lang w:val="mk-MK"/>
        </w:rPr>
      </w:pPr>
      <w:r w:rsidRPr="004B1793">
        <w:rPr>
          <w:rFonts w:eastAsia="Arial Unicode MS"/>
          <w:b/>
          <w:bCs/>
          <w:color w:val="000000"/>
          <w:bdr w:val="nil"/>
          <w:lang w:val="mk-MK"/>
        </w:rPr>
        <w:t>Синтетички заклучок</w:t>
      </w:r>
      <w:r w:rsidRPr="004B1793">
        <w:rPr>
          <w:rFonts w:eastAsia="Arial Unicode MS"/>
          <w:color w:val="000000"/>
          <w:bdr w:val="nil"/>
          <w:lang w:val="mk-MK"/>
        </w:rPr>
        <w:t xml:space="preserve"> </w:t>
      </w:r>
    </w:p>
    <w:p w14:paraId="1299C460" w14:textId="4FCCB315" w:rsidR="00B36D15" w:rsidRDefault="007C3131" w:rsidP="007C3131">
      <w:pPr>
        <w:pStyle w:val="BodyText"/>
        <w:jc w:val="both"/>
        <w:rPr>
          <w:rFonts w:eastAsia="Arial Unicode MS"/>
          <w:color w:val="000000"/>
          <w:bdr w:val="nil"/>
          <w:lang w:val="mk-MK"/>
        </w:rPr>
      </w:pPr>
      <w:r w:rsidRPr="007C3131">
        <w:rPr>
          <w:rFonts w:eastAsia="Arial Unicode MS"/>
          <w:color w:val="000000"/>
          <w:bdr w:val="nil"/>
          <w:lang w:val="mk-MK"/>
        </w:rPr>
        <w:t xml:space="preserve">Прегледот на различните модели на финансиско учество на вработените укажува дека корпоративното управување </w:t>
      </w:r>
      <w:r w:rsidR="001A1B9A">
        <w:rPr>
          <w:rFonts w:eastAsia="Arial Unicode MS"/>
          <w:color w:val="000000"/>
          <w:bdr w:val="nil"/>
          <w:lang w:val="mk-MK"/>
        </w:rPr>
        <w:t>е</w:t>
      </w:r>
      <w:r w:rsidRPr="007C3131">
        <w:rPr>
          <w:rFonts w:eastAsia="Arial Unicode MS"/>
          <w:color w:val="000000"/>
          <w:bdr w:val="nil"/>
          <w:lang w:val="mk-MK"/>
        </w:rPr>
        <w:t xml:space="preserve"> динамично поле во кое можат да се интегрираат различни механизми за усогласување на интересите </w:t>
      </w:r>
      <w:r w:rsidR="001A1B9A">
        <w:rPr>
          <w:rFonts w:eastAsia="Arial Unicode MS"/>
          <w:color w:val="000000"/>
          <w:bdr w:val="nil"/>
          <w:lang w:val="mk-MK"/>
        </w:rPr>
        <w:t>по</w:t>
      </w:r>
      <w:r w:rsidRPr="007C3131">
        <w:rPr>
          <w:rFonts w:eastAsia="Arial Unicode MS"/>
          <w:color w:val="000000"/>
          <w:bdr w:val="nil"/>
          <w:lang w:val="mk-MK"/>
        </w:rPr>
        <w:t>меѓу трудот и капиталот.</w:t>
      </w:r>
    </w:p>
    <w:p w14:paraId="158E30F8" w14:textId="77777777" w:rsidR="001A1B9A" w:rsidRDefault="001A1B9A" w:rsidP="007C3131">
      <w:pPr>
        <w:pStyle w:val="BodyText"/>
        <w:jc w:val="both"/>
        <w:rPr>
          <w:rFonts w:eastAsia="Arial Unicode MS"/>
          <w:color w:val="000000"/>
          <w:bdr w:val="nil"/>
          <w:lang w:val="mk-MK"/>
        </w:rPr>
      </w:pPr>
    </w:p>
    <w:p w14:paraId="1872539A" w14:textId="55B52C07" w:rsidR="001A1B9A" w:rsidRDefault="001A1B9A" w:rsidP="007C3131">
      <w:pPr>
        <w:pStyle w:val="BodyText"/>
        <w:jc w:val="both"/>
        <w:rPr>
          <w:rFonts w:eastAsia="Arial Unicode MS"/>
          <w:color w:val="000000"/>
          <w:bdr w:val="nil"/>
          <w:lang w:val="mk-MK"/>
        </w:rPr>
      </w:pPr>
      <w:r w:rsidRPr="001A1B9A">
        <w:rPr>
          <w:rFonts w:eastAsia="Arial Unicode MS"/>
          <w:color w:val="000000"/>
          <w:bdr w:val="nil"/>
          <w:lang w:val="mk-MK"/>
        </w:rPr>
        <w:t xml:space="preserve">Во тој поглед, моделите како ESOP, profit-sharing, co-ownership и партиципативните обврзници претставуваат различни степени и форми на инклузија на вработените во </w:t>
      </w:r>
      <w:r w:rsidRPr="001A1B9A">
        <w:rPr>
          <w:rFonts w:eastAsia="Arial Unicode MS"/>
          <w:color w:val="000000"/>
          <w:bdr w:val="nil"/>
          <w:lang w:val="mk-MK"/>
        </w:rPr>
        <w:lastRenderedPageBreak/>
        <w:t>економските резултати и сопственичката структура на компанијата. Нивната релевантност за Македонија произлегува од потенцијалот за подобрување на продуктивноста и лојалноста</w:t>
      </w:r>
      <w:r>
        <w:rPr>
          <w:rFonts w:eastAsia="Arial Unicode MS"/>
          <w:color w:val="000000"/>
          <w:bdr w:val="nil"/>
          <w:lang w:val="mk-MK"/>
        </w:rPr>
        <w:t xml:space="preserve"> и од</w:t>
      </w:r>
      <w:r w:rsidRPr="001A1B9A">
        <w:rPr>
          <w:rFonts w:eastAsia="Arial Unicode MS"/>
          <w:color w:val="000000"/>
          <w:bdr w:val="nil"/>
          <w:lang w:val="mk-MK"/>
        </w:rPr>
        <w:t xml:space="preserve"> можноста за постепена трансформација на корпоративното управување кон поинклузивни и одржливи модели.</w:t>
      </w:r>
    </w:p>
    <w:p w14:paraId="10CEC70D" w14:textId="77777777" w:rsidR="00495795" w:rsidRDefault="00495795" w:rsidP="007C3131">
      <w:pPr>
        <w:pStyle w:val="BodyText"/>
        <w:jc w:val="both"/>
        <w:rPr>
          <w:rFonts w:eastAsia="Arial Unicode MS"/>
          <w:color w:val="000000"/>
          <w:bdr w:val="nil"/>
          <w:lang w:val="mk-MK"/>
        </w:rPr>
      </w:pPr>
    </w:p>
    <w:p w14:paraId="72300D99" w14:textId="42873CF5" w:rsidR="00495795" w:rsidRDefault="00495795" w:rsidP="007C3131">
      <w:pPr>
        <w:pStyle w:val="BodyText"/>
        <w:jc w:val="both"/>
        <w:rPr>
          <w:rFonts w:eastAsia="Arial Unicode MS"/>
          <w:color w:val="000000"/>
          <w:bdr w:val="nil"/>
          <w:lang w:val="mk-MK"/>
        </w:rPr>
      </w:pPr>
      <w:r w:rsidRPr="00495795">
        <w:rPr>
          <w:rFonts w:eastAsia="Arial Unicode MS"/>
          <w:color w:val="000000"/>
          <w:bdr w:val="nil"/>
          <w:lang w:val="mk-MK"/>
        </w:rPr>
        <w:t>Во тој контекст, овие инструменти можат да се разберат како почетни точки за институционални иновации, при што нивната успешна имплементација зависи од степенот на правна усогласеност, економска рационалност и општествена прифатеност.</w:t>
      </w:r>
    </w:p>
    <w:p w14:paraId="0EF34A3C" w14:textId="77777777" w:rsidR="00FD6224" w:rsidRDefault="00FD6224" w:rsidP="007C3131">
      <w:pPr>
        <w:pStyle w:val="BodyText"/>
        <w:jc w:val="both"/>
        <w:rPr>
          <w:rFonts w:eastAsia="Arial Unicode MS"/>
          <w:color w:val="000000"/>
          <w:bdr w:val="nil"/>
          <w:lang w:val="mk-MK"/>
        </w:rPr>
      </w:pPr>
    </w:p>
    <w:p w14:paraId="38FD0C16" w14:textId="77777777" w:rsidR="00FD6224" w:rsidRDefault="00FD6224" w:rsidP="007C3131">
      <w:pPr>
        <w:pStyle w:val="BodyText"/>
        <w:jc w:val="both"/>
        <w:rPr>
          <w:rFonts w:eastAsia="Arial Unicode MS"/>
          <w:color w:val="000000"/>
          <w:bdr w:val="nil"/>
          <w:lang w:val="mk-MK"/>
        </w:rPr>
      </w:pPr>
    </w:p>
    <w:p w14:paraId="5B82897F" w14:textId="77777777" w:rsidR="00FD6224" w:rsidRDefault="00FD6224" w:rsidP="007C3131">
      <w:pPr>
        <w:pStyle w:val="BodyText"/>
        <w:jc w:val="both"/>
        <w:rPr>
          <w:rFonts w:eastAsia="Arial Unicode MS"/>
          <w:color w:val="000000"/>
          <w:bdr w:val="nil"/>
          <w:lang w:val="mk-MK"/>
        </w:rPr>
      </w:pPr>
    </w:p>
    <w:p w14:paraId="222E46B7" w14:textId="77777777" w:rsidR="00FD6224" w:rsidRDefault="00FD6224" w:rsidP="007C3131">
      <w:pPr>
        <w:pStyle w:val="BodyText"/>
        <w:jc w:val="both"/>
        <w:rPr>
          <w:rFonts w:eastAsia="Arial Unicode MS"/>
          <w:color w:val="000000"/>
          <w:bdr w:val="nil"/>
          <w:lang w:val="mk-MK"/>
        </w:rPr>
      </w:pPr>
    </w:p>
    <w:p w14:paraId="2C750739" w14:textId="77777777" w:rsidR="00FD6224" w:rsidRDefault="00FD6224" w:rsidP="007C3131">
      <w:pPr>
        <w:pStyle w:val="BodyText"/>
        <w:jc w:val="both"/>
        <w:rPr>
          <w:rFonts w:eastAsia="Arial Unicode MS"/>
          <w:color w:val="000000"/>
          <w:bdr w:val="nil"/>
          <w:lang w:val="mk-MK"/>
        </w:rPr>
      </w:pPr>
    </w:p>
    <w:p w14:paraId="228B050A" w14:textId="77777777" w:rsidR="00FD6224" w:rsidRDefault="00FD6224" w:rsidP="007C3131">
      <w:pPr>
        <w:pStyle w:val="BodyText"/>
        <w:jc w:val="both"/>
        <w:rPr>
          <w:rFonts w:eastAsia="Arial Unicode MS"/>
          <w:color w:val="000000"/>
          <w:bdr w:val="nil"/>
          <w:lang w:val="mk-MK"/>
        </w:rPr>
      </w:pPr>
    </w:p>
    <w:p w14:paraId="08726E89" w14:textId="77777777" w:rsidR="00FD6224" w:rsidRDefault="00FD6224" w:rsidP="007C3131">
      <w:pPr>
        <w:pStyle w:val="BodyText"/>
        <w:jc w:val="both"/>
        <w:rPr>
          <w:rFonts w:eastAsia="Arial Unicode MS"/>
          <w:color w:val="000000"/>
          <w:bdr w:val="nil"/>
          <w:lang w:val="mk-MK"/>
        </w:rPr>
      </w:pPr>
    </w:p>
    <w:p w14:paraId="156EBEC0" w14:textId="77777777" w:rsidR="00FD6224" w:rsidRDefault="00FD6224" w:rsidP="007C3131">
      <w:pPr>
        <w:pStyle w:val="BodyText"/>
        <w:jc w:val="both"/>
        <w:rPr>
          <w:rFonts w:eastAsia="Arial Unicode MS"/>
          <w:color w:val="000000"/>
          <w:bdr w:val="nil"/>
          <w:lang w:val="mk-MK"/>
        </w:rPr>
      </w:pPr>
    </w:p>
    <w:p w14:paraId="79782430" w14:textId="77777777" w:rsidR="00FD6224" w:rsidRDefault="00FD6224" w:rsidP="007C3131">
      <w:pPr>
        <w:pStyle w:val="BodyText"/>
        <w:jc w:val="both"/>
        <w:rPr>
          <w:rFonts w:eastAsia="Arial Unicode MS"/>
          <w:color w:val="000000"/>
          <w:bdr w:val="nil"/>
          <w:lang w:val="mk-MK"/>
        </w:rPr>
      </w:pPr>
    </w:p>
    <w:p w14:paraId="5CEECA3D" w14:textId="77777777" w:rsidR="00FD6224" w:rsidRDefault="00FD6224" w:rsidP="007C3131">
      <w:pPr>
        <w:pStyle w:val="BodyText"/>
        <w:jc w:val="both"/>
        <w:rPr>
          <w:rFonts w:eastAsia="Arial Unicode MS"/>
          <w:color w:val="000000"/>
          <w:bdr w:val="nil"/>
          <w:lang w:val="mk-MK"/>
        </w:rPr>
      </w:pPr>
    </w:p>
    <w:p w14:paraId="3275E278" w14:textId="77777777" w:rsidR="00FD6224" w:rsidRDefault="00FD6224" w:rsidP="007C3131">
      <w:pPr>
        <w:pStyle w:val="BodyText"/>
        <w:jc w:val="both"/>
        <w:rPr>
          <w:rFonts w:eastAsia="Arial Unicode MS"/>
          <w:color w:val="000000"/>
          <w:bdr w:val="nil"/>
          <w:lang w:val="mk-MK"/>
        </w:rPr>
      </w:pPr>
    </w:p>
    <w:p w14:paraId="4C12759C" w14:textId="77777777" w:rsidR="00FD6224" w:rsidRDefault="00FD6224" w:rsidP="007C3131">
      <w:pPr>
        <w:pStyle w:val="BodyText"/>
        <w:jc w:val="both"/>
        <w:rPr>
          <w:rFonts w:eastAsia="Arial Unicode MS"/>
          <w:color w:val="000000"/>
          <w:bdr w:val="nil"/>
          <w:lang w:val="mk-MK"/>
        </w:rPr>
      </w:pPr>
    </w:p>
    <w:p w14:paraId="7E8219B9" w14:textId="77777777" w:rsidR="00FD6224" w:rsidRDefault="00FD6224" w:rsidP="007C3131">
      <w:pPr>
        <w:pStyle w:val="BodyText"/>
        <w:jc w:val="both"/>
        <w:rPr>
          <w:rFonts w:eastAsia="Arial Unicode MS"/>
          <w:color w:val="000000"/>
          <w:bdr w:val="nil"/>
          <w:lang w:val="mk-MK"/>
        </w:rPr>
      </w:pPr>
    </w:p>
    <w:p w14:paraId="0B62EA9F" w14:textId="77777777" w:rsidR="00FD6224" w:rsidRDefault="00FD6224" w:rsidP="007C3131">
      <w:pPr>
        <w:pStyle w:val="BodyText"/>
        <w:jc w:val="both"/>
        <w:rPr>
          <w:rFonts w:eastAsia="Arial Unicode MS"/>
          <w:color w:val="000000"/>
          <w:bdr w:val="nil"/>
          <w:lang w:val="mk-MK"/>
        </w:rPr>
      </w:pPr>
    </w:p>
    <w:p w14:paraId="6F696AFF" w14:textId="77777777" w:rsidR="00FD6224" w:rsidRDefault="00FD6224" w:rsidP="007C3131">
      <w:pPr>
        <w:pStyle w:val="BodyText"/>
        <w:jc w:val="both"/>
        <w:rPr>
          <w:rFonts w:eastAsia="Arial Unicode MS"/>
          <w:color w:val="000000"/>
          <w:bdr w:val="nil"/>
          <w:lang w:val="mk-MK"/>
        </w:rPr>
      </w:pPr>
    </w:p>
    <w:p w14:paraId="76794863" w14:textId="77777777" w:rsidR="00FD6224" w:rsidRDefault="00FD6224" w:rsidP="007C3131">
      <w:pPr>
        <w:pStyle w:val="BodyText"/>
        <w:jc w:val="both"/>
        <w:rPr>
          <w:rFonts w:eastAsia="Arial Unicode MS"/>
          <w:color w:val="000000"/>
          <w:bdr w:val="nil"/>
          <w:lang w:val="mk-MK"/>
        </w:rPr>
      </w:pPr>
    </w:p>
    <w:p w14:paraId="5E60DD44" w14:textId="77777777" w:rsidR="00FD6224" w:rsidRDefault="00FD6224" w:rsidP="007C3131">
      <w:pPr>
        <w:pStyle w:val="BodyText"/>
        <w:jc w:val="both"/>
        <w:rPr>
          <w:rFonts w:eastAsia="Arial Unicode MS"/>
          <w:color w:val="000000"/>
          <w:bdr w:val="nil"/>
          <w:lang w:val="mk-MK"/>
        </w:rPr>
      </w:pPr>
    </w:p>
    <w:p w14:paraId="5E2FED4C" w14:textId="77777777" w:rsidR="00FD6224" w:rsidRDefault="00FD6224" w:rsidP="007C3131">
      <w:pPr>
        <w:pStyle w:val="BodyText"/>
        <w:jc w:val="both"/>
        <w:rPr>
          <w:rFonts w:eastAsia="Arial Unicode MS"/>
          <w:color w:val="000000"/>
          <w:bdr w:val="nil"/>
          <w:lang w:val="mk-MK"/>
        </w:rPr>
      </w:pPr>
    </w:p>
    <w:p w14:paraId="3521251D" w14:textId="77777777" w:rsidR="00FD6224" w:rsidRDefault="00FD6224" w:rsidP="007C3131">
      <w:pPr>
        <w:pStyle w:val="BodyText"/>
        <w:jc w:val="both"/>
        <w:rPr>
          <w:rFonts w:eastAsia="Arial Unicode MS"/>
          <w:color w:val="000000"/>
          <w:bdr w:val="nil"/>
          <w:lang w:val="mk-MK"/>
        </w:rPr>
      </w:pPr>
    </w:p>
    <w:p w14:paraId="468AFDA7" w14:textId="77777777" w:rsidR="00FD6224" w:rsidRDefault="00FD6224" w:rsidP="007C3131">
      <w:pPr>
        <w:pStyle w:val="BodyText"/>
        <w:jc w:val="both"/>
        <w:rPr>
          <w:rFonts w:eastAsia="Arial Unicode MS"/>
          <w:color w:val="000000"/>
          <w:bdr w:val="nil"/>
          <w:lang w:val="mk-MK"/>
        </w:rPr>
      </w:pPr>
    </w:p>
    <w:p w14:paraId="5A349016" w14:textId="77777777" w:rsidR="00FD6224" w:rsidRDefault="00FD6224" w:rsidP="007C3131">
      <w:pPr>
        <w:pStyle w:val="BodyText"/>
        <w:jc w:val="both"/>
        <w:rPr>
          <w:rFonts w:eastAsia="Arial Unicode MS"/>
          <w:color w:val="000000"/>
          <w:bdr w:val="nil"/>
          <w:lang w:val="mk-MK"/>
        </w:rPr>
      </w:pPr>
    </w:p>
    <w:p w14:paraId="69E61DFA" w14:textId="77777777" w:rsidR="00FD6224" w:rsidRDefault="00FD6224" w:rsidP="007C3131">
      <w:pPr>
        <w:pStyle w:val="BodyText"/>
        <w:jc w:val="both"/>
        <w:rPr>
          <w:rFonts w:eastAsia="Arial Unicode MS"/>
          <w:color w:val="000000"/>
          <w:bdr w:val="nil"/>
          <w:lang w:val="mk-MK"/>
        </w:rPr>
      </w:pPr>
    </w:p>
    <w:p w14:paraId="2262A30C" w14:textId="77777777" w:rsidR="00FD6224" w:rsidRDefault="00FD6224" w:rsidP="007C3131">
      <w:pPr>
        <w:pStyle w:val="BodyText"/>
        <w:jc w:val="both"/>
        <w:rPr>
          <w:rFonts w:eastAsia="Arial Unicode MS"/>
          <w:color w:val="000000"/>
          <w:bdr w:val="nil"/>
          <w:lang w:val="mk-MK"/>
        </w:rPr>
      </w:pPr>
    </w:p>
    <w:p w14:paraId="0A1047FF" w14:textId="77777777" w:rsidR="00FD6224" w:rsidRDefault="00FD6224" w:rsidP="007C3131">
      <w:pPr>
        <w:pStyle w:val="BodyText"/>
        <w:jc w:val="both"/>
        <w:rPr>
          <w:rFonts w:eastAsia="Arial Unicode MS"/>
          <w:color w:val="000000"/>
          <w:bdr w:val="nil"/>
          <w:lang w:val="mk-MK"/>
        </w:rPr>
      </w:pPr>
    </w:p>
    <w:p w14:paraId="712E17CE" w14:textId="77777777" w:rsidR="00FD6224" w:rsidRDefault="00FD6224" w:rsidP="007C3131">
      <w:pPr>
        <w:pStyle w:val="BodyText"/>
        <w:jc w:val="both"/>
        <w:rPr>
          <w:rFonts w:eastAsia="Arial Unicode MS"/>
          <w:color w:val="000000"/>
          <w:bdr w:val="nil"/>
          <w:lang w:val="mk-MK"/>
        </w:rPr>
      </w:pPr>
    </w:p>
    <w:p w14:paraId="098B6BA9" w14:textId="77777777" w:rsidR="00FD6224" w:rsidRDefault="00FD6224" w:rsidP="007C3131">
      <w:pPr>
        <w:pStyle w:val="BodyText"/>
        <w:jc w:val="both"/>
        <w:rPr>
          <w:rFonts w:eastAsia="Arial Unicode MS"/>
          <w:color w:val="000000"/>
          <w:bdr w:val="nil"/>
          <w:lang w:val="mk-MK"/>
        </w:rPr>
      </w:pPr>
    </w:p>
    <w:p w14:paraId="5E9A8AB5" w14:textId="77777777" w:rsidR="00FD6224" w:rsidRDefault="00FD6224" w:rsidP="007C3131">
      <w:pPr>
        <w:pStyle w:val="BodyText"/>
        <w:jc w:val="both"/>
        <w:rPr>
          <w:rFonts w:eastAsia="Arial Unicode MS"/>
          <w:color w:val="000000"/>
          <w:bdr w:val="nil"/>
          <w:lang w:val="mk-MK"/>
        </w:rPr>
      </w:pPr>
    </w:p>
    <w:p w14:paraId="3FD1259F" w14:textId="77777777" w:rsidR="00FD6224" w:rsidRDefault="00FD6224" w:rsidP="007C3131">
      <w:pPr>
        <w:pStyle w:val="BodyText"/>
        <w:jc w:val="both"/>
        <w:rPr>
          <w:rFonts w:eastAsia="Arial Unicode MS"/>
          <w:color w:val="000000"/>
          <w:bdr w:val="nil"/>
          <w:lang w:val="mk-MK"/>
        </w:rPr>
      </w:pPr>
    </w:p>
    <w:p w14:paraId="04EB8B4E" w14:textId="77777777" w:rsidR="00FD6224" w:rsidRDefault="00FD6224" w:rsidP="007C3131">
      <w:pPr>
        <w:pStyle w:val="BodyText"/>
        <w:jc w:val="both"/>
        <w:rPr>
          <w:rFonts w:eastAsia="Arial Unicode MS"/>
          <w:color w:val="000000"/>
          <w:bdr w:val="nil"/>
          <w:lang w:val="mk-MK"/>
        </w:rPr>
      </w:pPr>
    </w:p>
    <w:p w14:paraId="0B0C62EF" w14:textId="77777777" w:rsidR="00FD6224" w:rsidRDefault="00FD6224" w:rsidP="007C3131">
      <w:pPr>
        <w:pStyle w:val="BodyText"/>
        <w:jc w:val="both"/>
        <w:rPr>
          <w:rFonts w:eastAsia="Arial Unicode MS"/>
          <w:color w:val="000000"/>
          <w:bdr w:val="nil"/>
          <w:lang w:val="mk-MK"/>
        </w:rPr>
      </w:pPr>
    </w:p>
    <w:p w14:paraId="1F185980" w14:textId="77777777" w:rsidR="00FD6224" w:rsidRDefault="00FD6224" w:rsidP="007C3131">
      <w:pPr>
        <w:pStyle w:val="BodyText"/>
        <w:jc w:val="both"/>
        <w:rPr>
          <w:rFonts w:eastAsia="Arial Unicode MS"/>
          <w:color w:val="000000"/>
          <w:bdr w:val="nil"/>
          <w:lang w:val="mk-MK"/>
        </w:rPr>
      </w:pPr>
    </w:p>
    <w:p w14:paraId="7D4797BF" w14:textId="77777777" w:rsidR="00FD6224" w:rsidRDefault="00FD6224" w:rsidP="007C3131">
      <w:pPr>
        <w:pStyle w:val="BodyText"/>
        <w:jc w:val="both"/>
        <w:rPr>
          <w:rFonts w:eastAsia="Arial Unicode MS"/>
          <w:color w:val="000000"/>
          <w:bdr w:val="nil"/>
          <w:lang w:val="mk-MK"/>
        </w:rPr>
      </w:pPr>
    </w:p>
    <w:p w14:paraId="061155AD" w14:textId="77777777" w:rsidR="00FD6224" w:rsidRDefault="00FD6224" w:rsidP="007C3131">
      <w:pPr>
        <w:pStyle w:val="BodyText"/>
        <w:jc w:val="both"/>
        <w:rPr>
          <w:rFonts w:eastAsia="Arial Unicode MS"/>
          <w:color w:val="000000"/>
          <w:bdr w:val="nil"/>
          <w:lang w:val="mk-MK"/>
        </w:rPr>
      </w:pPr>
    </w:p>
    <w:p w14:paraId="3040A7AD" w14:textId="77777777" w:rsidR="00FD6224" w:rsidRDefault="00FD6224" w:rsidP="007C3131">
      <w:pPr>
        <w:pStyle w:val="BodyText"/>
        <w:jc w:val="both"/>
        <w:rPr>
          <w:rFonts w:eastAsia="Arial Unicode MS"/>
          <w:color w:val="000000"/>
          <w:bdr w:val="nil"/>
          <w:lang w:val="mk-MK"/>
        </w:rPr>
      </w:pPr>
    </w:p>
    <w:p w14:paraId="6F4DAE84" w14:textId="77777777" w:rsidR="00FD6224" w:rsidRDefault="00FD6224" w:rsidP="007C3131">
      <w:pPr>
        <w:pStyle w:val="BodyText"/>
        <w:jc w:val="both"/>
        <w:rPr>
          <w:rFonts w:eastAsia="Arial Unicode MS"/>
          <w:color w:val="000000"/>
          <w:bdr w:val="nil"/>
          <w:lang w:val="mk-MK"/>
        </w:rPr>
      </w:pPr>
    </w:p>
    <w:p w14:paraId="5E876B3F" w14:textId="77777777" w:rsidR="00FD6224" w:rsidRDefault="00FD6224" w:rsidP="007C3131">
      <w:pPr>
        <w:pStyle w:val="BodyText"/>
        <w:jc w:val="both"/>
        <w:rPr>
          <w:rFonts w:eastAsia="Arial Unicode MS"/>
          <w:color w:val="000000"/>
          <w:bdr w:val="nil"/>
          <w:lang w:val="mk-MK"/>
        </w:rPr>
      </w:pPr>
    </w:p>
    <w:p w14:paraId="4A36233B" w14:textId="77777777" w:rsidR="00FD6224" w:rsidRDefault="00FD6224" w:rsidP="007C3131">
      <w:pPr>
        <w:pStyle w:val="BodyText"/>
        <w:jc w:val="both"/>
        <w:rPr>
          <w:rFonts w:eastAsia="Arial Unicode MS"/>
          <w:color w:val="000000"/>
          <w:bdr w:val="nil"/>
          <w:lang w:val="mk-MK"/>
        </w:rPr>
      </w:pPr>
    </w:p>
    <w:p w14:paraId="04B96A0B" w14:textId="77777777" w:rsidR="00FD6224" w:rsidRDefault="00FD6224" w:rsidP="007C3131">
      <w:pPr>
        <w:pStyle w:val="BodyText"/>
        <w:jc w:val="both"/>
        <w:rPr>
          <w:rFonts w:eastAsia="Arial Unicode MS"/>
          <w:color w:val="000000"/>
          <w:bdr w:val="nil"/>
          <w:lang w:val="mk-MK"/>
        </w:rPr>
      </w:pPr>
    </w:p>
    <w:p w14:paraId="402D9972" w14:textId="77777777" w:rsidR="00FD6224" w:rsidRDefault="00FD6224" w:rsidP="007C3131">
      <w:pPr>
        <w:pStyle w:val="BodyText"/>
        <w:jc w:val="both"/>
        <w:rPr>
          <w:rFonts w:eastAsia="Arial Unicode MS"/>
          <w:color w:val="000000"/>
          <w:bdr w:val="nil"/>
          <w:lang w:val="mk-MK"/>
        </w:rPr>
      </w:pPr>
    </w:p>
    <w:p w14:paraId="1D464B5D" w14:textId="77777777" w:rsidR="00FD6224" w:rsidRDefault="00FD6224" w:rsidP="007C3131">
      <w:pPr>
        <w:pStyle w:val="BodyText"/>
        <w:jc w:val="both"/>
        <w:rPr>
          <w:rFonts w:eastAsia="Arial Unicode MS"/>
          <w:color w:val="000000"/>
          <w:bdr w:val="nil"/>
          <w:lang w:val="mk-MK"/>
        </w:rPr>
      </w:pPr>
    </w:p>
    <w:p w14:paraId="4FB3EFD5" w14:textId="77777777" w:rsidR="009109FE" w:rsidRDefault="009109FE" w:rsidP="007C3131">
      <w:pPr>
        <w:pStyle w:val="BodyText"/>
        <w:jc w:val="both"/>
        <w:rPr>
          <w:rFonts w:eastAsia="Arial Unicode MS"/>
          <w:color w:val="000000"/>
          <w:bdr w:val="nil"/>
          <w:lang w:val="mk-MK"/>
        </w:rPr>
      </w:pPr>
    </w:p>
    <w:p w14:paraId="5F920882" w14:textId="0B641B15" w:rsidR="009109FE" w:rsidRPr="00FD6224" w:rsidRDefault="009109FE" w:rsidP="00FD6224">
      <w:pPr>
        <w:pStyle w:val="Heading1"/>
        <w:spacing w:after="240"/>
        <w:jc w:val="both"/>
        <w:rPr>
          <w:lang w:val="mk-MK"/>
        </w:rPr>
      </w:pPr>
      <w:bookmarkStart w:id="150" w:name="_Toc230524003"/>
      <w:r w:rsidRPr="00F53881">
        <w:rPr>
          <w:lang w:val="mk-MK"/>
        </w:rPr>
        <w:lastRenderedPageBreak/>
        <w:t xml:space="preserve">Прилог </w:t>
      </w:r>
      <w:r>
        <w:rPr>
          <w:lang w:val="mk-MK"/>
        </w:rPr>
        <w:t>12</w:t>
      </w:r>
      <w:r>
        <w:rPr>
          <w:lang w:val="en-US"/>
        </w:rPr>
        <w:t xml:space="preserve">: </w:t>
      </w:r>
      <w:r w:rsidR="008C0E69">
        <w:rPr>
          <w:lang w:val="mk-MK"/>
        </w:rPr>
        <w:t>Студија на случај 1</w:t>
      </w:r>
      <w:r w:rsidR="00FF0D5D">
        <w:rPr>
          <w:lang w:val="mk-MK"/>
        </w:rPr>
        <w:t>-О</w:t>
      </w:r>
      <w:r w:rsidR="00FD6224">
        <w:rPr>
          <w:lang w:val="mk-MK"/>
        </w:rPr>
        <w:t xml:space="preserve">перационализација </w:t>
      </w:r>
      <w:r w:rsidR="00FD6224" w:rsidRPr="00FD6224">
        <w:rPr>
          <w:lang w:val="mk-MK"/>
        </w:rPr>
        <w:t>на деловната стратегија и мерење на нејзиниот успех преку вештачка интелигенција</w:t>
      </w:r>
      <w:bookmarkEnd w:id="150"/>
    </w:p>
    <w:p w14:paraId="671E0D82" w14:textId="77777777" w:rsidR="009109FE" w:rsidRDefault="009109FE" w:rsidP="007C3131">
      <w:pPr>
        <w:pStyle w:val="BodyText"/>
        <w:jc w:val="both"/>
        <w:rPr>
          <w:rFonts w:eastAsia="Arial Unicode MS"/>
          <w:color w:val="000000"/>
          <w:bdr w:val="nil"/>
          <w:lang w:val="mk-MK"/>
        </w:rPr>
      </w:pPr>
    </w:p>
    <w:p w14:paraId="20BC38E1" w14:textId="6FDEC35C" w:rsidR="009109FE" w:rsidRPr="007C3131" w:rsidRDefault="009109FE" w:rsidP="008C0E69">
      <w:pPr>
        <w:pStyle w:val="BodyText"/>
        <w:jc w:val="center"/>
        <w:rPr>
          <w:rFonts w:eastAsia="Arial Unicode MS"/>
          <w:color w:val="000000"/>
          <w:bdr w:val="nil"/>
          <w:lang w:val="mk-MK"/>
        </w:rPr>
      </w:pPr>
      <w:r>
        <w:rPr>
          <w:noProof/>
        </w:rPr>
        <w:drawing>
          <wp:inline distT="0" distB="0" distL="0" distR="0" wp14:anchorId="4FF9A665" wp14:editId="377141D7">
            <wp:extent cx="4843246" cy="3476625"/>
            <wp:effectExtent l="0" t="0" r="0" b="0"/>
            <wp:docPr id="172090605" name="Picture 1" descr="A flowchart of artificial intelligence (AI) decision‐making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A flowchart of artificial intelligence (AI) decision‐making ..."/>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4845943" cy="3478561"/>
                    </a:xfrm>
                    <a:prstGeom prst="rect">
                      <a:avLst/>
                    </a:prstGeom>
                    <a:noFill/>
                    <a:ln>
                      <a:noFill/>
                    </a:ln>
                  </pic:spPr>
                </pic:pic>
              </a:graphicData>
            </a:graphic>
          </wp:inline>
        </w:drawing>
      </w:r>
    </w:p>
    <w:p w14:paraId="3A32C264" w14:textId="6674CE58" w:rsidR="009109FE" w:rsidRPr="00D52194" w:rsidRDefault="009109FE" w:rsidP="008C0E69">
      <w:pPr>
        <w:spacing w:before="240"/>
        <w:ind w:left="-810" w:firstLine="810"/>
        <w:jc w:val="center"/>
        <w:rPr>
          <w:i/>
          <w:iCs/>
          <w:sz w:val="24"/>
          <w:szCs w:val="24"/>
          <w:lang w:val="mk-MK"/>
        </w:rPr>
      </w:pPr>
      <w:r w:rsidRPr="00D52194">
        <w:rPr>
          <w:i/>
          <w:iCs/>
          <w:sz w:val="24"/>
          <w:szCs w:val="24"/>
          <w:lang w:val="mk-MK"/>
        </w:rPr>
        <w:t>Извор: истражувањето и податоците изнесени во докторската дисертација.</w:t>
      </w:r>
    </w:p>
    <w:p w14:paraId="6F3FFC46" w14:textId="77777777" w:rsidR="002A75AD" w:rsidRDefault="002A75AD" w:rsidP="009C567B">
      <w:pPr>
        <w:pStyle w:val="BodyText"/>
        <w:spacing w:line="360" w:lineRule="auto"/>
        <w:jc w:val="both"/>
        <w:rPr>
          <w:rFonts w:eastAsia="Arial Unicode MS"/>
          <w:color w:val="000000"/>
          <w:sz w:val="26"/>
          <w:szCs w:val="26"/>
          <w:bdr w:val="nil"/>
          <w:lang w:val="mk-MK"/>
        </w:rPr>
      </w:pPr>
    </w:p>
    <w:p w14:paraId="49F591A3" w14:textId="77777777" w:rsidR="00E75F0E" w:rsidRPr="006C2CEC" w:rsidRDefault="00E75F0E" w:rsidP="00E75F0E">
      <w:pPr>
        <w:pStyle w:val="BodyText"/>
        <w:jc w:val="both"/>
        <w:rPr>
          <w:rFonts w:eastAsia="Arial Unicode MS"/>
          <w:b/>
          <w:bCs/>
          <w:color w:val="000000"/>
          <w:bdr w:val="nil"/>
          <w:lang w:val="mk-MK"/>
        </w:rPr>
      </w:pPr>
      <w:r w:rsidRPr="006C2CEC">
        <w:rPr>
          <w:rFonts w:eastAsia="Arial Unicode MS"/>
          <w:b/>
          <w:bCs/>
          <w:color w:val="000000"/>
          <w:bdr w:val="nil"/>
          <w:lang w:val="mk-MK"/>
        </w:rPr>
        <w:t>Методолошка белешка</w:t>
      </w:r>
    </w:p>
    <w:p w14:paraId="16B668CF" w14:textId="77777777" w:rsidR="007A5675" w:rsidRDefault="007A5675" w:rsidP="00E75F0E">
      <w:pPr>
        <w:pStyle w:val="BodyText"/>
        <w:jc w:val="both"/>
        <w:rPr>
          <w:rFonts w:eastAsia="Arial Unicode MS"/>
          <w:color w:val="000000"/>
          <w:bdr w:val="nil"/>
          <w:lang w:val="mk-MK"/>
        </w:rPr>
      </w:pPr>
      <w:r w:rsidRPr="007A5675">
        <w:rPr>
          <w:rFonts w:eastAsia="Arial Unicode MS"/>
          <w:color w:val="000000"/>
          <w:bdr w:val="nil"/>
          <w:lang w:val="mk-MK"/>
        </w:rPr>
        <w:t xml:space="preserve">Прилог 12 прикажува поедноставен модел на операционализација на деловната стратегија преку употреба на вештачка интелигенција, структуриран како процесен тек кој ги поврзува стратегиските цели, техничката имплементација и мерењето на резултатите. Моделот е конципиран врз логика на постепена институционална и организациска проверка, при што секоја фаза претставува предуслов за премин кон следната етапа на имплементација. Методолошки, моделот се состои од четири меѓусебно поврзани сегменти: (1) дефинирање на деловната стратегија и очекуваните исходи, (2) трансформација на деловните цели во прашања погодни за анализа преку вештачка интелигенција, (3) организациска и технолошка имплементација и (4) мерење на вредноста и евалуација на успешноста. </w:t>
      </w:r>
    </w:p>
    <w:p w14:paraId="0E4A0AAE" w14:textId="77777777" w:rsidR="007A5675" w:rsidRDefault="007A5675" w:rsidP="00E75F0E">
      <w:pPr>
        <w:pStyle w:val="BodyText"/>
        <w:jc w:val="both"/>
        <w:rPr>
          <w:rFonts w:eastAsia="Arial Unicode MS"/>
          <w:color w:val="000000"/>
          <w:bdr w:val="nil"/>
          <w:lang w:val="mk-MK"/>
        </w:rPr>
      </w:pPr>
    </w:p>
    <w:p w14:paraId="0A699CD2" w14:textId="77777777" w:rsidR="007B22E7" w:rsidRDefault="007A5675" w:rsidP="00E75F0E">
      <w:pPr>
        <w:pStyle w:val="BodyText"/>
        <w:jc w:val="both"/>
        <w:rPr>
          <w:rFonts w:eastAsia="Arial Unicode MS"/>
          <w:color w:val="000000"/>
          <w:bdr w:val="nil"/>
          <w:lang w:val="mk-MK"/>
        </w:rPr>
      </w:pPr>
      <w:r w:rsidRPr="007A5675">
        <w:rPr>
          <w:rFonts w:eastAsia="Arial Unicode MS"/>
          <w:color w:val="000000"/>
          <w:bdr w:val="nil"/>
          <w:lang w:val="mk-MK"/>
        </w:rPr>
        <w:t xml:space="preserve">Во првата фаза, моделот поаѓа од постојната деловна стратегија на трговското друштво и проверува дали се јасно дефинирани деловните исходи. Доколку тие не се доволно конкретизирани, процесот се враќа кон нивно дополнително формулирање. Во следниот чекор, деловните цели се преведуваат во аналитички прашања што можат да бидат обработени преку системи на вештачка интелигенција и машинско учење. Истовремено се утврдуваат KPI индикатори и AI метрики преку кои ќе се оценува ефикасноста на имплементацијата. </w:t>
      </w:r>
    </w:p>
    <w:p w14:paraId="10E05531" w14:textId="77777777" w:rsidR="007B22E7" w:rsidRDefault="007B22E7" w:rsidP="00E75F0E">
      <w:pPr>
        <w:pStyle w:val="BodyText"/>
        <w:jc w:val="both"/>
        <w:rPr>
          <w:rFonts w:eastAsia="Arial Unicode MS"/>
          <w:color w:val="000000"/>
          <w:bdr w:val="nil"/>
          <w:lang w:val="mk-MK"/>
        </w:rPr>
      </w:pPr>
    </w:p>
    <w:p w14:paraId="28F67F9E" w14:textId="77777777" w:rsidR="002E151E" w:rsidRDefault="007A5675" w:rsidP="00E75F0E">
      <w:pPr>
        <w:pStyle w:val="BodyText"/>
        <w:jc w:val="both"/>
        <w:rPr>
          <w:rFonts w:eastAsia="Arial Unicode MS"/>
          <w:color w:val="000000"/>
          <w:bdr w:val="nil"/>
          <w:lang w:val="mk-MK"/>
        </w:rPr>
      </w:pPr>
      <w:r w:rsidRPr="007A5675">
        <w:rPr>
          <w:rFonts w:eastAsia="Arial Unicode MS"/>
          <w:color w:val="000000"/>
          <w:bdr w:val="nil"/>
          <w:lang w:val="mk-MK"/>
        </w:rPr>
        <w:t xml:space="preserve">Втората фаза се однесува на оперативната имплементација. Тука моделот предвидува проверка на достапноста и квалитетот на податоците, постоењето на соодветни </w:t>
      </w:r>
      <w:r w:rsidRPr="007A5675">
        <w:rPr>
          <w:rFonts w:eastAsia="Arial Unicode MS"/>
          <w:color w:val="000000"/>
          <w:bdr w:val="nil"/>
          <w:lang w:val="mk-MK"/>
        </w:rPr>
        <w:lastRenderedPageBreak/>
        <w:t xml:space="preserve">технолошки алатки и кадровски капацитети. Во случај на недостатоци, моделот предвидува корективни активности како што се подобрување на системите за собирање податоци, набавка на технолошка инфраструктура и обезбедување стручни човечки ресурси. Дури по исполнување на овие предуслови се пристапува кон тестирање и евалуација на AI/ML модели и нивна интеграција во процесот на деловно одлучување. </w:t>
      </w:r>
    </w:p>
    <w:p w14:paraId="488F64E5" w14:textId="77777777" w:rsidR="002E151E" w:rsidRDefault="002E151E" w:rsidP="00E75F0E">
      <w:pPr>
        <w:pStyle w:val="BodyText"/>
        <w:jc w:val="both"/>
        <w:rPr>
          <w:rFonts w:eastAsia="Arial Unicode MS"/>
          <w:color w:val="000000"/>
          <w:bdr w:val="nil"/>
          <w:lang w:val="mk-MK"/>
        </w:rPr>
      </w:pPr>
    </w:p>
    <w:p w14:paraId="239CE448" w14:textId="074C74E5" w:rsidR="00E75F0E" w:rsidRDefault="002E151E" w:rsidP="00E75F0E">
      <w:pPr>
        <w:pStyle w:val="BodyText"/>
        <w:jc w:val="both"/>
        <w:rPr>
          <w:rFonts w:eastAsia="Arial Unicode MS"/>
          <w:color w:val="000000"/>
          <w:bdr w:val="nil"/>
          <w:lang w:val="mk-MK"/>
        </w:rPr>
      </w:pPr>
      <w:r>
        <w:rPr>
          <w:rFonts w:eastAsia="Arial Unicode MS"/>
          <w:color w:val="000000"/>
          <w:bdr w:val="nil"/>
          <w:lang w:val="mk-MK"/>
        </w:rPr>
        <w:t xml:space="preserve">Третата и четвртата </w:t>
      </w:r>
      <w:r w:rsidR="007A5675" w:rsidRPr="007A5675">
        <w:rPr>
          <w:rFonts w:eastAsia="Arial Unicode MS"/>
          <w:color w:val="000000"/>
          <w:bdr w:val="nil"/>
          <w:lang w:val="mk-MK"/>
        </w:rPr>
        <w:t>фаза се однесув</w:t>
      </w:r>
      <w:r>
        <w:rPr>
          <w:rFonts w:eastAsia="Arial Unicode MS"/>
          <w:color w:val="000000"/>
          <w:bdr w:val="nil"/>
          <w:lang w:val="mk-MK"/>
        </w:rPr>
        <w:t>а</w:t>
      </w:r>
      <w:r w:rsidR="007A5675" w:rsidRPr="007A5675">
        <w:rPr>
          <w:rFonts w:eastAsia="Arial Unicode MS"/>
          <w:color w:val="000000"/>
          <w:bdr w:val="nil"/>
          <w:lang w:val="mk-MK"/>
        </w:rPr>
        <w:t>а</w:t>
      </w:r>
      <w:r>
        <w:rPr>
          <w:rFonts w:eastAsia="Arial Unicode MS"/>
          <w:color w:val="000000"/>
          <w:bdr w:val="nil"/>
          <w:lang w:val="mk-MK"/>
        </w:rPr>
        <w:t>т</w:t>
      </w:r>
      <w:r w:rsidR="007A5675" w:rsidRPr="007A5675">
        <w:rPr>
          <w:rFonts w:eastAsia="Arial Unicode MS"/>
          <w:color w:val="000000"/>
          <w:bdr w:val="nil"/>
          <w:lang w:val="mk-MK"/>
        </w:rPr>
        <w:t xml:space="preserve"> на мерење на создадената вредност. Моделот предвидува циклична евалуација на успешноста на системот. Доколку резултатите се успешни, процесот завршува како функционален модел на AI интеграција. Доколку резултатите не ги исполнуваат очекувањата, се врши документирање на научените лекции и повторно приспособување на системот.</w:t>
      </w:r>
    </w:p>
    <w:p w14:paraId="4647FBCC" w14:textId="77777777" w:rsidR="00EA75D6" w:rsidRDefault="00EA75D6" w:rsidP="00E75F0E">
      <w:pPr>
        <w:pStyle w:val="BodyText"/>
        <w:jc w:val="both"/>
        <w:rPr>
          <w:rFonts w:eastAsia="Arial Unicode MS"/>
          <w:color w:val="000000"/>
          <w:bdr w:val="nil"/>
          <w:lang w:val="mk-MK"/>
        </w:rPr>
      </w:pPr>
    </w:p>
    <w:p w14:paraId="79073A3D" w14:textId="77777777" w:rsidR="00EA75D6" w:rsidRDefault="00EA75D6" w:rsidP="00EA75D6">
      <w:pPr>
        <w:pStyle w:val="BodyText"/>
        <w:jc w:val="both"/>
        <w:rPr>
          <w:rFonts w:eastAsia="Arial Unicode MS"/>
          <w:color w:val="000000"/>
          <w:bdr w:val="nil"/>
          <w:lang w:val="mk-MK"/>
        </w:rPr>
      </w:pPr>
      <w:r w:rsidRPr="004E2316">
        <w:rPr>
          <w:rFonts w:eastAsia="Arial Unicode MS"/>
          <w:b/>
          <w:bCs/>
          <w:color w:val="000000"/>
          <w:bdr w:val="nil"/>
          <w:lang w:val="mk-MK"/>
        </w:rPr>
        <w:t>Напомена</w:t>
      </w:r>
      <w:r w:rsidRPr="004E2316">
        <w:rPr>
          <w:rFonts w:eastAsia="Arial Unicode MS"/>
          <w:color w:val="000000"/>
          <w:bdr w:val="nil"/>
          <w:lang w:val="mk-MK"/>
        </w:rPr>
        <w:t xml:space="preserve"> </w:t>
      </w:r>
    </w:p>
    <w:p w14:paraId="687F0EF5" w14:textId="77777777" w:rsidR="00A74D30" w:rsidRDefault="00EA75D6" w:rsidP="00EA75D6">
      <w:pPr>
        <w:pStyle w:val="BodyText"/>
        <w:jc w:val="both"/>
        <w:rPr>
          <w:rFonts w:eastAsia="Arial Unicode MS"/>
          <w:color w:val="000000"/>
          <w:bdr w:val="nil"/>
          <w:lang w:val="mk-MK"/>
        </w:rPr>
      </w:pPr>
      <w:r w:rsidRPr="00EA75D6">
        <w:rPr>
          <w:rFonts w:eastAsia="Arial Unicode MS"/>
          <w:color w:val="000000"/>
          <w:bdr w:val="nil"/>
          <w:lang w:val="mk-MK"/>
        </w:rPr>
        <w:t xml:space="preserve">Прилогот има аналитичко и илустративно значење и не претставува универзален или нормативно обврзувачки модел за имплементација на вештачка интелигенција во корпоративното управување. Неговата функција е да прикаже како современите деловни субјекти постепено ја трансформираат деловната стратегија во податочно базирани процеси на одлучување и мерење на ефикасноста. </w:t>
      </w:r>
    </w:p>
    <w:p w14:paraId="276F070D" w14:textId="77777777" w:rsidR="00A74D30" w:rsidRDefault="00A74D30" w:rsidP="00EA75D6">
      <w:pPr>
        <w:pStyle w:val="BodyText"/>
        <w:jc w:val="both"/>
        <w:rPr>
          <w:rFonts w:eastAsia="Arial Unicode MS"/>
          <w:color w:val="000000"/>
          <w:bdr w:val="nil"/>
          <w:lang w:val="mk-MK"/>
        </w:rPr>
      </w:pPr>
    </w:p>
    <w:p w14:paraId="44AFB433" w14:textId="77777777" w:rsidR="00A74D30" w:rsidRDefault="00EA75D6" w:rsidP="00EA75D6">
      <w:pPr>
        <w:pStyle w:val="BodyText"/>
        <w:jc w:val="both"/>
        <w:rPr>
          <w:rFonts w:eastAsia="Arial Unicode MS"/>
          <w:color w:val="000000"/>
          <w:bdr w:val="nil"/>
          <w:lang w:val="mk-MK"/>
        </w:rPr>
      </w:pPr>
      <w:r w:rsidRPr="00EA75D6">
        <w:rPr>
          <w:rFonts w:eastAsia="Arial Unicode MS"/>
          <w:color w:val="000000"/>
          <w:bdr w:val="nil"/>
          <w:lang w:val="mk-MK"/>
        </w:rPr>
        <w:t xml:space="preserve">Прикажаниот модел е особено релевантен во контекст на современото корпоративно управување бидејќи покажува дека имплементацијата на вештачката интелигенција не е исклучиво техничко прашање, туку процес што бара организациска подготвеност, институционална координација, јасно дефинирани цели, механизми на отчетност и континуирана евалуација на резултатите. </w:t>
      </w:r>
    </w:p>
    <w:p w14:paraId="6B61611D" w14:textId="77777777" w:rsidR="00A74D30" w:rsidRDefault="00A74D30" w:rsidP="00EA75D6">
      <w:pPr>
        <w:pStyle w:val="BodyText"/>
        <w:jc w:val="both"/>
        <w:rPr>
          <w:rFonts w:eastAsia="Arial Unicode MS"/>
          <w:color w:val="000000"/>
          <w:bdr w:val="nil"/>
          <w:lang w:val="mk-MK"/>
        </w:rPr>
      </w:pPr>
    </w:p>
    <w:p w14:paraId="035311F6" w14:textId="23A0D03C" w:rsidR="00EA75D6" w:rsidRDefault="00EA75D6" w:rsidP="00EA75D6">
      <w:pPr>
        <w:pStyle w:val="BodyText"/>
        <w:jc w:val="both"/>
        <w:rPr>
          <w:rFonts w:eastAsia="Arial Unicode MS"/>
          <w:color w:val="000000"/>
          <w:bdr w:val="nil"/>
          <w:lang w:val="mk-MK"/>
        </w:rPr>
      </w:pPr>
      <w:r w:rsidRPr="00EA75D6">
        <w:rPr>
          <w:rFonts w:eastAsia="Arial Unicode MS"/>
          <w:color w:val="000000"/>
          <w:bdr w:val="nil"/>
          <w:lang w:val="mk-MK"/>
        </w:rPr>
        <w:t>Во рамките на ова истражување, прилогот служи како визуелна и методолошка поддршка на аргументот дека алгоритамското управување постепено влијае врз начинот на кој се донесуваат корпоративните одлуки, се распределуваат овластувањата и се мери деловната успешност.</w:t>
      </w:r>
    </w:p>
    <w:p w14:paraId="16814672" w14:textId="77777777" w:rsidR="00A74D30" w:rsidRDefault="00A74D30" w:rsidP="00EA75D6">
      <w:pPr>
        <w:pStyle w:val="BodyText"/>
        <w:jc w:val="both"/>
        <w:rPr>
          <w:rFonts w:eastAsia="Arial Unicode MS"/>
          <w:color w:val="000000"/>
          <w:bdr w:val="nil"/>
          <w:lang w:val="mk-MK"/>
        </w:rPr>
      </w:pPr>
    </w:p>
    <w:p w14:paraId="213871E2" w14:textId="77777777" w:rsidR="00A74D30" w:rsidRDefault="00A74D30" w:rsidP="00A74D30">
      <w:pPr>
        <w:pStyle w:val="BodyText"/>
        <w:jc w:val="both"/>
        <w:rPr>
          <w:rFonts w:eastAsia="Arial Unicode MS"/>
          <w:color w:val="000000"/>
          <w:bdr w:val="nil"/>
          <w:lang w:val="mk-MK"/>
        </w:rPr>
      </w:pPr>
      <w:r w:rsidRPr="004B1793">
        <w:rPr>
          <w:rFonts w:eastAsia="Arial Unicode MS"/>
          <w:b/>
          <w:bCs/>
          <w:color w:val="000000"/>
          <w:bdr w:val="nil"/>
          <w:lang w:val="mk-MK"/>
        </w:rPr>
        <w:t>Синтетички заклучок</w:t>
      </w:r>
      <w:r w:rsidRPr="004B1793">
        <w:rPr>
          <w:rFonts w:eastAsia="Arial Unicode MS"/>
          <w:color w:val="000000"/>
          <w:bdr w:val="nil"/>
          <w:lang w:val="mk-MK"/>
        </w:rPr>
        <w:t xml:space="preserve"> </w:t>
      </w:r>
    </w:p>
    <w:p w14:paraId="5F42191A" w14:textId="77777777" w:rsidR="00353B78" w:rsidRDefault="00353B78" w:rsidP="00A74D30">
      <w:pPr>
        <w:pStyle w:val="BodyText"/>
        <w:jc w:val="both"/>
        <w:rPr>
          <w:rFonts w:eastAsia="Arial Unicode MS"/>
          <w:color w:val="000000"/>
          <w:bdr w:val="nil"/>
          <w:lang w:val="mk-MK"/>
        </w:rPr>
      </w:pPr>
      <w:r w:rsidRPr="00353B78">
        <w:rPr>
          <w:rFonts w:eastAsia="Arial Unicode MS"/>
          <w:color w:val="000000"/>
          <w:bdr w:val="nil"/>
          <w:lang w:val="mk-MK"/>
        </w:rPr>
        <w:t xml:space="preserve">Студијата на случај покажува дека успешната интеграција на вештачката интелигенција во деловното управување зависи од способноста на организацијата да воспостави јасна врска помеѓу стратегиските цели, податоците, технолошката инфраструктура и механизмите за евалуација. Вештачката интелигенција не функционира како автономен механизам на корпоративно управување, туку како инструмент чија ефикасност е условена од институционалната зрелост на компанијата. </w:t>
      </w:r>
    </w:p>
    <w:p w14:paraId="2EF8171E" w14:textId="77777777" w:rsidR="00353B78" w:rsidRDefault="00353B78" w:rsidP="00A74D30">
      <w:pPr>
        <w:pStyle w:val="BodyText"/>
        <w:jc w:val="both"/>
        <w:rPr>
          <w:rFonts w:eastAsia="Arial Unicode MS"/>
          <w:color w:val="000000"/>
          <w:bdr w:val="nil"/>
          <w:lang w:val="mk-MK"/>
        </w:rPr>
      </w:pPr>
    </w:p>
    <w:p w14:paraId="35A472D5" w14:textId="77777777" w:rsidR="00353B78" w:rsidRDefault="00353B78" w:rsidP="00A74D30">
      <w:pPr>
        <w:pStyle w:val="BodyText"/>
        <w:jc w:val="both"/>
        <w:rPr>
          <w:rFonts w:eastAsia="Arial Unicode MS"/>
          <w:color w:val="000000"/>
          <w:bdr w:val="nil"/>
          <w:lang w:val="mk-MK"/>
        </w:rPr>
      </w:pPr>
      <w:r w:rsidRPr="00353B78">
        <w:rPr>
          <w:rFonts w:eastAsia="Arial Unicode MS"/>
          <w:color w:val="000000"/>
          <w:bdr w:val="nil"/>
          <w:lang w:val="mk-MK"/>
        </w:rPr>
        <w:t xml:space="preserve">Особено значајно е тоа што моделот ја нагласува потребата од континуирана повратна врска помеѓу мерењето на резултатите и понатамошното приспособување на системот. На тој начин, алгоритамското управување се појавува како динамичен и цикличен процес на учење, а не како еднократна технолошка интервенција. </w:t>
      </w:r>
    </w:p>
    <w:p w14:paraId="35203A88" w14:textId="77777777" w:rsidR="00353B78" w:rsidRDefault="00353B78" w:rsidP="00A74D30">
      <w:pPr>
        <w:pStyle w:val="BodyText"/>
        <w:jc w:val="both"/>
        <w:rPr>
          <w:rFonts w:eastAsia="Arial Unicode MS"/>
          <w:color w:val="000000"/>
          <w:bdr w:val="nil"/>
          <w:lang w:val="mk-MK"/>
        </w:rPr>
      </w:pPr>
    </w:p>
    <w:p w14:paraId="23FB65A8" w14:textId="2D0093BF" w:rsidR="009C567B" w:rsidRDefault="00353B78" w:rsidP="007D250D">
      <w:pPr>
        <w:pStyle w:val="BodyText"/>
        <w:jc w:val="both"/>
        <w:rPr>
          <w:rFonts w:eastAsia="Arial Unicode MS"/>
          <w:color w:val="000000"/>
          <w:bdr w:val="nil"/>
          <w:lang w:val="mk-MK"/>
        </w:rPr>
      </w:pPr>
      <w:r w:rsidRPr="00353B78">
        <w:rPr>
          <w:rFonts w:eastAsia="Arial Unicode MS"/>
          <w:color w:val="000000"/>
          <w:bdr w:val="nil"/>
          <w:lang w:val="mk-MK"/>
        </w:rPr>
        <w:t>Од перспектива на корпоративното управување, ова упатува на постепено поместување од традиционални модели на управување базирани претежно врз човечка проценка кон хибридни модели во кои алгоритамските системи имаат сè поголемо влијание врз деловните одлуки, проценката на успешноста и распределбата на корпоративната моќ.</w:t>
      </w:r>
    </w:p>
    <w:p w14:paraId="0C755B81" w14:textId="77777777" w:rsidR="007D250D" w:rsidRDefault="007D250D" w:rsidP="007D250D">
      <w:pPr>
        <w:pStyle w:val="BodyText"/>
        <w:jc w:val="both"/>
        <w:rPr>
          <w:rFonts w:eastAsia="Arial Unicode MS"/>
          <w:color w:val="000000"/>
          <w:bdr w:val="nil"/>
          <w:lang w:val="mk-MK"/>
        </w:rPr>
      </w:pPr>
    </w:p>
    <w:p w14:paraId="7A7CC3AB" w14:textId="714BEDBC" w:rsidR="007D250D" w:rsidRPr="00A20708" w:rsidRDefault="007D250D" w:rsidP="007D250D">
      <w:pPr>
        <w:pStyle w:val="BodyText"/>
        <w:spacing w:after="240"/>
        <w:jc w:val="both"/>
        <w:rPr>
          <w:rFonts w:eastAsia="Arial Unicode MS"/>
          <w:color w:val="000000"/>
          <w:bdr w:val="nil"/>
          <w:lang w:val="mk-MK"/>
        </w:rPr>
      </w:pPr>
    </w:p>
    <w:p w14:paraId="1F6B7FF1" w14:textId="0A725999" w:rsidR="007D250D" w:rsidRDefault="007D250D" w:rsidP="007D250D">
      <w:pPr>
        <w:pStyle w:val="Heading1"/>
        <w:spacing w:after="240"/>
        <w:jc w:val="both"/>
        <w:rPr>
          <w:lang w:val="mk-MK"/>
        </w:rPr>
      </w:pPr>
      <w:bookmarkStart w:id="151" w:name="_Toc230524004"/>
      <w:r w:rsidRPr="00F53881">
        <w:rPr>
          <w:lang w:val="mk-MK"/>
        </w:rPr>
        <w:lastRenderedPageBreak/>
        <w:t xml:space="preserve">Прилог </w:t>
      </w:r>
      <w:r>
        <w:rPr>
          <w:lang w:val="mk-MK"/>
        </w:rPr>
        <w:t>13</w:t>
      </w:r>
      <w:r>
        <w:rPr>
          <w:lang w:val="en-US"/>
        </w:rPr>
        <w:t xml:space="preserve">: </w:t>
      </w:r>
      <w:r w:rsidR="00FF0D5D">
        <w:rPr>
          <w:lang w:val="mk-MK"/>
        </w:rPr>
        <w:t>Студија на случај 2-</w:t>
      </w:r>
      <w:r w:rsidR="00FB30B7" w:rsidRPr="00FB30B7">
        <w:rPr>
          <w:lang w:val="mk-MK"/>
        </w:rPr>
        <w:t>Акционерските права сè повеќе се остваруваат преку алгоритамски посредници</w:t>
      </w:r>
      <w:bookmarkEnd w:id="151"/>
    </w:p>
    <w:p w14:paraId="49BE6217" w14:textId="77777777" w:rsidR="00FF0D5D" w:rsidRPr="002A75AD" w:rsidRDefault="00FF0D5D" w:rsidP="00FB30B7">
      <w:pPr>
        <w:pStyle w:val="BodyText"/>
        <w:rPr>
          <w:lang w:val="mk-MK"/>
        </w:rPr>
      </w:pPr>
    </w:p>
    <w:tbl>
      <w:tblPr>
        <w:tblStyle w:val="TableGrid"/>
        <w:tblW w:w="0" w:type="auto"/>
        <w:tblInd w:w="715" w:type="dxa"/>
        <w:tblLook w:val="04A0" w:firstRow="1" w:lastRow="0" w:firstColumn="1" w:lastColumn="0" w:noHBand="0" w:noVBand="1"/>
      </w:tblPr>
      <w:tblGrid>
        <w:gridCol w:w="7560"/>
      </w:tblGrid>
      <w:tr w:rsidR="00FF0D5D" w14:paraId="6B67610C" w14:textId="77777777" w:rsidTr="00CE59D0">
        <w:trPr>
          <w:trHeight w:val="1610"/>
        </w:trPr>
        <w:tc>
          <w:tcPr>
            <w:tcW w:w="7560" w:type="dxa"/>
          </w:tcPr>
          <w:p w14:paraId="0C1BF3DE" w14:textId="77777777" w:rsidR="00FF0D5D" w:rsidRDefault="00FF0D5D" w:rsidP="00CE59D0">
            <w:pPr>
              <w:pStyle w:val="BodyText"/>
              <w:spacing w:before="240"/>
              <w:jc w:val="center"/>
              <w:rPr>
                <w:lang w:val="mk-MK"/>
              </w:rPr>
            </w:pPr>
            <w:r w:rsidRPr="004B2123">
              <w:rPr>
                <w:lang w:val="mk-MK"/>
              </w:rPr>
              <w:t xml:space="preserve">ФОРМАЛНИ АКЦИОНЕРСКИ ПРАВА </w:t>
            </w:r>
          </w:p>
          <w:p w14:paraId="276745F2" w14:textId="77777777" w:rsidR="00FF0D5D" w:rsidRPr="004B2123" w:rsidRDefault="00FF0D5D" w:rsidP="00CE59D0">
            <w:pPr>
              <w:pStyle w:val="BodyText"/>
              <w:spacing w:before="240"/>
              <w:jc w:val="center"/>
              <w:rPr>
                <w:lang w:val="mk-MK"/>
              </w:rPr>
            </w:pPr>
            <w:r w:rsidRPr="004B2123">
              <w:rPr>
                <w:lang w:val="mk-MK"/>
              </w:rPr>
              <w:t>(гласање, информирање, ангажман)</w:t>
            </w:r>
          </w:p>
          <w:p w14:paraId="3FF31487" w14:textId="77777777" w:rsidR="00FF0D5D" w:rsidRDefault="00FF0D5D" w:rsidP="00CE59D0">
            <w:pPr>
              <w:pStyle w:val="BodyText"/>
              <w:spacing w:before="240"/>
              <w:jc w:val="center"/>
              <w:rPr>
                <w:lang w:val="en-US"/>
              </w:rPr>
            </w:pPr>
            <w:r w:rsidRPr="005D0A77">
              <w:rPr>
                <w:lang w:val="en-US"/>
              </w:rPr>
              <w:t>↓</w:t>
            </w:r>
          </w:p>
        </w:tc>
      </w:tr>
      <w:tr w:rsidR="00FF0D5D" w14:paraId="627BCA30" w14:textId="77777777" w:rsidTr="00CE59D0">
        <w:trPr>
          <w:trHeight w:val="1610"/>
        </w:trPr>
        <w:tc>
          <w:tcPr>
            <w:tcW w:w="7560" w:type="dxa"/>
          </w:tcPr>
          <w:p w14:paraId="7802F9AC" w14:textId="77777777" w:rsidR="00FF0D5D" w:rsidRPr="00446F1F" w:rsidRDefault="00FF0D5D" w:rsidP="00CE59D0">
            <w:pPr>
              <w:pStyle w:val="BodyText"/>
              <w:spacing w:before="240"/>
              <w:jc w:val="center"/>
              <w:rPr>
                <w:lang w:val="mk-MK"/>
              </w:rPr>
            </w:pPr>
            <w:r w:rsidRPr="00446F1F">
              <w:rPr>
                <w:lang w:val="mk-MK"/>
              </w:rPr>
              <w:t>ИНСТИТУЦИОНАЛНО ПОСРЕДУВАЊЕ</w:t>
            </w:r>
          </w:p>
          <w:p w14:paraId="2531467A" w14:textId="77777777" w:rsidR="00FF0D5D" w:rsidRPr="005D0A77" w:rsidRDefault="00FF0D5D" w:rsidP="00CE59D0">
            <w:pPr>
              <w:pStyle w:val="BodyText"/>
              <w:spacing w:before="240"/>
              <w:jc w:val="center"/>
              <w:rPr>
                <w:lang w:val="en-US"/>
              </w:rPr>
            </w:pPr>
            <w:r w:rsidRPr="005D0A77">
              <w:rPr>
                <w:lang w:val="en-US"/>
              </w:rPr>
              <w:t>(</w:t>
            </w:r>
            <w:r w:rsidRPr="00446F1F">
              <w:rPr>
                <w:lang w:val="mk-MK"/>
              </w:rPr>
              <w:t>управувачи со средства, советодавни компании за гласање</w:t>
            </w:r>
            <w:r w:rsidRPr="005D0A77">
              <w:rPr>
                <w:lang w:val="en-US"/>
              </w:rPr>
              <w:t>)</w:t>
            </w:r>
          </w:p>
          <w:p w14:paraId="6E698E0F" w14:textId="77777777" w:rsidR="00FF0D5D" w:rsidRDefault="00FF0D5D" w:rsidP="00CE59D0">
            <w:pPr>
              <w:pStyle w:val="BodyText"/>
              <w:spacing w:before="240"/>
              <w:jc w:val="center"/>
              <w:rPr>
                <w:lang w:val="en-US"/>
              </w:rPr>
            </w:pPr>
            <w:r w:rsidRPr="005D0A77">
              <w:rPr>
                <w:lang w:val="en-US"/>
              </w:rPr>
              <w:t>↓</w:t>
            </w:r>
          </w:p>
        </w:tc>
      </w:tr>
      <w:tr w:rsidR="00FF0D5D" w14:paraId="1B3BD5FD" w14:textId="77777777" w:rsidTr="00CE59D0">
        <w:trPr>
          <w:trHeight w:val="1952"/>
        </w:trPr>
        <w:tc>
          <w:tcPr>
            <w:tcW w:w="7560" w:type="dxa"/>
          </w:tcPr>
          <w:p w14:paraId="42086D47" w14:textId="77777777" w:rsidR="00FF0D5D" w:rsidRPr="00444AE8" w:rsidRDefault="00FF0D5D" w:rsidP="00CE59D0">
            <w:pPr>
              <w:pStyle w:val="BodyText"/>
              <w:spacing w:before="240"/>
              <w:jc w:val="center"/>
              <w:rPr>
                <w:lang w:val="mk-MK"/>
              </w:rPr>
            </w:pPr>
            <w:r w:rsidRPr="00444AE8">
              <w:rPr>
                <w:lang w:val="mk-MK"/>
              </w:rPr>
              <w:t>АЛГОРИТАМСКО ПОСРЕДУВАЊЕ</w:t>
            </w:r>
          </w:p>
          <w:p w14:paraId="58550E77" w14:textId="77777777" w:rsidR="00FF0D5D" w:rsidRPr="005D0A77" w:rsidRDefault="00FF0D5D" w:rsidP="00CE59D0">
            <w:pPr>
              <w:pStyle w:val="BodyText"/>
              <w:spacing w:before="240"/>
              <w:jc w:val="center"/>
              <w:rPr>
                <w:lang w:val="en-US"/>
              </w:rPr>
            </w:pPr>
            <w:r w:rsidRPr="005D0A77">
              <w:rPr>
                <w:lang w:val="en-US"/>
              </w:rPr>
              <w:t>(</w:t>
            </w:r>
            <w:r w:rsidRPr="00444AE8">
              <w:rPr>
                <w:lang w:val="mk-MK"/>
              </w:rPr>
              <w:t>модели за гласање, ESG системи за оценување, автоматизирано извршување</w:t>
            </w:r>
            <w:r w:rsidRPr="005D0A77">
              <w:rPr>
                <w:lang w:val="en-US"/>
              </w:rPr>
              <w:t>)</w:t>
            </w:r>
          </w:p>
          <w:p w14:paraId="5218C49F" w14:textId="77777777" w:rsidR="00FF0D5D" w:rsidRDefault="00FF0D5D" w:rsidP="00CE59D0">
            <w:pPr>
              <w:pStyle w:val="BodyText"/>
              <w:spacing w:before="240"/>
              <w:jc w:val="center"/>
              <w:rPr>
                <w:lang w:val="en-US"/>
              </w:rPr>
            </w:pPr>
            <w:r w:rsidRPr="005D0A77">
              <w:rPr>
                <w:lang w:val="en-US"/>
              </w:rPr>
              <w:t>↓</w:t>
            </w:r>
          </w:p>
        </w:tc>
      </w:tr>
      <w:tr w:rsidR="00FF0D5D" w14:paraId="60DA0D4E" w14:textId="77777777" w:rsidTr="00CE59D0">
        <w:trPr>
          <w:trHeight w:val="1610"/>
        </w:trPr>
        <w:tc>
          <w:tcPr>
            <w:tcW w:w="7560" w:type="dxa"/>
          </w:tcPr>
          <w:p w14:paraId="618D16A9" w14:textId="77777777" w:rsidR="00FF0D5D" w:rsidRPr="000A0780" w:rsidRDefault="00FF0D5D" w:rsidP="00CE59D0">
            <w:pPr>
              <w:pStyle w:val="BodyText"/>
              <w:spacing w:before="240"/>
              <w:jc w:val="center"/>
              <w:rPr>
                <w:lang w:val="mk-MK"/>
              </w:rPr>
            </w:pPr>
            <w:r w:rsidRPr="000A0780">
              <w:rPr>
                <w:lang w:val="mk-MK"/>
              </w:rPr>
              <w:t>ГЛАСАЧКИ ИСХОДИ</w:t>
            </w:r>
          </w:p>
          <w:p w14:paraId="7CAB43BB" w14:textId="77777777" w:rsidR="00FF0D5D" w:rsidRPr="005D0A77" w:rsidRDefault="00FF0D5D" w:rsidP="00CE59D0">
            <w:pPr>
              <w:pStyle w:val="BodyText"/>
              <w:spacing w:before="240"/>
              <w:jc w:val="center"/>
              <w:rPr>
                <w:lang w:val="en-US"/>
              </w:rPr>
            </w:pPr>
            <w:r w:rsidRPr="005D0A77">
              <w:rPr>
                <w:lang w:val="en-US"/>
              </w:rPr>
              <w:t>(</w:t>
            </w:r>
            <w:r w:rsidRPr="000A0780">
              <w:rPr>
                <w:lang w:val="mk-MK"/>
              </w:rPr>
              <w:t>усвоени или одбиени</w:t>
            </w:r>
            <w:r>
              <w:rPr>
                <w:lang w:val="mk-MK"/>
              </w:rPr>
              <w:t xml:space="preserve"> предлози</w:t>
            </w:r>
            <w:r w:rsidRPr="005D0A77">
              <w:rPr>
                <w:lang w:val="en-US"/>
              </w:rPr>
              <w:t>)</w:t>
            </w:r>
          </w:p>
          <w:p w14:paraId="5152642E" w14:textId="77777777" w:rsidR="00FF0D5D" w:rsidRDefault="00FF0D5D" w:rsidP="00CE59D0">
            <w:pPr>
              <w:pStyle w:val="BodyText"/>
              <w:spacing w:before="240"/>
              <w:jc w:val="center"/>
              <w:rPr>
                <w:lang w:val="en-US"/>
              </w:rPr>
            </w:pPr>
            <w:r w:rsidRPr="005D0A77">
              <w:rPr>
                <w:lang w:val="en-US"/>
              </w:rPr>
              <w:t>↓</w:t>
            </w:r>
          </w:p>
        </w:tc>
      </w:tr>
      <w:tr w:rsidR="00FF0D5D" w14:paraId="1846D22A" w14:textId="77777777" w:rsidTr="00CE59D0">
        <w:trPr>
          <w:trHeight w:val="1160"/>
        </w:trPr>
        <w:tc>
          <w:tcPr>
            <w:tcW w:w="7560" w:type="dxa"/>
          </w:tcPr>
          <w:p w14:paraId="283D45F3" w14:textId="77777777" w:rsidR="00FF0D5D" w:rsidRPr="000A0780" w:rsidRDefault="00FF0D5D" w:rsidP="00CE59D0">
            <w:pPr>
              <w:pStyle w:val="BodyText"/>
              <w:spacing w:before="240"/>
              <w:jc w:val="center"/>
              <w:rPr>
                <w:lang w:val="mk-MK"/>
              </w:rPr>
            </w:pPr>
            <w:r w:rsidRPr="000A0780">
              <w:rPr>
                <w:lang w:val="mk-MK"/>
              </w:rPr>
              <w:t>ЕФЕКТИ ВРЗ УПРАВУВАЊЕТО</w:t>
            </w:r>
          </w:p>
          <w:p w14:paraId="51B1423C" w14:textId="77777777" w:rsidR="00FF0D5D" w:rsidRDefault="00FF0D5D" w:rsidP="00CE59D0">
            <w:pPr>
              <w:pStyle w:val="BodyText"/>
              <w:spacing w:before="240"/>
              <w:jc w:val="center"/>
              <w:rPr>
                <w:lang w:val="en-US"/>
              </w:rPr>
            </w:pPr>
            <w:r w:rsidRPr="005D0A77">
              <w:rPr>
                <w:lang w:val="en-US"/>
              </w:rPr>
              <w:t>(</w:t>
            </w:r>
            <w:r w:rsidRPr="003016E2">
              <w:rPr>
                <w:lang w:val="mk-MK"/>
              </w:rPr>
              <w:t>состав на одбор, стратегија, структури на отчетност</w:t>
            </w:r>
            <w:r w:rsidRPr="005D0A77">
              <w:rPr>
                <w:lang w:val="en-US"/>
              </w:rPr>
              <w:t>)</w:t>
            </w:r>
          </w:p>
        </w:tc>
      </w:tr>
    </w:tbl>
    <w:p w14:paraId="7A180E19" w14:textId="705FADDD" w:rsidR="007D250D" w:rsidRPr="00EE7556" w:rsidRDefault="007D250D" w:rsidP="007D250D">
      <w:pPr>
        <w:pStyle w:val="BodyText"/>
        <w:jc w:val="both"/>
        <w:rPr>
          <w:rFonts w:eastAsia="Arial Unicode MS"/>
          <w:color w:val="000000"/>
          <w:bdr w:val="nil"/>
          <w:lang w:val="mk-MK"/>
        </w:rPr>
      </w:pPr>
    </w:p>
    <w:p w14:paraId="07E1D537" w14:textId="366AA77B" w:rsidR="007D250D" w:rsidRPr="00FB30B7" w:rsidRDefault="007D250D" w:rsidP="007D250D">
      <w:pPr>
        <w:pStyle w:val="BodyText"/>
        <w:spacing w:line="360" w:lineRule="auto"/>
        <w:jc w:val="center"/>
        <w:rPr>
          <w:rFonts w:eastAsia="Arial Unicode MS"/>
          <w:color w:val="000000"/>
          <w:sz w:val="26"/>
          <w:szCs w:val="26"/>
          <w:bdr w:val="nil"/>
          <w:lang w:val="mk-MK"/>
        </w:rPr>
      </w:pPr>
      <w:r w:rsidRPr="00AF1434">
        <w:rPr>
          <w:i/>
          <w:iCs/>
          <w:lang w:val="mk-MK"/>
        </w:rPr>
        <w:t xml:space="preserve">Извор: </w:t>
      </w:r>
      <w:r w:rsidR="00FB30B7" w:rsidRPr="00D52194">
        <w:rPr>
          <w:i/>
          <w:iCs/>
          <w:lang w:val="mk-MK"/>
        </w:rPr>
        <w:t>истражувањето и податоците изнесени во докторската дисертација.</w:t>
      </w:r>
    </w:p>
    <w:p w14:paraId="7DBD4378" w14:textId="77777777" w:rsidR="007D250D" w:rsidRPr="004A44FA" w:rsidRDefault="007D250D" w:rsidP="007D250D">
      <w:pPr>
        <w:pStyle w:val="BodyText"/>
        <w:spacing w:line="360" w:lineRule="auto"/>
        <w:jc w:val="center"/>
        <w:rPr>
          <w:rFonts w:eastAsia="Arial Unicode MS"/>
          <w:color w:val="000000"/>
          <w:sz w:val="26"/>
          <w:szCs w:val="26"/>
          <w:bdr w:val="nil"/>
          <w:lang w:val="en-US"/>
        </w:rPr>
      </w:pPr>
    </w:p>
    <w:p w14:paraId="60D23E0A" w14:textId="77777777" w:rsidR="007D250D" w:rsidRPr="006C2CEC" w:rsidRDefault="007D250D" w:rsidP="007D250D">
      <w:pPr>
        <w:pStyle w:val="BodyText"/>
        <w:jc w:val="both"/>
        <w:rPr>
          <w:rFonts w:eastAsia="Arial Unicode MS"/>
          <w:b/>
          <w:bCs/>
          <w:color w:val="000000"/>
          <w:bdr w:val="nil"/>
          <w:lang w:val="mk-MK"/>
        </w:rPr>
      </w:pPr>
      <w:r w:rsidRPr="006C2CEC">
        <w:rPr>
          <w:rFonts w:eastAsia="Arial Unicode MS"/>
          <w:b/>
          <w:bCs/>
          <w:color w:val="000000"/>
          <w:bdr w:val="nil"/>
          <w:lang w:val="mk-MK"/>
        </w:rPr>
        <w:t>Методолошка белешка</w:t>
      </w:r>
    </w:p>
    <w:p w14:paraId="4EE1C454" w14:textId="77777777" w:rsidR="002B5F5B"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Прилог</w:t>
      </w:r>
      <w:r>
        <w:rPr>
          <w:rFonts w:eastAsia="Arial Unicode MS"/>
          <w:color w:val="000000"/>
          <w:bdr w:val="nil"/>
          <w:lang w:val="mk-MK"/>
        </w:rPr>
        <w:t>от број</w:t>
      </w:r>
      <w:r w:rsidRPr="00993689">
        <w:rPr>
          <w:rFonts w:eastAsia="Arial Unicode MS"/>
          <w:color w:val="000000"/>
          <w:bdr w:val="nil"/>
          <w:lang w:val="mk-MK"/>
        </w:rPr>
        <w:t xml:space="preserve"> 13 прикажува концептуален модел на постепена трансформација на акционерските права од формално индивидуални кон посредувани и алгоритамски структурирани процеси на корпоративно одлучување. Моделот е поставен како секвенцијален тек што ја илустрира еволуцијата на корпоративното управување во услови на дигитализација, финансиска интермедијација и употреба на системи базирани на вештачка интелигенција. Методолошки, студијата на случај е организирана во пет аналитички нивоа. </w:t>
      </w:r>
    </w:p>
    <w:p w14:paraId="16787FFF" w14:textId="77777777" w:rsidR="002B5F5B" w:rsidRDefault="002B5F5B" w:rsidP="007D250D">
      <w:pPr>
        <w:pStyle w:val="BodyText"/>
        <w:jc w:val="both"/>
        <w:rPr>
          <w:rFonts w:eastAsia="Arial Unicode MS"/>
          <w:color w:val="000000"/>
          <w:bdr w:val="nil"/>
          <w:lang w:val="mk-MK"/>
        </w:rPr>
      </w:pPr>
    </w:p>
    <w:p w14:paraId="62B52FFA" w14:textId="77777777" w:rsidR="00ED26F2"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 xml:space="preserve">Првото ниво се однесува на формалните акционерски права, како што се правото на гласање, правото на информирање и правото на акционерски ангажман. Овие права традиционално се сфаќаат како директни механизми преку кои акционерите влијаат врз </w:t>
      </w:r>
      <w:r w:rsidRPr="00993689">
        <w:rPr>
          <w:rFonts w:eastAsia="Arial Unicode MS"/>
          <w:color w:val="000000"/>
          <w:bdr w:val="nil"/>
          <w:lang w:val="mk-MK"/>
        </w:rPr>
        <w:lastRenderedPageBreak/>
        <w:t xml:space="preserve">корпоративното управување. </w:t>
      </w:r>
    </w:p>
    <w:p w14:paraId="4BC8DEF8" w14:textId="77777777" w:rsidR="00ED26F2" w:rsidRDefault="00ED26F2" w:rsidP="007D250D">
      <w:pPr>
        <w:pStyle w:val="BodyText"/>
        <w:jc w:val="both"/>
        <w:rPr>
          <w:rFonts w:eastAsia="Arial Unicode MS"/>
          <w:color w:val="000000"/>
          <w:bdr w:val="nil"/>
          <w:lang w:val="mk-MK"/>
        </w:rPr>
      </w:pPr>
    </w:p>
    <w:p w14:paraId="565EB386" w14:textId="77777777" w:rsidR="00ED26F2"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 xml:space="preserve">Второто ниво го прикажува институционалното посредување, односно фактот дека во современите корпорации голем дел од акционерските права фактички се остваруваат преку институционални инвеститори, управувачи со средства и советодавни компании за гласање. На овој начин, формално индивидуалните права се трансформираат во посредувани механизми на колективно корпоративно влијание. </w:t>
      </w:r>
    </w:p>
    <w:p w14:paraId="20D00249" w14:textId="77777777" w:rsidR="00ED26F2" w:rsidRDefault="00ED26F2" w:rsidP="007D250D">
      <w:pPr>
        <w:pStyle w:val="BodyText"/>
        <w:jc w:val="both"/>
        <w:rPr>
          <w:rFonts w:eastAsia="Arial Unicode MS"/>
          <w:color w:val="000000"/>
          <w:bdr w:val="nil"/>
          <w:lang w:val="mk-MK"/>
        </w:rPr>
      </w:pPr>
    </w:p>
    <w:p w14:paraId="4822CD2C" w14:textId="77777777" w:rsidR="00ED26F2"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 xml:space="preserve">Третото ниво претставува алгоритамско посредување. Во оваа фаза, процесите на гласање и акционерско одлучување сè повеќе се потпираат на алгоритамски модели, ESG системи за оценување, автоматизирани препораки за гласање и дигитални системи за извршување на одлуки. Алгоритмите функционираат како дополнителен слој на посредување помеѓу акционерот и корпоративната одлука. </w:t>
      </w:r>
    </w:p>
    <w:p w14:paraId="19195012" w14:textId="77777777" w:rsidR="00ED26F2" w:rsidRDefault="00ED26F2" w:rsidP="007D250D">
      <w:pPr>
        <w:pStyle w:val="BodyText"/>
        <w:jc w:val="both"/>
        <w:rPr>
          <w:rFonts w:eastAsia="Arial Unicode MS"/>
          <w:color w:val="000000"/>
          <w:bdr w:val="nil"/>
          <w:lang w:val="mk-MK"/>
        </w:rPr>
      </w:pPr>
    </w:p>
    <w:p w14:paraId="2646A16B" w14:textId="77777777" w:rsidR="00087EDE"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 xml:space="preserve">Четвртото ниво се однесува на конкретните гласачки исходи, односно усвојување или одбивање на предлози поврзани со управувањето, надзорот, стратегијата или корпоративната политика. </w:t>
      </w:r>
    </w:p>
    <w:p w14:paraId="0A1FD8DE" w14:textId="77777777" w:rsidR="00087EDE" w:rsidRDefault="00087EDE" w:rsidP="007D250D">
      <w:pPr>
        <w:pStyle w:val="BodyText"/>
        <w:jc w:val="both"/>
        <w:rPr>
          <w:rFonts w:eastAsia="Arial Unicode MS"/>
          <w:color w:val="000000"/>
          <w:bdr w:val="nil"/>
          <w:lang w:val="mk-MK"/>
        </w:rPr>
      </w:pPr>
    </w:p>
    <w:p w14:paraId="6E3DA891" w14:textId="77777777" w:rsidR="00087EDE"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 xml:space="preserve">Петтото ниво ги анализира ефектите врз корпоративното управување, особено во однос на составот на одборите, распределбата на корпоративната моќ, структурите на отчетност и стратегиското насочување на компанијата. </w:t>
      </w:r>
    </w:p>
    <w:p w14:paraId="06DC7CD1" w14:textId="77777777" w:rsidR="00087EDE" w:rsidRDefault="00087EDE" w:rsidP="007D250D">
      <w:pPr>
        <w:pStyle w:val="BodyText"/>
        <w:jc w:val="both"/>
        <w:rPr>
          <w:rFonts w:eastAsia="Arial Unicode MS"/>
          <w:color w:val="000000"/>
          <w:bdr w:val="nil"/>
          <w:lang w:val="mk-MK"/>
        </w:rPr>
      </w:pPr>
    </w:p>
    <w:p w14:paraId="4ADF7AF4" w14:textId="4E78AEF3" w:rsidR="007D250D" w:rsidRDefault="00993689" w:rsidP="007D250D">
      <w:pPr>
        <w:pStyle w:val="BodyText"/>
        <w:jc w:val="both"/>
        <w:rPr>
          <w:rFonts w:eastAsia="Arial Unicode MS"/>
          <w:color w:val="000000"/>
          <w:bdr w:val="nil"/>
          <w:lang w:val="mk-MK"/>
        </w:rPr>
      </w:pPr>
      <w:r w:rsidRPr="00993689">
        <w:rPr>
          <w:rFonts w:eastAsia="Arial Unicode MS"/>
          <w:color w:val="000000"/>
          <w:bdr w:val="nil"/>
          <w:lang w:val="mk-MK"/>
        </w:rPr>
        <w:t>Методолошката цел на прилогот е да покаже дека алгоритамските системи не се само технички алатки за обработка на податоци, туку фактори што посредно влијаат врз корпоративната демократија, процесите на отчетност и практичното остварување на акционерските права.</w:t>
      </w:r>
    </w:p>
    <w:p w14:paraId="037D4723" w14:textId="77777777" w:rsidR="00FB30B7" w:rsidRDefault="00FB30B7" w:rsidP="007D250D">
      <w:pPr>
        <w:pStyle w:val="BodyText"/>
        <w:jc w:val="both"/>
        <w:rPr>
          <w:rFonts w:eastAsia="Arial Unicode MS"/>
          <w:color w:val="000000"/>
          <w:bdr w:val="nil"/>
          <w:lang w:val="mk-MK"/>
        </w:rPr>
      </w:pPr>
    </w:p>
    <w:p w14:paraId="244FF41B" w14:textId="77777777" w:rsidR="00FB30B7" w:rsidRDefault="00FB30B7" w:rsidP="00FB30B7">
      <w:pPr>
        <w:pStyle w:val="BodyText"/>
        <w:jc w:val="both"/>
        <w:rPr>
          <w:rFonts w:eastAsia="Arial Unicode MS"/>
          <w:color w:val="000000"/>
          <w:bdr w:val="nil"/>
          <w:lang w:val="mk-MK"/>
        </w:rPr>
      </w:pPr>
      <w:r w:rsidRPr="004E2316">
        <w:rPr>
          <w:rFonts w:eastAsia="Arial Unicode MS"/>
          <w:b/>
          <w:bCs/>
          <w:color w:val="000000"/>
          <w:bdr w:val="nil"/>
          <w:lang w:val="mk-MK"/>
        </w:rPr>
        <w:t>Напомена</w:t>
      </w:r>
      <w:r w:rsidRPr="004E2316">
        <w:rPr>
          <w:rFonts w:eastAsia="Arial Unicode MS"/>
          <w:color w:val="000000"/>
          <w:bdr w:val="nil"/>
          <w:lang w:val="mk-MK"/>
        </w:rPr>
        <w:t xml:space="preserve"> </w:t>
      </w:r>
    </w:p>
    <w:p w14:paraId="1E4743CA" w14:textId="77777777" w:rsidR="00C564EF" w:rsidRDefault="00C564EF" w:rsidP="00FB30B7">
      <w:pPr>
        <w:pStyle w:val="BodyText"/>
        <w:jc w:val="both"/>
        <w:rPr>
          <w:rFonts w:eastAsia="Arial Unicode MS"/>
          <w:color w:val="000000"/>
          <w:bdr w:val="nil"/>
          <w:lang w:val="mk-MK"/>
        </w:rPr>
      </w:pPr>
      <w:r w:rsidRPr="00C564EF">
        <w:rPr>
          <w:rFonts w:eastAsia="Arial Unicode MS"/>
          <w:color w:val="000000"/>
          <w:bdr w:val="nil"/>
          <w:lang w:val="mk-MK"/>
        </w:rPr>
        <w:t xml:space="preserve">Прилогот има аналитичко и илустративно значење и служи за визуелизација на процесот преку кој акционерските права постепено се трансформираат од директно индивидуално учество во комплексен систем на институционално и алгоритамско посредување. </w:t>
      </w:r>
    </w:p>
    <w:p w14:paraId="39D39ECB" w14:textId="77777777" w:rsidR="00C564EF" w:rsidRDefault="00C564EF" w:rsidP="00FB30B7">
      <w:pPr>
        <w:pStyle w:val="BodyText"/>
        <w:jc w:val="both"/>
        <w:rPr>
          <w:rFonts w:eastAsia="Arial Unicode MS"/>
          <w:color w:val="000000"/>
          <w:bdr w:val="nil"/>
          <w:lang w:val="mk-MK"/>
        </w:rPr>
      </w:pPr>
    </w:p>
    <w:p w14:paraId="03CEB6B6" w14:textId="77777777" w:rsidR="009009EF" w:rsidRDefault="00C564EF" w:rsidP="00FB30B7">
      <w:pPr>
        <w:pStyle w:val="BodyText"/>
        <w:jc w:val="both"/>
        <w:rPr>
          <w:rFonts w:eastAsia="Arial Unicode MS"/>
          <w:color w:val="000000"/>
          <w:bdr w:val="nil"/>
          <w:lang w:val="mk-MK"/>
        </w:rPr>
      </w:pPr>
      <w:r w:rsidRPr="00C564EF">
        <w:rPr>
          <w:rFonts w:eastAsia="Arial Unicode MS"/>
          <w:color w:val="000000"/>
          <w:bdr w:val="nil"/>
          <w:lang w:val="mk-MK"/>
        </w:rPr>
        <w:t xml:space="preserve">Моделот не сугерира дека алгоритмите формално ги заменуваат акционерите како носители на правата. Наместо тоа, прилогот покажува дека современото корпоративно управување создава средина во која алгоритамските системи имаат сè поголемо влијание врз начинот на кој се обработуваат информации, се формулираат препораки за гласање и се структурираат корпоративните одлуки. </w:t>
      </w:r>
    </w:p>
    <w:p w14:paraId="4C7AA62E" w14:textId="77777777" w:rsidR="009009EF" w:rsidRDefault="009009EF" w:rsidP="00FB30B7">
      <w:pPr>
        <w:pStyle w:val="BodyText"/>
        <w:jc w:val="both"/>
        <w:rPr>
          <w:rFonts w:eastAsia="Arial Unicode MS"/>
          <w:color w:val="000000"/>
          <w:bdr w:val="nil"/>
          <w:lang w:val="mk-MK"/>
        </w:rPr>
      </w:pPr>
    </w:p>
    <w:p w14:paraId="00EBB2CC" w14:textId="2C441F89" w:rsidR="00FB30B7" w:rsidRDefault="00C564EF" w:rsidP="00FB30B7">
      <w:pPr>
        <w:pStyle w:val="BodyText"/>
        <w:jc w:val="both"/>
        <w:rPr>
          <w:rFonts w:eastAsia="Arial Unicode MS"/>
          <w:color w:val="000000"/>
          <w:bdr w:val="nil"/>
          <w:lang w:val="mk-MK"/>
        </w:rPr>
      </w:pPr>
      <w:r w:rsidRPr="00C564EF">
        <w:rPr>
          <w:rFonts w:eastAsia="Arial Unicode MS"/>
          <w:color w:val="000000"/>
          <w:bdr w:val="nil"/>
          <w:lang w:val="mk-MK"/>
        </w:rPr>
        <w:t>Во рамките на ова истражување, прилогот е релевантен затоа што ја илустрира промената на односот помеѓу формалните корпоративни права и фактичките центри на влијание во услови на дигитализирано и финансиски посредувано корпоративно управување. Особено значајна е улогата на ESG моделите, автоматизираните системи за проценка и советодавните алгоритми, кои постепено стануваат структурен дел од современите механизми на корпоративна контрола.</w:t>
      </w:r>
    </w:p>
    <w:p w14:paraId="6D36E445" w14:textId="77777777" w:rsidR="00FB30B7" w:rsidRDefault="00FB30B7" w:rsidP="00FB30B7">
      <w:pPr>
        <w:pStyle w:val="BodyText"/>
        <w:jc w:val="both"/>
        <w:rPr>
          <w:rFonts w:eastAsia="Arial Unicode MS"/>
          <w:color w:val="000000"/>
          <w:bdr w:val="nil"/>
          <w:lang w:val="mk-MK"/>
        </w:rPr>
      </w:pPr>
    </w:p>
    <w:p w14:paraId="6ABFA8FE" w14:textId="77777777" w:rsidR="00FB30B7" w:rsidRDefault="00FB30B7" w:rsidP="00FB30B7">
      <w:pPr>
        <w:pStyle w:val="BodyText"/>
        <w:jc w:val="both"/>
        <w:rPr>
          <w:rFonts w:eastAsia="Arial Unicode MS"/>
          <w:color w:val="000000"/>
          <w:bdr w:val="nil"/>
          <w:lang w:val="mk-MK"/>
        </w:rPr>
      </w:pPr>
      <w:r w:rsidRPr="004B1793">
        <w:rPr>
          <w:rFonts w:eastAsia="Arial Unicode MS"/>
          <w:b/>
          <w:bCs/>
          <w:color w:val="000000"/>
          <w:bdr w:val="nil"/>
          <w:lang w:val="mk-MK"/>
        </w:rPr>
        <w:t>Синтетички заклучок</w:t>
      </w:r>
      <w:r w:rsidRPr="004B1793">
        <w:rPr>
          <w:rFonts w:eastAsia="Arial Unicode MS"/>
          <w:color w:val="000000"/>
          <w:bdr w:val="nil"/>
          <w:lang w:val="mk-MK"/>
        </w:rPr>
        <w:t xml:space="preserve"> </w:t>
      </w:r>
    </w:p>
    <w:p w14:paraId="09BB0BBB" w14:textId="77777777" w:rsidR="00AE4A6A" w:rsidRDefault="00FB30B7" w:rsidP="00FB30B7">
      <w:pPr>
        <w:pStyle w:val="BodyText"/>
        <w:jc w:val="both"/>
        <w:rPr>
          <w:rFonts w:eastAsia="Arial Unicode MS"/>
          <w:color w:val="000000"/>
          <w:bdr w:val="nil"/>
          <w:lang w:val="mk-MK"/>
        </w:rPr>
      </w:pPr>
      <w:r w:rsidRPr="00353B78">
        <w:rPr>
          <w:rFonts w:eastAsia="Arial Unicode MS"/>
          <w:color w:val="000000"/>
          <w:bdr w:val="nil"/>
          <w:lang w:val="mk-MK"/>
        </w:rPr>
        <w:t>Студијата на случај</w:t>
      </w:r>
      <w:r w:rsidR="00AE4A6A">
        <w:rPr>
          <w:rFonts w:eastAsia="Arial Unicode MS"/>
          <w:color w:val="000000"/>
          <w:bdr w:val="nil"/>
          <w:lang w:val="mk-MK"/>
        </w:rPr>
        <w:t xml:space="preserve"> </w:t>
      </w:r>
      <w:r w:rsidR="00AE4A6A" w:rsidRPr="00AE4A6A">
        <w:rPr>
          <w:rFonts w:eastAsia="Arial Unicode MS"/>
          <w:color w:val="000000"/>
          <w:bdr w:val="nil"/>
          <w:lang w:val="mk-MK"/>
        </w:rPr>
        <w:t xml:space="preserve">покажува дека современото корпоративно управување се движи кон модел во кој акционерските права формално остануваат непроменети, но нивното практично остварување сè повеќе зависи од институционални и алгоритамски </w:t>
      </w:r>
      <w:r w:rsidR="00AE4A6A" w:rsidRPr="00AE4A6A">
        <w:rPr>
          <w:rFonts w:eastAsia="Arial Unicode MS"/>
          <w:color w:val="000000"/>
          <w:bdr w:val="nil"/>
          <w:lang w:val="mk-MK"/>
        </w:rPr>
        <w:lastRenderedPageBreak/>
        <w:t xml:space="preserve">посредници. Ова создава нова структура на корпоративна моќ во која влијанието врз корпоративните одлуки не произлегува исклучиво од формалната сопственост, туку и од контролата врз податоците, аналитичките модели и системите за обработка на информации. </w:t>
      </w:r>
    </w:p>
    <w:p w14:paraId="72DCF6E2" w14:textId="77777777" w:rsidR="00AE4A6A" w:rsidRDefault="00AE4A6A" w:rsidP="00FB30B7">
      <w:pPr>
        <w:pStyle w:val="BodyText"/>
        <w:jc w:val="both"/>
        <w:rPr>
          <w:rFonts w:eastAsia="Arial Unicode MS"/>
          <w:color w:val="000000"/>
          <w:bdr w:val="nil"/>
          <w:lang w:val="mk-MK"/>
        </w:rPr>
      </w:pPr>
    </w:p>
    <w:p w14:paraId="7161F32D" w14:textId="77777777" w:rsidR="00C81D10" w:rsidRDefault="00AE4A6A" w:rsidP="00FB30B7">
      <w:pPr>
        <w:pStyle w:val="BodyText"/>
        <w:jc w:val="both"/>
        <w:rPr>
          <w:rFonts w:eastAsia="Arial Unicode MS"/>
          <w:color w:val="000000"/>
          <w:bdr w:val="nil"/>
          <w:lang w:val="mk-MK"/>
        </w:rPr>
      </w:pPr>
      <w:r w:rsidRPr="00AE4A6A">
        <w:rPr>
          <w:rFonts w:eastAsia="Arial Unicode MS"/>
          <w:color w:val="000000"/>
          <w:bdr w:val="nil"/>
          <w:lang w:val="mk-MK"/>
        </w:rPr>
        <w:t xml:space="preserve">Алгоритамското посредување има потенцијал да ја зголеми ефикасноста, брзината и координацијата на акционерското одлучување, особено кај големите институционални инвеститори. Истовремено, тоа отвора прашања поврзани со транспарентноста, отчетноста и можноста за концентрација на влијание кај ограничен број технолошки и финансиски актери. </w:t>
      </w:r>
    </w:p>
    <w:p w14:paraId="0146F5C4" w14:textId="77777777" w:rsidR="00C81D10" w:rsidRDefault="00C81D10" w:rsidP="00FB30B7">
      <w:pPr>
        <w:pStyle w:val="BodyText"/>
        <w:jc w:val="both"/>
        <w:rPr>
          <w:rFonts w:eastAsia="Arial Unicode MS"/>
          <w:color w:val="000000"/>
          <w:bdr w:val="nil"/>
          <w:lang w:val="mk-MK"/>
        </w:rPr>
      </w:pPr>
    </w:p>
    <w:p w14:paraId="6522BE4E" w14:textId="0FC2E1F4" w:rsidR="00FB30B7" w:rsidRDefault="00AE4A6A" w:rsidP="00FB30B7">
      <w:pPr>
        <w:pStyle w:val="BodyText"/>
        <w:jc w:val="both"/>
        <w:rPr>
          <w:rFonts w:eastAsia="Arial Unicode MS"/>
          <w:color w:val="000000"/>
          <w:bdr w:val="nil"/>
          <w:lang w:val="mk-MK"/>
        </w:rPr>
      </w:pPr>
      <w:r w:rsidRPr="00AE4A6A">
        <w:rPr>
          <w:rFonts w:eastAsia="Arial Unicode MS"/>
          <w:color w:val="000000"/>
          <w:bdr w:val="nil"/>
          <w:lang w:val="mk-MK"/>
        </w:rPr>
        <w:t>Од перспектива на корпоративното управување, прилогот укажува дека современата корпоративна демократија постепено се трансформира во хибриден модел во кој формалните права продолжуваат да постојат, но нивната практична реализација сè повеќе се структурира преку алгоритамски процеси на анализа, препорака и автоматизирано извршување.</w:t>
      </w:r>
    </w:p>
    <w:p w14:paraId="6717675B" w14:textId="77777777" w:rsidR="00C81D10" w:rsidRDefault="00C81D10" w:rsidP="00FB30B7">
      <w:pPr>
        <w:pStyle w:val="BodyText"/>
        <w:jc w:val="both"/>
        <w:rPr>
          <w:rFonts w:eastAsia="Arial Unicode MS"/>
          <w:color w:val="000000"/>
          <w:bdr w:val="nil"/>
          <w:lang w:val="mk-MK"/>
        </w:rPr>
      </w:pPr>
    </w:p>
    <w:p w14:paraId="456DDC44" w14:textId="77777777" w:rsidR="00C81D10" w:rsidRDefault="00C81D10" w:rsidP="00C81D10">
      <w:pPr>
        <w:pStyle w:val="BodyText"/>
        <w:jc w:val="both"/>
        <w:rPr>
          <w:rFonts w:eastAsia="Arial Unicode MS"/>
          <w:color w:val="000000"/>
          <w:bdr w:val="nil"/>
          <w:lang w:val="mk-MK"/>
        </w:rPr>
      </w:pPr>
    </w:p>
    <w:p w14:paraId="6613E37D" w14:textId="77777777" w:rsidR="0033240E" w:rsidRDefault="0033240E" w:rsidP="00C81D10">
      <w:pPr>
        <w:pStyle w:val="BodyText"/>
        <w:jc w:val="both"/>
        <w:rPr>
          <w:rFonts w:eastAsia="Arial Unicode MS"/>
          <w:color w:val="000000"/>
          <w:bdr w:val="nil"/>
          <w:lang w:val="mk-MK"/>
        </w:rPr>
      </w:pPr>
    </w:p>
    <w:p w14:paraId="5B797007" w14:textId="77777777" w:rsidR="0033240E" w:rsidRDefault="0033240E" w:rsidP="00C81D10">
      <w:pPr>
        <w:pStyle w:val="BodyText"/>
        <w:jc w:val="both"/>
        <w:rPr>
          <w:rFonts w:eastAsia="Arial Unicode MS"/>
          <w:color w:val="000000"/>
          <w:bdr w:val="nil"/>
          <w:lang w:val="mk-MK"/>
        </w:rPr>
      </w:pPr>
    </w:p>
    <w:p w14:paraId="09A29BC9" w14:textId="77777777" w:rsidR="0033240E" w:rsidRDefault="0033240E" w:rsidP="00C81D10">
      <w:pPr>
        <w:pStyle w:val="BodyText"/>
        <w:jc w:val="both"/>
        <w:rPr>
          <w:rFonts w:eastAsia="Arial Unicode MS"/>
          <w:color w:val="000000"/>
          <w:bdr w:val="nil"/>
          <w:lang w:val="mk-MK"/>
        </w:rPr>
      </w:pPr>
    </w:p>
    <w:p w14:paraId="177630FE" w14:textId="77777777" w:rsidR="0033240E" w:rsidRDefault="0033240E" w:rsidP="00C81D10">
      <w:pPr>
        <w:pStyle w:val="BodyText"/>
        <w:jc w:val="both"/>
        <w:rPr>
          <w:rFonts w:eastAsia="Arial Unicode MS"/>
          <w:color w:val="000000"/>
          <w:bdr w:val="nil"/>
          <w:lang w:val="mk-MK"/>
        </w:rPr>
      </w:pPr>
    </w:p>
    <w:p w14:paraId="03AB3436" w14:textId="77777777" w:rsidR="0033240E" w:rsidRDefault="0033240E" w:rsidP="00C81D10">
      <w:pPr>
        <w:pStyle w:val="BodyText"/>
        <w:jc w:val="both"/>
        <w:rPr>
          <w:rFonts w:eastAsia="Arial Unicode MS"/>
          <w:color w:val="000000"/>
          <w:bdr w:val="nil"/>
          <w:lang w:val="mk-MK"/>
        </w:rPr>
      </w:pPr>
    </w:p>
    <w:p w14:paraId="17B2FE5F" w14:textId="77777777" w:rsidR="0033240E" w:rsidRDefault="0033240E" w:rsidP="00C81D10">
      <w:pPr>
        <w:pStyle w:val="BodyText"/>
        <w:jc w:val="both"/>
        <w:rPr>
          <w:rFonts w:eastAsia="Arial Unicode MS"/>
          <w:color w:val="000000"/>
          <w:bdr w:val="nil"/>
          <w:lang w:val="mk-MK"/>
        </w:rPr>
      </w:pPr>
    </w:p>
    <w:p w14:paraId="38B5835D" w14:textId="77777777" w:rsidR="0033240E" w:rsidRDefault="0033240E" w:rsidP="00C81D10">
      <w:pPr>
        <w:pStyle w:val="BodyText"/>
        <w:jc w:val="both"/>
        <w:rPr>
          <w:rFonts w:eastAsia="Arial Unicode MS"/>
          <w:color w:val="000000"/>
          <w:bdr w:val="nil"/>
          <w:lang w:val="mk-MK"/>
        </w:rPr>
      </w:pPr>
    </w:p>
    <w:p w14:paraId="332D0915" w14:textId="77777777" w:rsidR="0033240E" w:rsidRDefault="0033240E" w:rsidP="00C81D10">
      <w:pPr>
        <w:pStyle w:val="BodyText"/>
        <w:jc w:val="both"/>
        <w:rPr>
          <w:rFonts w:eastAsia="Arial Unicode MS"/>
          <w:color w:val="000000"/>
          <w:bdr w:val="nil"/>
          <w:lang w:val="mk-MK"/>
        </w:rPr>
      </w:pPr>
    </w:p>
    <w:p w14:paraId="733FB2FB" w14:textId="77777777" w:rsidR="0033240E" w:rsidRDefault="0033240E" w:rsidP="00C81D10">
      <w:pPr>
        <w:pStyle w:val="BodyText"/>
        <w:jc w:val="both"/>
        <w:rPr>
          <w:rFonts w:eastAsia="Arial Unicode MS"/>
          <w:color w:val="000000"/>
          <w:bdr w:val="nil"/>
          <w:lang w:val="mk-MK"/>
        </w:rPr>
      </w:pPr>
    </w:p>
    <w:p w14:paraId="4F87662A" w14:textId="77777777" w:rsidR="0033240E" w:rsidRDefault="0033240E" w:rsidP="00C81D10">
      <w:pPr>
        <w:pStyle w:val="BodyText"/>
        <w:jc w:val="both"/>
        <w:rPr>
          <w:rFonts w:eastAsia="Arial Unicode MS"/>
          <w:color w:val="000000"/>
          <w:bdr w:val="nil"/>
          <w:lang w:val="mk-MK"/>
        </w:rPr>
      </w:pPr>
    </w:p>
    <w:p w14:paraId="4B5689C9" w14:textId="77777777" w:rsidR="0033240E" w:rsidRDefault="0033240E" w:rsidP="00C81D10">
      <w:pPr>
        <w:pStyle w:val="BodyText"/>
        <w:jc w:val="both"/>
        <w:rPr>
          <w:rFonts w:eastAsia="Arial Unicode MS"/>
          <w:color w:val="000000"/>
          <w:bdr w:val="nil"/>
          <w:lang w:val="mk-MK"/>
        </w:rPr>
      </w:pPr>
    </w:p>
    <w:p w14:paraId="1DE998FD" w14:textId="77777777" w:rsidR="0033240E" w:rsidRDefault="0033240E" w:rsidP="00C81D10">
      <w:pPr>
        <w:pStyle w:val="BodyText"/>
        <w:jc w:val="both"/>
        <w:rPr>
          <w:rFonts w:eastAsia="Arial Unicode MS"/>
          <w:color w:val="000000"/>
          <w:bdr w:val="nil"/>
          <w:lang w:val="mk-MK"/>
        </w:rPr>
      </w:pPr>
    </w:p>
    <w:p w14:paraId="5D8ED90B" w14:textId="77777777" w:rsidR="0033240E" w:rsidRDefault="0033240E" w:rsidP="00C81D10">
      <w:pPr>
        <w:pStyle w:val="BodyText"/>
        <w:jc w:val="both"/>
        <w:rPr>
          <w:rFonts w:eastAsia="Arial Unicode MS"/>
          <w:color w:val="000000"/>
          <w:bdr w:val="nil"/>
          <w:lang w:val="mk-MK"/>
        </w:rPr>
      </w:pPr>
    </w:p>
    <w:p w14:paraId="6B490926" w14:textId="77777777" w:rsidR="0033240E" w:rsidRDefault="0033240E" w:rsidP="00C81D10">
      <w:pPr>
        <w:pStyle w:val="BodyText"/>
        <w:jc w:val="both"/>
        <w:rPr>
          <w:rFonts w:eastAsia="Arial Unicode MS"/>
          <w:color w:val="000000"/>
          <w:bdr w:val="nil"/>
          <w:lang w:val="mk-MK"/>
        </w:rPr>
      </w:pPr>
    </w:p>
    <w:p w14:paraId="1566634E" w14:textId="77777777" w:rsidR="0033240E" w:rsidRDefault="0033240E" w:rsidP="00C81D10">
      <w:pPr>
        <w:pStyle w:val="BodyText"/>
        <w:jc w:val="both"/>
        <w:rPr>
          <w:rFonts w:eastAsia="Arial Unicode MS"/>
          <w:color w:val="000000"/>
          <w:bdr w:val="nil"/>
          <w:lang w:val="mk-MK"/>
        </w:rPr>
      </w:pPr>
    </w:p>
    <w:p w14:paraId="552318FD" w14:textId="77777777" w:rsidR="0033240E" w:rsidRDefault="0033240E" w:rsidP="00C81D10">
      <w:pPr>
        <w:pStyle w:val="BodyText"/>
        <w:jc w:val="both"/>
        <w:rPr>
          <w:rFonts w:eastAsia="Arial Unicode MS"/>
          <w:color w:val="000000"/>
          <w:bdr w:val="nil"/>
          <w:lang w:val="mk-MK"/>
        </w:rPr>
      </w:pPr>
    </w:p>
    <w:p w14:paraId="31C3648A" w14:textId="77777777" w:rsidR="0033240E" w:rsidRDefault="0033240E" w:rsidP="00C81D10">
      <w:pPr>
        <w:pStyle w:val="BodyText"/>
        <w:jc w:val="both"/>
        <w:rPr>
          <w:rFonts w:eastAsia="Arial Unicode MS"/>
          <w:color w:val="000000"/>
          <w:bdr w:val="nil"/>
          <w:lang w:val="mk-MK"/>
        </w:rPr>
      </w:pPr>
    </w:p>
    <w:p w14:paraId="5EC1BB79" w14:textId="77777777" w:rsidR="0033240E" w:rsidRDefault="0033240E" w:rsidP="00C81D10">
      <w:pPr>
        <w:pStyle w:val="BodyText"/>
        <w:jc w:val="both"/>
        <w:rPr>
          <w:rFonts w:eastAsia="Arial Unicode MS"/>
          <w:color w:val="000000"/>
          <w:bdr w:val="nil"/>
          <w:lang w:val="mk-MK"/>
        </w:rPr>
      </w:pPr>
    </w:p>
    <w:p w14:paraId="0431FF3F" w14:textId="77777777" w:rsidR="0033240E" w:rsidRDefault="0033240E" w:rsidP="00C81D10">
      <w:pPr>
        <w:pStyle w:val="BodyText"/>
        <w:jc w:val="both"/>
        <w:rPr>
          <w:rFonts w:eastAsia="Arial Unicode MS"/>
          <w:color w:val="000000"/>
          <w:bdr w:val="nil"/>
          <w:lang w:val="mk-MK"/>
        </w:rPr>
      </w:pPr>
    </w:p>
    <w:p w14:paraId="30DF8E03" w14:textId="77777777" w:rsidR="0033240E" w:rsidRDefault="0033240E" w:rsidP="00C81D10">
      <w:pPr>
        <w:pStyle w:val="BodyText"/>
        <w:jc w:val="both"/>
        <w:rPr>
          <w:rFonts w:eastAsia="Arial Unicode MS"/>
          <w:color w:val="000000"/>
          <w:bdr w:val="nil"/>
          <w:lang w:val="mk-MK"/>
        </w:rPr>
      </w:pPr>
    </w:p>
    <w:p w14:paraId="418205FC" w14:textId="77777777" w:rsidR="0033240E" w:rsidRDefault="0033240E" w:rsidP="00C81D10">
      <w:pPr>
        <w:pStyle w:val="BodyText"/>
        <w:jc w:val="both"/>
        <w:rPr>
          <w:rFonts w:eastAsia="Arial Unicode MS"/>
          <w:color w:val="000000"/>
          <w:bdr w:val="nil"/>
          <w:lang w:val="mk-MK"/>
        </w:rPr>
      </w:pPr>
    </w:p>
    <w:p w14:paraId="260CAF3A" w14:textId="77777777" w:rsidR="0033240E" w:rsidRDefault="0033240E" w:rsidP="00C81D10">
      <w:pPr>
        <w:pStyle w:val="BodyText"/>
        <w:jc w:val="both"/>
        <w:rPr>
          <w:rFonts w:eastAsia="Arial Unicode MS"/>
          <w:color w:val="000000"/>
          <w:bdr w:val="nil"/>
          <w:lang w:val="mk-MK"/>
        </w:rPr>
      </w:pPr>
    </w:p>
    <w:p w14:paraId="70571FF4" w14:textId="77777777" w:rsidR="0033240E" w:rsidRDefault="0033240E" w:rsidP="00C81D10">
      <w:pPr>
        <w:pStyle w:val="BodyText"/>
        <w:jc w:val="both"/>
        <w:rPr>
          <w:rFonts w:eastAsia="Arial Unicode MS"/>
          <w:color w:val="000000"/>
          <w:bdr w:val="nil"/>
          <w:lang w:val="mk-MK"/>
        </w:rPr>
      </w:pPr>
    </w:p>
    <w:p w14:paraId="7F854F74" w14:textId="77777777" w:rsidR="0033240E" w:rsidRDefault="0033240E" w:rsidP="00C81D10">
      <w:pPr>
        <w:pStyle w:val="BodyText"/>
        <w:jc w:val="both"/>
        <w:rPr>
          <w:rFonts w:eastAsia="Arial Unicode MS"/>
          <w:color w:val="000000"/>
          <w:bdr w:val="nil"/>
          <w:lang w:val="mk-MK"/>
        </w:rPr>
      </w:pPr>
    </w:p>
    <w:p w14:paraId="72185506" w14:textId="77777777" w:rsidR="0033240E" w:rsidRDefault="0033240E" w:rsidP="00C81D10">
      <w:pPr>
        <w:pStyle w:val="BodyText"/>
        <w:jc w:val="both"/>
        <w:rPr>
          <w:rFonts w:eastAsia="Arial Unicode MS"/>
          <w:color w:val="000000"/>
          <w:bdr w:val="nil"/>
          <w:lang w:val="mk-MK"/>
        </w:rPr>
      </w:pPr>
    </w:p>
    <w:p w14:paraId="73450DA8" w14:textId="77777777" w:rsidR="0033240E" w:rsidRDefault="0033240E" w:rsidP="00C81D10">
      <w:pPr>
        <w:pStyle w:val="BodyText"/>
        <w:jc w:val="both"/>
        <w:rPr>
          <w:rFonts w:eastAsia="Arial Unicode MS"/>
          <w:color w:val="000000"/>
          <w:bdr w:val="nil"/>
          <w:lang w:val="mk-MK"/>
        </w:rPr>
      </w:pPr>
    </w:p>
    <w:p w14:paraId="51360055" w14:textId="77777777" w:rsidR="0033240E" w:rsidRDefault="0033240E" w:rsidP="00C81D10">
      <w:pPr>
        <w:pStyle w:val="BodyText"/>
        <w:jc w:val="both"/>
        <w:rPr>
          <w:rFonts w:eastAsia="Arial Unicode MS"/>
          <w:color w:val="000000"/>
          <w:bdr w:val="nil"/>
          <w:lang w:val="mk-MK"/>
        </w:rPr>
      </w:pPr>
    </w:p>
    <w:p w14:paraId="649BDA4B" w14:textId="77777777" w:rsidR="0033240E" w:rsidRDefault="0033240E" w:rsidP="00C81D10">
      <w:pPr>
        <w:pStyle w:val="BodyText"/>
        <w:jc w:val="both"/>
        <w:rPr>
          <w:rFonts w:eastAsia="Arial Unicode MS"/>
          <w:color w:val="000000"/>
          <w:bdr w:val="nil"/>
          <w:lang w:val="mk-MK"/>
        </w:rPr>
      </w:pPr>
    </w:p>
    <w:p w14:paraId="3DE05C41" w14:textId="77777777" w:rsidR="0033240E" w:rsidRDefault="0033240E" w:rsidP="00C81D10">
      <w:pPr>
        <w:pStyle w:val="BodyText"/>
        <w:jc w:val="both"/>
        <w:rPr>
          <w:rFonts w:eastAsia="Arial Unicode MS"/>
          <w:color w:val="000000"/>
          <w:bdr w:val="nil"/>
          <w:lang w:val="mk-MK"/>
        </w:rPr>
      </w:pPr>
    </w:p>
    <w:p w14:paraId="22A7E8D5" w14:textId="77777777" w:rsidR="00C81D10" w:rsidRPr="00A20708" w:rsidRDefault="00C81D10" w:rsidP="00C81D10">
      <w:pPr>
        <w:pStyle w:val="BodyText"/>
        <w:spacing w:after="240"/>
        <w:jc w:val="both"/>
        <w:rPr>
          <w:rFonts w:eastAsia="Arial Unicode MS"/>
          <w:color w:val="000000"/>
          <w:bdr w:val="nil"/>
          <w:lang w:val="mk-MK"/>
        </w:rPr>
      </w:pPr>
    </w:p>
    <w:p w14:paraId="090DCA20" w14:textId="2AD5DEEF" w:rsidR="00C04D76" w:rsidRDefault="00C81D10" w:rsidP="00C04D76">
      <w:pPr>
        <w:pStyle w:val="Heading1"/>
        <w:spacing w:after="240"/>
        <w:jc w:val="both"/>
        <w:rPr>
          <w:lang w:val="mk-MK"/>
        </w:rPr>
      </w:pPr>
      <w:bookmarkStart w:id="152" w:name="_Toc230524005"/>
      <w:r w:rsidRPr="00F53881">
        <w:rPr>
          <w:lang w:val="mk-MK"/>
        </w:rPr>
        <w:lastRenderedPageBreak/>
        <w:t xml:space="preserve">Прилог </w:t>
      </w:r>
      <w:r>
        <w:rPr>
          <w:lang w:val="mk-MK"/>
        </w:rPr>
        <w:t>14</w:t>
      </w:r>
      <w:r>
        <w:rPr>
          <w:lang w:val="en-US"/>
        </w:rPr>
        <w:t xml:space="preserve">: </w:t>
      </w:r>
      <w:r>
        <w:rPr>
          <w:lang w:val="mk-MK"/>
        </w:rPr>
        <w:t>Студија на случај 3-</w:t>
      </w:r>
      <w:r w:rsidR="005E00F9">
        <w:rPr>
          <w:lang w:val="mk-MK"/>
        </w:rPr>
        <w:t>Доктрина</w:t>
      </w:r>
      <w:r w:rsidR="00692177">
        <w:rPr>
          <w:lang w:val="mk-MK"/>
        </w:rPr>
        <w:t xml:space="preserve">лни тензии </w:t>
      </w:r>
      <w:r w:rsidR="00571267">
        <w:rPr>
          <w:lang w:val="mk-MK"/>
        </w:rPr>
        <w:t>предизвикани од вештачката интелигенција кога се користи за</w:t>
      </w:r>
      <w:r w:rsidR="00A75056" w:rsidRPr="00A75056">
        <w:rPr>
          <w:lang w:val="mk-MK"/>
        </w:rPr>
        <w:t xml:space="preserve"> учество на акционерите</w:t>
      </w:r>
      <w:bookmarkEnd w:id="152"/>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173"/>
        <w:gridCol w:w="3440"/>
        <w:gridCol w:w="3417"/>
      </w:tblGrid>
      <w:tr w:rsidR="00C04D76" w:rsidRPr="00BA4350" w14:paraId="2BF3A0A1" w14:textId="77777777" w:rsidTr="00F96753">
        <w:trPr>
          <w:tblHeader/>
          <w:tblCellSpacing w:w="15" w:type="dxa"/>
        </w:trPr>
        <w:tc>
          <w:tcPr>
            <w:tcW w:w="0" w:type="auto"/>
            <w:vAlign w:val="center"/>
            <w:hideMark/>
          </w:tcPr>
          <w:p w14:paraId="710FDB1B" w14:textId="77777777" w:rsidR="00C04D76" w:rsidRPr="00BA4350" w:rsidRDefault="00C04D76" w:rsidP="00F96753">
            <w:pPr>
              <w:pStyle w:val="BodyText"/>
              <w:spacing w:before="240"/>
              <w:jc w:val="both"/>
              <w:rPr>
                <w:b/>
                <w:bCs/>
                <w:lang w:val="en-US"/>
              </w:rPr>
            </w:pPr>
            <w:r w:rsidRPr="00BA4350">
              <w:rPr>
                <w:b/>
                <w:bCs/>
                <w:lang w:val="en-US"/>
              </w:rPr>
              <w:t>Doctrinal Assumption</w:t>
            </w:r>
          </w:p>
        </w:tc>
        <w:tc>
          <w:tcPr>
            <w:tcW w:w="0" w:type="auto"/>
            <w:vAlign w:val="center"/>
            <w:hideMark/>
          </w:tcPr>
          <w:p w14:paraId="08557E78" w14:textId="77777777" w:rsidR="00C04D76" w:rsidRPr="00BA4350" w:rsidRDefault="00C04D76" w:rsidP="00F96753">
            <w:pPr>
              <w:pStyle w:val="BodyText"/>
              <w:spacing w:before="240"/>
              <w:jc w:val="both"/>
              <w:rPr>
                <w:b/>
                <w:bCs/>
                <w:lang w:val="en-US"/>
              </w:rPr>
            </w:pPr>
            <w:r w:rsidRPr="00BA4350">
              <w:rPr>
                <w:b/>
                <w:bCs/>
                <w:lang w:val="en-US"/>
              </w:rPr>
              <w:t>Traditional Model</w:t>
            </w:r>
          </w:p>
        </w:tc>
        <w:tc>
          <w:tcPr>
            <w:tcW w:w="0" w:type="auto"/>
            <w:vAlign w:val="center"/>
            <w:hideMark/>
          </w:tcPr>
          <w:p w14:paraId="52E1652F" w14:textId="77777777" w:rsidR="00C04D76" w:rsidRPr="00BA4350" w:rsidRDefault="00C04D76" w:rsidP="00F96753">
            <w:pPr>
              <w:pStyle w:val="BodyText"/>
              <w:spacing w:before="240"/>
              <w:jc w:val="both"/>
              <w:rPr>
                <w:b/>
                <w:bCs/>
                <w:lang w:val="en-US"/>
              </w:rPr>
            </w:pPr>
            <w:r w:rsidRPr="00BA4350">
              <w:rPr>
                <w:b/>
                <w:bCs/>
                <w:lang w:val="en-US"/>
              </w:rPr>
              <w:t>Algorithmic Governance</w:t>
            </w:r>
          </w:p>
        </w:tc>
      </w:tr>
      <w:tr w:rsidR="00C04D76" w:rsidRPr="00BA4350" w14:paraId="599B2681" w14:textId="77777777" w:rsidTr="00F96753">
        <w:trPr>
          <w:tblCellSpacing w:w="15" w:type="dxa"/>
        </w:trPr>
        <w:tc>
          <w:tcPr>
            <w:tcW w:w="0" w:type="auto"/>
            <w:vAlign w:val="center"/>
            <w:hideMark/>
          </w:tcPr>
          <w:p w14:paraId="3C661130" w14:textId="77777777" w:rsidR="00C04D76" w:rsidRPr="00BA4350" w:rsidRDefault="00C04D76" w:rsidP="00F96753">
            <w:pPr>
              <w:pStyle w:val="BodyText"/>
              <w:spacing w:before="240"/>
              <w:jc w:val="both"/>
              <w:rPr>
                <w:lang w:val="en-US"/>
              </w:rPr>
            </w:pPr>
            <w:r w:rsidRPr="00BA4350">
              <w:rPr>
                <w:lang w:val="en-US"/>
              </w:rPr>
              <w:t>Shareholder agency</w:t>
            </w:r>
          </w:p>
        </w:tc>
        <w:tc>
          <w:tcPr>
            <w:tcW w:w="0" w:type="auto"/>
            <w:vAlign w:val="center"/>
            <w:hideMark/>
          </w:tcPr>
          <w:p w14:paraId="32AE29F7" w14:textId="77777777" w:rsidR="00C04D76" w:rsidRPr="00BA4350" w:rsidRDefault="00C04D76" w:rsidP="00F96753">
            <w:pPr>
              <w:pStyle w:val="BodyText"/>
              <w:spacing w:before="240"/>
              <w:jc w:val="both"/>
              <w:rPr>
                <w:lang w:val="en-US"/>
              </w:rPr>
            </w:pPr>
            <w:r w:rsidRPr="00BA4350">
              <w:rPr>
                <w:lang w:val="en-US"/>
              </w:rPr>
              <w:t>Individual or collective human judgment</w:t>
            </w:r>
          </w:p>
        </w:tc>
        <w:tc>
          <w:tcPr>
            <w:tcW w:w="0" w:type="auto"/>
            <w:vAlign w:val="center"/>
            <w:hideMark/>
          </w:tcPr>
          <w:p w14:paraId="5E8CC62A" w14:textId="77777777" w:rsidR="00C04D76" w:rsidRPr="00BA4350" w:rsidRDefault="00C04D76" w:rsidP="00F96753">
            <w:pPr>
              <w:pStyle w:val="BodyText"/>
              <w:spacing w:before="240"/>
              <w:jc w:val="both"/>
              <w:rPr>
                <w:lang w:val="en-US"/>
              </w:rPr>
            </w:pPr>
            <w:r w:rsidRPr="00BA4350">
              <w:rPr>
                <w:lang w:val="en-US"/>
              </w:rPr>
              <w:t>Automated execution of pre-set policies</w:t>
            </w:r>
          </w:p>
        </w:tc>
      </w:tr>
      <w:tr w:rsidR="00C04D76" w:rsidRPr="00BA4350" w14:paraId="28F7D9C1" w14:textId="77777777" w:rsidTr="00F96753">
        <w:trPr>
          <w:tblCellSpacing w:w="15" w:type="dxa"/>
        </w:trPr>
        <w:tc>
          <w:tcPr>
            <w:tcW w:w="0" w:type="auto"/>
            <w:vAlign w:val="center"/>
            <w:hideMark/>
          </w:tcPr>
          <w:p w14:paraId="3020F642" w14:textId="77777777" w:rsidR="00C04D76" w:rsidRPr="00BA4350" w:rsidRDefault="00C04D76" w:rsidP="00F96753">
            <w:pPr>
              <w:pStyle w:val="BodyText"/>
              <w:spacing w:before="240"/>
              <w:jc w:val="both"/>
              <w:rPr>
                <w:lang w:val="en-US"/>
              </w:rPr>
            </w:pPr>
            <w:r w:rsidRPr="00BA4350">
              <w:rPr>
                <w:lang w:val="en-US"/>
              </w:rPr>
              <w:t>Accountability</w:t>
            </w:r>
          </w:p>
        </w:tc>
        <w:tc>
          <w:tcPr>
            <w:tcW w:w="0" w:type="auto"/>
            <w:vAlign w:val="center"/>
            <w:hideMark/>
          </w:tcPr>
          <w:p w14:paraId="7B94222E" w14:textId="77777777" w:rsidR="00C04D76" w:rsidRPr="00BA4350" w:rsidRDefault="00C04D76" w:rsidP="00F96753">
            <w:pPr>
              <w:pStyle w:val="BodyText"/>
              <w:spacing w:before="240"/>
              <w:jc w:val="both"/>
              <w:rPr>
                <w:lang w:val="en-US"/>
              </w:rPr>
            </w:pPr>
            <w:r w:rsidRPr="00BA4350">
              <w:rPr>
                <w:lang w:val="en-US"/>
              </w:rPr>
              <w:t>Identifiable decision maker</w:t>
            </w:r>
          </w:p>
        </w:tc>
        <w:tc>
          <w:tcPr>
            <w:tcW w:w="0" w:type="auto"/>
            <w:vAlign w:val="center"/>
            <w:hideMark/>
          </w:tcPr>
          <w:p w14:paraId="7CF0479A" w14:textId="77777777" w:rsidR="00C04D76" w:rsidRPr="00BA4350" w:rsidRDefault="00C04D76" w:rsidP="00F96753">
            <w:pPr>
              <w:pStyle w:val="BodyText"/>
              <w:spacing w:before="240"/>
              <w:jc w:val="both"/>
              <w:rPr>
                <w:lang w:val="en-US"/>
              </w:rPr>
            </w:pPr>
            <w:r w:rsidRPr="00BA4350">
              <w:rPr>
                <w:lang w:val="en-US"/>
              </w:rPr>
              <w:t>Diffuse and opaque responsibility</w:t>
            </w:r>
          </w:p>
        </w:tc>
      </w:tr>
      <w:tr w:rsidR="00C04D76" w:rsidRPr="00BA4350" w14:paraId="7B49845A" w14:textId="77777777" w:rsidTr="00F96753">
        <w:trPr>
          <w:tblCellSpacing w:w="15" w:type="dxa"/>
        </w:trPr>
        <w:tc>
          <w:tcPr>
            <w:tcW w:w="0" w:type="auto"/>
            <w:vAlign w:val="center"/>
            <w:hideMark/>
          </w:tcPr>
          <w:p w14:paraId="47698FDD" w14:textId="77777777" w:rsidR="00C04D76" w:rsidRPr="00BA4350" w:rsidRDefault="00C04D76" w:rsidP="00F96753">
            <w:pPr>
              <w:pStyle w:val="BodyText"/>
              <w:spacing w:before="240"/>
              <w:jc w:val="both"/>
              <w:rPr>
                <w:lang w:val="en-US"/>
              </w:rPr>
            </w:pPr>
            <w:r w:rsidRPr="00BA4350">
              <w:rPr>
                <w:lang w:val="en-US"/>
              </w:rPr>
              <w:t>Deliberation</w:t>
            </w:r>
          </w:p>
        </w:tc>
        <w:tc>
          <w:tcPr>
            <w:tcW w:w="0" w:type="auto"/>
            <w:vAlign w:val="center"/>
            <w:hideMark/>
          </w:tcPr>
          <w:p w14:paraId="37C0E774" w14:textId="77777777" w:rsidR="00C04D76" w:rsidRPr="00BA4350" w:rsidRDefault="00C04D76" w:rsidP="00F96753">
            <w:pPr>
              <w:pStyle w:val="BodyText"/>
              <w:spacing w:before="240"/>
              <w:jc w:val="both"/>
              <w:rPr>
                <w:lang w:val="en-US"/>
              </w:rPr>
            </w:pPr>
            <w:r w:rsidRPr="00BA4350">
              <w:rPr>
                <w:lang w:val="en-US"/>
              </w:rPr>
              <w:t>Central to legitimacy</w:t>
            </w:r>
          </w:p>
        </w:tc>
        <w:tc>
          <w:tcPr>
            <w:tcW w:w="0" w:type="auto"/>
            <w:vAlign w:val="center"/>
            <w:hideMark/>
          </w:tcPr>
          <w:p w14:paraId="7E7C22A1" w14:textId="77777777" w:rsidR="00C04D76" w:rsidRPr="00BA4350" w:rsidRDefault="00C04D76" w:rsidP="00F96753">
            <w:pPr>
              <w:pStyle w:val="BodyText"/>
              <w:spacing w:before="240"/>
              <w:jc w:val="both"/>
              <w:rPr>
                <w:lang w:val="en-US"/>
              </w:rPr>
            </w:pPr>
            <w:r w:rsidRPr="00BA4350">
              <w:rPr>
                <w:lang w:val="en-US"/>
              </w:rPr>
              <w:t>Often absent or minimal</w:t>
            </w:r>
          </w:p>
        </w:tc>
      </w:tr>
      <w:tr w:rsidR="00C04D76" w:rsidRPr="00BA4350" w14:paraId="63A1A0D7" w14:textId="77777777" w:rsidTr="00F96753">
        <w:trPr>
          <w:tblCellSpacing w:w="15" w:type="dxa"/>
        </w:trPr>
        <w:tc>
          <w:tcPr>
            <w:tcW w:w="0" w:type="auto"/>
            <w:vAlign w:val="center"/>
            <w:hideMark/>
          </w:tcPr>
          <w:p w14:paraId="4E67794A" w14:textId="77777777" w:rsidR="00C04D76" w:rsidRPr="00BA4350" w:rsidRDefault="00C04D76" w:rsidP="00F96753">
            <w:pPr>
              <w:pStyle w:val="BodyText"/>
              <w:spacing w:before="240"/>
              <w:jc w:val="both"/>
              <w:rPr>
                <w:lang w:val="en-US"/>
              </w:rPr>
            </w:pPr>
            <w:r w:rsidRPr="00BA4350">
              <w:rPr>
                <w:lang w:val="en-US"/>
              </w:rPr>
              <w:t>Transparency</w:t>
            </w:r>
          </w:p>
        </w:tc>
        <w:tc>
          <w:tcPr>
            <w:tcW w:w="0" w:type="auto"/>
            <w:vAlign w:val="center"/>
            <w:hideMark/>
          </w:tcPr>
          <w:p w14:paraId="72A4EAD0" w14:textId="77777777" w:rsidR="00C04D76" w:rsidRPr="00BA4350" w:rsidRDefault="00C04D76" w:rsidP="00F96753">
            <w:pPr>
              <w:pStyle w:val="BodyText"/>
              <w:spacing w:before="240"/>
              <w:jc w:val="both"/>
              <w:rPr>
                <w:lang w:val="en-US"/>
              </w:rPr>
            </w:pPr>
            <w:r w:rsidRPr="00BA4350">
              <w:rPr>
                <w:lang w:val="en-US"/>
              </w:rPr>
              <w:t>Decisions explainable</w:t>
            </w:r>
          </w:p>
        </w:tc>
        <w:tc>
          <w:tcPr>
            <w:tcW w:w="0" w:type="auto"/>
            <w:vAlign w:val="center"/>
            <w:hideMark/>
          </w:tcPr>
          <w:p w14:paraId="3BD13316" w14:textId="77777777" w:rsidR="00C04D76" w:rsidRPr="00BA4350" w:rsidRDefault="00C04D76" w:rsidP="00F96753">
            <w:pPr>
              <w:pStyle w:val="BodyText"/>
              <w:spacing w:before="240"/>
              <w:jc w:val="both"/>
              <w:rPr>
                <w:lang w:val="en-US"/>
              </w:rPr>
            </w:pPr>
            <w:r w:rsidRPr="00BA4350">
              <w:rPr>
                <w:lang w:val="en-US"/>
              </w:rPr>
              <w:t>Outputs often non-explainable</w:t>
            </w:r>
          </w:p>
        </w:tc>
      </w:tr>
      <w:tr w:rsidR="00C04D76" w:rsidRPr="00BA4350" w14:paraId="5C75808D" w14:textId="77777777" w:rsidTr="00F96753">
        <w:trPr>
          <w:tblCellSpacing w:w="15" w:type="dxa"/>
        </w:trPr>
        <w:tc>
          <w:tcPr>
            <w:tcW w:w="0" w:type="auto"/>
            <w:vAlign w:val="center"/>
            <w:hideMark/>
          </w:tcPr>
          <w:p w14:paraId="4AA44DBE" w14:textId="77777777" w:rsidR="00C04D76" w:rsidRPr="00BA4350" w:rsidRDefault="00C04D76" w:rsidP="00F96753">
            <w:pPr>
              <w:pStyle w:val="BodyText"/>
              <w:spacing w:before="240"/>
              <w:jc w:val="both"/>
              <w:rPr>
                <w:lang w:val="en-US"/>
              </w:rPr>
            </w:pPr>
            <w:r w:rsidRPr="00BA4350">
              <w:rPr>
                <w:lang w:val="en-US"/>
              </w:rPr>
              <w:t>Legal oversight</w:t>
            </w:r>
          </w:p>
        </w:tc>
        <w:tc>
          <w:tcPr>
            <w:tcW w:w="0" w:type="auto"/>
            <w:vAlign w:val="center"/>
            <w:hideMark/>
          </w:tcPr>
          <w:p w14:paraId="1C47529C" w14:textId="77777777" w:rsidR="00C04D76" w:rsidRPr="00BA4350" w:rsidRDefault="00C04D76" w:rsidP="00F96753">
            <w:pPr>
              <w:pStyle w:val="BodyText"/>
              <w:spacing w:before="240"/>
              <w:jc w:val="both"/>
              <w:rPr>
                <w:lang w:val="en-US"/>
              </w:rPr>
            </w:pPr>
            <w:r w:rsidRPr="00BA4350">
              <w:rPr>
                <w:lang w:val="en-US"/>
              </w:rPr>
              <w:t>Ex post review possible</w:t>
            </w:r>
          </w:p>
        </w:tc>
        <w:tc>
          <w:tcPr>
            <w:tcW w:w="0" w:type="auto"/>
            <w:vAlign w:val="center"/>
            <w:hideMark/>
          </w:tcPr>
          <w:p w14:paraId="7738E351" w14:textId="77777777" w:rsidR="00C04D76" w:rsidRPr="00BA4350" w:rsidRDefault="00C04D76" w:rsidP="00F96753">
            <w:pPr>
              <w:pStyle w:val="BodyText"/>
              <w:spacing w:before="240"/>
              <w:jc w:val="both"/>
              <w:rPr>
                <w:lang w:val="en-US"/>
              </w:rPr>
            </w:pPr>
            <w:r w:rsidRPr="00BA4350">
              <w:rPr>
                <w:lang w:val="en-US"/>
              </w:rPr>
              <w:t>Review hindered by black box systems</w:t>
            </w:r>
          </w:p>
        </w:tc>
      </w:tr>
    </w:tbl>
    <w:p w14:paraId="22D1913E" w14:textId="77777777" w:rsidR="00C04D76" w:rsidRDefault="00C04D76" w:rsidP="00C04D76">
      <w:pPr>
        <w:pStyle w:val="BodyText"/>
        <w:spacing w:before="240" w:after="240"/>
        <w:jc w:val="center"/>
        <w:rPr>
          <w:lang w:val="mk-MK"/>
        </w:rPr>
      </w:pPr>
      <w:r w:rsidRPr="00D52194">
        <w:rPr>
          <w:i/>
          <w:iCs/>
          <w:lang w:val="mk-MK"/>
        </w:rPr>
        <w:t>Извор: истражувањето и податоците изнесени во докторската дисертација</w:t>
      </w:r>
    </w:p>
    <w:p w14:paraId="5C8E1B13" w14:textId="77777777" w:rsidR="00A5250E" w:rsidRDefault="00A5250E" w:rsidP="00FB30B7">
      <w:pPr>
        <w:pStyle w:val="BodyText"/>
        <w:jc w:val="both"/>
        <w:rPr>
          <w:rFonts w:eastAsia="Arial Unicode MS"/>
          <w:color w:val="000000"/>
          <w:sz w:val="26"/>
          <w:szCs w:val="26"/>
          <w:bdr w:val="nil"/>
          <w:lang w:val="mk-MK"/>
        </w:rPr>
      </w:pPr>
    </w:p>
    <w:p w14:paraId="023A1A58" w14:textId="77777777" w:rsidR="00B16CDF" w:rsidRPr="00B16CDF" w:rsidRDefault="00B16CDF" w:rsidP="00FB30B7">
      <w:pPr>
        <w:pStyle w:val="BodyText"/>
        <w:jc w:val="both"/>
        <w:rPr>
          <w:rFonts w:eastAsia="Arial Unicode MS"/>
          <w:b/>
          <w:bCs/>
          <w:color w:val="000000"/>
          <w:bdr w:val="nil"/>
          <w:lang w:val="mk-MK"/>
        </w:rPr>
      </w:pPr>
      <w:r w:rsidRPr="00B16CDF">
        <w:rPr>
          <w:rFonts w:eastAsia="Arial Unicode MS"/>
          <w:b/>
          <w:bCs/>
          <w:color w:val="000000"/>
          <w:bdr w:val="nil"/>
          <w:lang w:val="mk-MK"/>
        </w:rPr>
        <w:t xml:space="preserve">Методолошка белешка </w:t>
      </w:r>
    </w:p>
    <w:p w14:paraId="5307233E" w14:textId="77777777" w:rsidR="00024C92"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Прилог 14 прикажува компаративна доктринална анализа на трансформацијата на традиционалните принципи на корпоративното управување под влијание на алгоритамското управување и вештачката интелигенција. Студијата на случај е структурирана преку споредба помеѓу класичниот модел на остварување на акционерските права и новите форми на алгоритамско посредувано корпоративно одлучување. </w:t>
      </w:r>
    </w:p>
    <w:p w14:paraId="4D82155F" w14:textId="77777777" w:rsidR="00024C92" w:rsidRDefault="00024C92" w:rsidP="00FB30B7">
      <w:pPr>
        <w:pStyle w:val="BodyText"/>
        <w:jc w:val="both"/>
        <w:rPr>
          <w:rFonts w:eastAsia="Arial Unicode MS"/>
          <w:color w:val="000000"/>
          <w:bdr w:val="nil"/>
          <w:lang w:val="mk-MK"/>
        </w:rPr>
      </w:pPr>
    </w:p>
    <w:p w14:paraId="5FF1C808" w14:textId="77777777" w:rsidR="00147D93"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Методолошки, анализата се заснова врз идентификација на клучни доктринални претпоставки врз кои традиционално се темели корпоративното право, а потоа нивно споредување со практиките што произлегуваат од употребата на автоматизирани системи за корпоративно одлучување, гласање и управување. Прилогот користи аналитичко-компаративен пристап и ги разгледува петте централни категории: (1) акционерска автономија, (2) отчетност, (3) делиберација, (4) транспарентност и (5) правен надзор. </w:t>
      </w:r>
    </w:p>
    <w:p w14:paraId="154FD51E" w14:textId="77777777" w:rsidR="00147D93" w:rsidRDefault="00147D93" w:rsidP="00FB30B7">
      <w:pPr>
        <w:pStyle w:val="BodyText"/>
        <w:jc w:val="both"/>
        <w:rPr>
          <w:rFonts w:eastAsia="Arial Unicode MS"/>
          <w:color w:val="000000"/>
          <w:bdr w:val="nil"/>
          <w:lang w:val="mk-MK"/>
        </w:rPr>
      </w:pPr>
    </w:p>
    <w:p w14:paraId="461A6B2D" w14:textId="77777777" w:rsidR="005E32F0"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Во рамките на традиционалниот модел, акционерското учество се заснова врз индивидуална или колективна човечка проценка, при што одлуките се поврзуваат со идентификувани носители на одговорност и се легитимираат преку процеси на расправа и информирано одлучување. Одлуките се во принцип објасниви, а правниот систем овозможува </w:t>
      </w:r>
      <w:r w:rsidRPr="005E32F0">
        <w:rPr>
          <w:rFonts w:eastAsia="Arial Unicode MS"/>
          <w:i/>
          <w:iCs/>
          <w:color w:val="000000"/>
          <w:bdr w:val="nil"/>
          <w:lang w:val="mk-MK"/>
        </w:rPr>
        <w:t>ex post</w:t>
      </w:r>
      <w:r w:rsidRPr="00B16CDF">
        <w:rPr>
          <w:rFonts w:eastAsia="Arial Unicode MS"/>
          <w:color w:val="000000"/>
          <w:bdr w:val="nil"/>
          <w:lang w:val="mk-MK"/>
        </w:rPr>
        <w:t xml:space="preserve"> контрола и судска ревизија. </w:t>
      </w:r>
    </w:p>
    <w:p w14:paraId="3A3A4137" w14:textId="77777777" w:rsidR="005E32F0" w:rsidRDefault="005E32F0" w:rsidP="00FB30B7">
      <w:pPr>
        <w:pStyle w:val="BodyText"/>
        <w:jc w:val="both"/>
        <w:rPr>
          <w:rFonts w:eastAsia="Arial Unicode MS"/>
          <w:color w:val="000000"/>
          <w:bdr w:val="nil"/>
          <w:lang w:val="mk-MK"/>
        </w:rPr>
      </w:pPr>
    </w:p>
    <w:p w14:paraId="4EE53A98" w14:textId="77777777" w:rsidR="009B5961"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Во моделот на алгоритамско управување, овие претпоставки постепено се менуваат. Акционерското учество сè почесто се реализира преку автоматизирано извршување на однапред поставени политики, алгоритамски препораки и модели за гласање. Одговорноста станува дисперзирана помеѓу програмери, институционални инвеститори, технолошки посредници и автоматизирани системи. Делиберативниот </w:t>
      </w:r>
      <w:r w:rsidRPr="00B16CDF">
        <w:rPr>
          <w:rFonts w:eastAsia="Arial Unicode MS"/>
          <w:color w:val="000000"/>
          <w:bdr w:val="nil"/>
          <w:lang w:val="mk-MK"/>
        </w:rPr>
        <w:lastRenderedPageBreak/>
        <w:t xml:space="preserve">елемент се намалува, додека транспарентноста и можноста за правен надзор се ограничени поради сложеноста и непрозрачноста на алгоритамските модели. </w:t>
      </w:r>
    </w:p>
    <w:p w14:paraId="34E9B5AA" w14:textId="77777777" w:rsidR="009B5961" w:rsidRDefault="009B5961" w:rsidP="00FB30B7">
      <w:pPr>
        <w:pStyle w:val="BodyText"/>
        <w:jc w:val="both"/>
        <w:rPr>
          <w:rFonts w:eastAsia="Arial Unicode MS"/>
          <w:color w:val="000000"/>
          <w:bdr w:val="nil"/>
          <w:lang w:val="mk-MK"/>
        </w:rPr>
      </w:pPr>
    </w:p>
    <w:p w14:paraId="493466BF" w14:textId="77777777" w:rsidR="009B5961"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Методолошката цел на прилогот е да покаже дека употребата на вештачката интелигенција во корпоративното управување не претставува само технолошка промена, туку отвора суштински прашања за одржливоста на традиционалните доктрини врз кои се темели корпоративното право. </w:t>
      </w:r>
    </w:p>
    <w:p w14:paraId="63EAB51D" w14:textId="77777777" w:rsidR="009B5961" w:rsidRDefault="009B5961" w:rsidP="00FB30B7">
      <w:pPr>
        <w:pStyle w:val="BodyText"/>
        <w:jc w:val="both"/>
        <w:rPr>
          <w:rFonts w:eastAsia="Arial Unicode MS"/>
          <w:color w:val="000000"/>
          <w:bdr w:val="nil"/>
          <w:lang w:val="mk-MK"/>
        </w:rPr>
      </w:pPr>
    </w:p>
    <w:p w14:paraId="4456340C" w14:textId="77777777" w:rsidR="009B5961" w:rsidRPr="009B5961" w:rsidRDefault="00B16CDF" w:rsidP="00FB30B7">
      <w:pPr>
        <w:pStyle w:val="BodyText"/>
        <w:jc w:val="both"/>
        <w:rPr>
          <w:rFonts w:eastAsia="Arial Unicode MS"/>
          <w:b/>
          <w:bCs/>
          <w:color w:val="000000"/>
          <w:bdr w:val="nil"/>
          <w:lang w:val="mk-MK"/>
        </w:rPr>
      </w:pPr>
      <w:r w:rsidRPr="009B5961">
        <w:rPr>
          <w:rFonts w:eastAsia="Arial Unicode MS"/>
          <w:b/>
          <w:bCs/>
          <w:color w:val="000000"/>
          <w:bdr w:val="nil"/>
          <w:lang w:val="mk-MK"/>
        </w:rPr>
        <w:t xml:space="preserve">Напомена </w:t>
      </w:r>
    </w:p>
    <w:p w14:paraId="24DDC0EE" w14:textId="77777777" w:rsidR="001952CF"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Прилогот има аналитичко и концептуално значење и не претставува нормативна класификација на сите облици на употреба на вештачка интелигенција во корпоративното управување. Неговата функција е да ги илустрира главните тензии што се појавуваат кога алгоритамските системи се интегрираат во процесите на акционерско учество и корпоративно одлучување. </w:t>
      </w:r>
    </w:p>
    <w:p w14:paraId="1796965F" w14:textId="77777777" w:rsidR="001952CF" w:rsidRDefault="001952CF" w:rsidP="00FB30B7">
      <w:pPr>
        <w:pStyle w:val="BodyText"/>
        <w:jc w:val="both"/>
        <w:rPr>
          <w:rFonts w:eastAsia="Arial Unicode MS"/>
          <w:color w:val="000000"/>
          <w:bdr w:val="nil"/>
          <w:lang w:val="mk-MK"/>
        </w:rPr>
      </w:pPr>
    </w:p>
    <w:p w14:paraId="04D71F70" w14:textId="77777777" w:rsidR="00A14CE6"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Прикажаните категории не треба да се сфатат како апсолутно спротивставени модели, туку како идеални типови што овозможуваат полесно разбирање на постепената трансформација на корпоративното управување. Во практиката, современите компании често функционираат преку хибридни модели во кои човечкото одлучување и алгоритамските процеси постојат паралелно. </w:t>
      </w:r>
    </w:p>
    <w:p w14:paraId="12609DF0" w14:textId="77777777" w:rsidR="00A14CE6" w:rsidRDefault="00A14CE6" w:rsidP="00FB30B7">
      <w:pPr>
        <w:pStyle w:val="BodyText"/>
        <w:jc w:val="both"/>
        <w:rPr>
          <w:rFonts w:eastAsia="Arial Unicode MS"/>
          <w:color w:val="000000"/>
          <w:bdr w:val="nil"/>
          <w:lang w:val="mk-MK"/>
        </w:rPr>
      </w:pPr>
    </w:p>
    <w:p w14:paraId="66498DEC" w14:textId="77777777" w:rsidR="008756F3"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Во рамките на ова истражување, прилогот е значаен затоа што покажува дека алгоритамското посредување има потенцијал да влијае врз техничката ефикасност на корпоративното управување</w:t>
      </w:r>
      <w:r w:rsidR="008756F3">
        <w:rPr>
          <w:rFonts w:eastAsia="Arial Unicode MS"/>
          <w:color w:val="000000"/>
          <w:bdr w:val="nil"/>
          <w:lang w:val="mk-MK"/>
        </w:rPr>
        <w:t>, но</w:t>
      </w:r>
      <w:r w:rsidRPr="00B16CDF">
        <w:rPr>
          <w:rFonts w:eastAsia="Arial Unicode MS"/>
          <w:color w:val="000000"/>
          <w:bdr w:val="nil"/>
          <w:lang w:val="mk-MK"/>
        </w:rPr>
        <w:t xml:space="preserve"> и врз неговата легитимност, отчетност и демократска структура. Особено важно е прашањето дали постојните правни механизми се доволни за контрола на автоматизирани системи чии одлуки често не можат целосно да се објаснат или ревидираат. </w:t>
      </w:r>
    </w:p>
    <w:p w14:paraId="79078B41" w14:textId="77777777" w:rsidR="008756F3" w:rsidRDefault="008756F3" w:rsidP="00FB30B7">
      <w:pPr>
        <w:pStyle w:val="BodyText"/>
        <w:jc w:val="both"/>
        <w:rPr>
          <w:rFonts w:eastAsia="Arial Unicode MS"/>
          <w:color w:val="000000"/>
          <w:bdr w:val="nil"/>
          <w:lang w:val="mk-MK"/>
        </w:rPr>
      </w:pPr>
    </w:p>
    <w:p w14:paraId="1DF70779" w14:textId="77777777" w:rsidR="008756F3" w:rsidRDefault="00B16CDF" w:rsidP="00FB30B7">
      <w:pPr>
        <w:pStyle w:val="BodyText"/>
        <w:jc w:val="both"/>
        <w:rPr>
          <w:rFonts w:eastAsia="Arial Unicode MS"/>
          <w:color w:val="000000"/>
          <w:bdr w:val="nil"/>
          <w:lang w:val="mk-MK"/>
        </w:rPr>
      </w:pPr>
      <w:r w:rsidRPr="008756F3">
        <w:rPr>
          <w:rFonts w:eastAsia="Arial Unicode MS"/>
          <w:b/>
          <w:bCs/>
          <w:color w:val="000000"/>
          <w:bdr w:val="nil"/>
          <w:lang w:val="mk-MK"/>
        </w:rPr>
        <w:t>Синтетички заклучок</w:t>
      </w:r>
      <w:r w:rsidRPr="00B16CDF">
        <w:rPr>
          <w:rFonts w:eastAsia="Arial Unicode MS"/>
          <w:color w:val="000000"/>
          <w:bdr w:val="nil"/>
          <w:lang w:val="mk-MK"/>
        </w:rPr>
        <w:t xml:space="preserve"> </w:t>
      </w:r>
    </w:p>
    <w:p w14:paraId="4251BFD8" w14:textId="77777777" w:rsidR="00284C58"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Студијата на случај покажува дека интеграцијата на вештачката интелигенција во остварувањето на акционерските права создава суштински доктринални предизвици за традиционалното корпоративно право. Основните концепти врз кои историски се темели корпоративното управување, како што се човечката проценка, идентификуваната одговорност, делиберацијата и транспарентноста, постепено се трансформираат во услови на алгоритамско посредување. </w:t>
      </w:r>
    </w:p>
    <w:p w14:paraId="1CE5A46F" w14:textId="77777777" w:rsidR="00284C58" w:rsidRDefault="00284C58" w:rsidP="00FB30B7">
      <w:pPr>
        <w:pStyle w:val="BodyText"/>
        <w:jc w:val="both"/>
        <w:rPr>
          <w:rFonts w:eastAsia="Arial Unicode MS"/>
          <w:color w:val="000000"/>
          <w:bdr w:val="nil"/>
          <w:lang w:val="mk-MK"/>
        </w:rPr>
      </w:pPr>
    </w:p>
    <w:p w14:paraId="6A8A2725" w14:textId="77777777" w:rsidR="0059539C"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 xml:space="preserve">Алгоритамското управување овозможува побрзо, поефикасно и податочно базирано корпоративно одлучување, но истовремено ја намалува видливоста на процесот на одлучување и ја усложнува распределбата на правната одговорност. Колку повеќе корпоративните одлуки зависат од автоматизирани модели, толку повеќе се поставува прашањето дали традиционалните механизми на правен надзор и корпоративна отчетност остануваат доволни. </w:t>
      </w:r>
    </w:p>
    <w:p w14:paraId="6B91BA1C" w14:textId="77777777" w:rsidR="0059539C" w:rsidRDefault="0059539C" w:rsidP="00FB30B7">
      <w:pPr>
        <w:pStyle w:val="BodyText"/>
        <w:jc w:val="both"/>
        <w:rPr>
          <w:rFonts w:eastAsia="Arial Unicode MS"/>
          <w:color w:val="000000"/>
          <w:bdr w:val="nil"/>
          <w:lang w:val="mk-MK"/>
        </w:rPr>
      </w:pPr>
    </w:p>
    <w:p w14:paraId="0279FD48" w14:textId="510C9A8B" w:rsidR="00A5250E" w:rsidRPr="00B16CDF" w:rsidRDefault="00B16CDF" w:rsidP="00FB30B7">
      <w:pPr>
        <w:pStyle w:val="BodyText"/>
        <w:jc w:val="both"/>
        <w:rPr>
          <w:rFonts w:eastAsia="Arial Unicode MS"/>
          <w:color w:val="000000"/>
          <w:bdr w:val="nil"/>
          <w:lang w:val="mk-MK"/>
        </w:rPr>
      </w:pPr>
      <w:r w:rsidRPr="00B16CDF">
        <w:rPr>
          <w:rFonts w:eastAsia="Arial Unicode MS"/>
          <w:color w:val="000000"/>
          <w:bdr w:val="nil"/>
          <w:lang w:val="mk-MK"/>
        </w:rPr>
        <w:t>Од перспектива на корпоративното управување, прилогот укажува дека идниот развој на корпоративното право најверојатно ќе бара нови механизми за алгоритамска транспарентност, објаснивост и институционална отчетност, со цел да се зачува легитимноста на акционерското учество во услови на дигитализирано и автоматизирано корпоративно управување.</w:t>
      </w:r>
    </w:p>
    <w:p w14:paraId="7A94CB82" w14:textId="77777777" w:rsidR="00A5250E" w:rsidRPr="00A20708" w:rsidRDefault="00A5250E" w:rsidP="00A5250E">
      <w:pPr>
        <w:pStyle w:val="BodyText"/>
        <w:spacing w:after="240"/>
        <w:jc w:val="both"/>
        <w:rPr>
          <w:rFonts w:eastAsia="Arial Unicode MS"/>
          <w:color w:val="000000"/>
          <w:bdr w:val="nil"/>
          <w:lang w:val="mk-MK"/>
        </w:rPr>
      </w:pPr>
    </w:p>
    <w:p w14:paraId="395042F9" w14:textId="4A9EA9F6" w:rsidR="00A5250E" w:rsidRDefault="00A5250E" w:rsidP="00A5250E">
      <w:pPr>
        <w:pStyle w:val="Heading1"/>
        <w:spacing w:after="240"/>
        <w:jc w:val="both"/>
        <w:rPr>
          <w:lang w:val="mk-MK"/>
        </w:rPr>
      </w:pPr>
      <w:bookmarkStart w:id="153" w:name="_Toc230524006"/>
      <w:r w:rsidRPr="00F53881">
        <w:rPr>
          <w:lang w:val="mk-MK"/>
        </w:rPr>
        <w:lastRenderedPageBreak/>
        <w:t xml:space="preserve">Прилог </w:t>
      </w:r>
      <w:r>
        <w:rPr>
          <w:lang w:val="mk-MK"/>
        </w:rPr>
        <w:t>15</w:t>
      </w:r>
      <w:r>
        <w:rPr>
          <w:lang w:val="en-US"/>
        </w:rPr>
        <w:t xml:space="preserve">: </w:t>
      </w:r>
      <w:r>
        <w:rPr>
          <w:lang w:val="mk-MK"/>
        </w:rPr>
        <w:t xml:space="preserve">Студија на случај </w:t>
      </w:r>
      <w:r w:rsidR="00247EF0">
        <w:rPr>
          <w:lang w:val="mk-MK"/>
        </w:rPr>
        <w:t>4-</w:t>
      </w:r>
      <w:r w:rsidR="00247EF0" w:rsidRPr="00247EF0">
        <w:rPr>
          <w:lang w:val="mk-MK"/>
        </w:rPr>
        <w:t>Споредба на заштитните мерки за управување</w:t>
      </w:r>
      <w:bookmarkEnd w:id="153"/>
    </w:p>
    <w:tbl>
      <w:tblPr>
        <w:tblW w:w="0" w:type="auto"/>
        <w:tblCellSpacing w:w="15" w:type="dxa"/>
        <w:tblCellMar>
          <w:top w:w="15" w:type="dxa"/>
          <w:left w:w="15" w:type="dxa"/>
          <w:bottom w:w="15" w:type="dxa"/>
          <w:right w:w="15" w:type="dxa"/>
        </w:tblCellMar>
        <w:tblLook w:val="04A0" w:firstRow="1" w:lastRow="0" w:firstColumn="1" w:lastColumn="0" w:noHBand="0" w:noVBand="1"/>
      </w:tblPr>
      <w:tblGrid>
        <w:gridCol w:w="2319"/>
        <w:gridCol w:w="1567"/>
        <w:gridCol w:w="2069"/>
        <w:gridCol w:w="1500"/>
        <w:gridCol w:w="1575"/>
      </w:tblGrid>
      <w:tr w:rsidR="00CC3B18" w:rsidRPr="00D63969" w14:paraId="0D5899A5" w14:textId="77777777" w:rsidTr="00F96753">
        <w:trPr>
          <w:tblHeader/>
          <w:tblCellSpacing w:w="15" w:type="dxa"/>
        </w:trPr>
        <w:tc>
          <w:tcPr>
            <w:tcW w:w="0" w:type="auto"/>
            <w:vAlign w:val="center"/>
            <w:hideMark/>
          </w:tcPr>
          <w:p w14:paraId="16ABAD9D" w14:textId="77777777" w:rsidR="00CC3B18" w:rsidRPr="00D63969" w:rsidRDefault="00CC3B18" w:rsidP="00F96753">
            <w:pPr>
              <w:pStyle w:val="BodyText"/>
              <w:spacing w:before="240"/>
              <w:jc w:val="both"/>
              <w:rPr>
                <w:b/>
                <w:bCs/>
                <w:lang w:val="en-US"/>
              </w:rPr>
            </w:pPr>
            <w:r w:rsidRPr="00D63969">
              <w:rPr>
                <w:b/>
                <w:bCs/>
                <w:lang w:val="en-US"/>
              </w:rPr>
              <w:t>Governance Mechanism</w:t>
            </w:r>
          </w:p>
        </w:tc>
        <w:tc>
          <w:tcPr>
            <w:tcW w:w="0" w:type="auto"/>
            <w:vAlign w:val="center"/>
            <w:hideMark/>
          </w:tcPr>
          <w:p w14:paraId="53302E1C" w14:textId="77777777" w:rsidR="00CC3B18" w:rsidRPr="00D63969" w:rsidRDefault="00CC3B18" w:rsidP="00F96753">
            <w:pPr>
              <w:pStyle w:val="BodyText"/>
              <w:spacing w:before="240"/>
              <w:jc w:val="both"/>
              <w:rPr>
                <w:b/>
                <w:bCs/>
                <w:lang w:val="en-US"/>
              </w:rPr>
            </w:pPr>
            <w:r w:rsidRPr="00D63969">
              <w:rPr>
                <w:b/>
                <w:bCs/>
                <w:lang w:val="en-US"/>
              </w:rPr>
              <w:t>Accountability</w:t>
            </w:r>
          </w:p>
        </w:tc>
        <w:tc>
          <w:tcPr>
            <w:tcW w:w="0" w:type="auto"/>
            <w:vAlign w:val="center"/>
            <w:hideMark/>
          </w:tcPr>
          <w:p w14:paraId="7A65CC59" w14:textId="77777777" w:rsidR="00CC3B18" w:rsidRPr="00D63969" w:rsidRDefault="00CC3B18" w:rsidP="00F96753">
            <w:pPr>
              <w:pStyle w:val="BodyText"/>
              <w:spacing w:before="240"/>
              <w:jc w:val="both"/>
              <w:rPr>
                <w:b/>
                <w:bCs/>
                <w:lang w:val="en-US"/>
              </w:rPr>
            </w:pPr>
            <w:r w:rsidRPr="00D63969">
              <w:rPr>
                <w:b/>
                <w:bCs/>
                <w:lang w:val="en-US"/>
              </w:rPr>
              <w:t>Contextual Judgment</w:t>
            </w:r>
          </w:p>
        </w:tc>
        <w:tc>
          <w:tcPr>
            <w:tcW w:w="0" w:type="auto"/>
            <w:vAlign w:val="center"/>
            <w:hideMark/>
          </w:tcPr>
          <w:p w14:paraId="2E5D6CEB" w14:textId="77777777" w:rsidR="00CC3B18" w:rsidRPr="00D63969" w:rsidRDefault="00CC3B18" w:rsidP="00F96753">
            <w:pPr>
              <w:pStyle w:val="BodyText"/>
              <w:spacing w:before="240"/>
              <w:jc w:val="both"/>
              <w:rPr>
                <w:b/>
                <w:bCs/>
                <w:lang w:val="en-US"/>
              </w:rPr>
            </w:pPr>
            <w:r w:rsidRPr="00D63969">
              <w:rPr>
                <w:b/>
                <w:bCs/>
                <w:lang w:val="en-US"/>
              </w:rPr>
              <w:t>Contestability</w:t>
            </w:r>
          </w:p>
        </w:tc>
        <w:tc>
          <w:tcPr>
            <w:tcW w:w="0" w:type="auto"/>
            <w:vAlign w:val="center"/>
            <w:hideMark/>
          </w:tcPr>
          <w:p w14:paraId="51282D24" w14:textId="77777777" w:rsidR="00CC3B18" w:rsidRPr="00D63969" w:rsidRDefault="00CC3B18" w:rsidP="00F96753">
            <w:pPr>
              <w:pStyle w:val="BodyText"/>
              <w:spacing w:before="240"/>
              <w:jc w:val="both"/>
              <w:rPr>
                <w:b/>
                <w:bCs/>
                <w:lang w:val="en-US"/>
              </w:rPr>
            </w:pPr>
            <w:r w:rsidRPr="00D63969">
              <w:rPr>
                <w:b/>
                <w:bCs/>
                <w:lang w:val="en-US"/>
              </w:rPr>
              <w:t>Risk of Capture</w:t>
            </w:r>
          </w:p>
        </w:tc>
      </w:tr>
      <w:tr w:rsidR="00CC3B18" w:rsidRPr="00D63969" w14:paraId="34DD11C0" w14:textId="77777777" w:rsidTr="00F96753">
        <w:trPr>
          <w:tblCellSpacing w:w="15" w:type="dxa"/>
        </w:trPr>
        <w:tc>
          <w:tcPr>
            <w:tcW w:w="0" w:type="auto"/>
            <w:vAlign w:val="center"/>
            <w:hideMark/>
          </w:tcPr>
          <w:p w14:paraId="1B0B0112" w14:textId="77777777" w:rsidR="00CC3B18" w:rsidRPr="00D63969" w:rsidRDefault="00CC3B18" w:rsidP="00F96753">
            <w:pPr>
              <w:pStyle w:val="BodyText"/>
              <w:spacing w:before="240"/>
              <w:jc w:val="both"/>
              <w:rPr>
                <w:lang w:val="en-US"/>
              </w:rPr>
            </w:pPr>
            <w:r w:rsidRPr="00D63969">
              <w:rPr>
                <w:lang w:val="en-US"/>
              </w:rPr>
              <w:t>Algorithmic systems</w:t>
            </w:r>
          </w:p>
        </w:tc>
        <w:tc>
          <w:tcPr>
            <w:tcW w:w="0" w:type="auto"/>
            <w:vAlign w:val="center"/>
            <w:hideMark/>
          </w:tcPr>
          <w:p w14:paraId="1034D6E0" w14:textId="77777777" w:rsidR="00CC3B18" w:rsidRPr="00D63969" w:rsidRDefault="00CC3B18" w:rsidP="00F96753">
            <w:pPr>
              <w:pStyle w:val="BodyText"/>
              <w:spacing w:before="240"/>
              <w:jc w:val="both"/>
              <w:rPr>
                <w:lang w:val="en-US"/>
              </w:rPr>
            </w:pPr>
            <w:r w:rsidRPr="00D63969">
              <w:rPr>
                <w:lang w:val="en-US"/>
              </w:rPr>
              <w:t>Low or diffuse</w:t>
            </w:r>
          </w:p>
        </w:tc>
        <w:tc>
          <w:tcPr>
            <w:tcW w:w="0" w:type="auto"/>
            <w:vAlign w:val="center"/>
            <w:hideMark/>
          </w:tcPr>
          <w:p w14:paraId="5623FFDA" w14:textId="77777777" w:rsidR="00CC3B18" w:rsidRPr="00D63969" w:rsidRDefault="00CC3B18" w:rsidP="00F96753">
            <w:pPr>
              <w:pStyle w:val="BodyText"/>
              <w:spacing w:before="240"/>
              <w:jc w:val="both"/>
              <w:rPr>
                <w:lang w:val="en-US"/>
              </w:rPr>
            </w:pPr>
            <w:r w:rsidRPr="00D63969">
              <w:rPr>
                <w:lang w:val="en-US"/>
              </w:rPr>
              <w:t>Limited or absent</w:t>
            </w:r>
          </w:p>
        </w:tc>
        <w:tc>
          <w:tcPr>
            <w:tcW w:w="0" w:type="auto"/>
            <w:vAlign w:val="center"/>
            <w:hideMark/>
          </w:tcPr>
          <w:p w14:paraId="3E1B3C0A" w14:textId="77777777" w:rsidR="00CC3B18" w:rsidRPr="00D63969" w:rsidRDefault="00CC3B18" w:rsidP="00F96753">
            <w:pPr>
              <w:pStyle w:val="BodyText"/>
              <w:spacing w:before="240"/>
              <w:jc w:val="both"/>
              <w:rPr>
                <w:lang w:val="en-US"/>
              </w:rPr>
            </w:pPr>
            <w:r w:rsidRPr="00D63969">
              <w:rPr>
                <w:lang w:val="en-US"/>
              </w:rPr>
              <w:t>Low</w:t>
            </w:r>
          </w:p>
        </w:tc>
        <w:tc>
          <w:tcPr>
            <w:tcW w:w="0" w:type="auto"/>
            <w:vAlign w:val="center"/>
            <w:hideMark/>
          </w:tcPr>
          <w:p w14:paraId="35DB306A" w14:textId="77777777" w:rsidR="00CC3B18" w:rsidRPr="00D63969" w:rsidRDefault="00CC3B18" w:rsidP="00F96753">
            <w:pPr>
              <w:pStyle w:val="BodyText"/>
              <w:spacing w:before="240"/>
              <w:jc w:val="both"/>
              <w:rPr>
                <w:lang w:val="en-US"/>
              </w:rPr>
            </w:pPr>
            <w:r w:rsidRPr="00D63969">
              <w:rPr>
                <w:lang w:val="en-US"/>
              </w:rPr>
              <w:t>High</w:t>
            </w:r>
          </w:p>
        </w:tc>
      </w:tr>
      <w:tr w:rsidR="00CC3B18" w:rsidRPr="00D63969" w14:paraId="51EB361B" w14:textId="77777777" w:rsidTr="00F96753">
        <w:trPr>
          <w:tblCellSpacing w:w="15" w:type="dxa"/>
        </w:trPr>
        <w:tc>
          <w:tcPr>
            <w:tcW w:w="0" w:type="auto"/>
            <w:vAlign w:val="center"/>
            <w:hideMark/>
          </w:tcPr>
          <w:p w14:paraId="1FFEB1EB" w14:textId="77777777" w:rsidR="00CC3B18" w:rsidRPr="00D63969" w:rsidRDefault="00CC3B18" w:rsidP="00F96753">
            <w:pPr>
              <w:pStyle w:val="BodyText"/>
              <w:spacing w:before="240"/>
              <w:jc w:val="both"/>
              <w:rPr>
                <w:lang w:val="en-US"/>
              </w:rPr>
            </w:pPr>
            <w:r w:rsidRPr="00D63969">
              <w:rPr>
                <w:lang w:val="en-US"/>
              </w:rPr>
              <w:t>Managerial oversight</w:t>
            </w:r>
          </w:p>
        </w:tc>
        <w:tc>
          <w:tcPr>
            <w:tcW w:w="0" w:type="auto"/>
            <w:vAlign w:val="center"/>
            <w:hideMark/>
          </w:tcPr>
          <w:p w14:paraId="08FC3C92" w14:textId="77777777" w:rsidR="00CC3B18" w:rsidRPr="00D63969" w:rsidRDefault="00CC3B18" w:rsidP="00F96753">
            <w:pPr>
              <w:pStyle w:val="BodyText"/>
              <w:spacing w:before="240"/>
              <w:jc w:val="both"/>
              <w:rPr>
                <w:lang w:val="en-US"/>
              </w:rPr>
            </w:pPr>
            <w:r w:rsidRPr="00D63969">
              <w:rPr>
                <w:lang w:val="en-US"/>
              </w:rPr>
              <w:t>Moderate</w:t>
            </w:r>
          </w:p>
        </w:tc>
        <w:tc>
          <w:tcPr>
            <w:tcW w:w="0" w:type="auto"/>
            <w:vAlign w:val="center"/>
            <w:hideMark/>
          </w:tcPr>
          <w:p w14:paraId="4FAC695B" w14:textId="77777777" w:rsidR="00CC3B18" w:rsidRPr="00D63969" w:rsidRDefault="00CC3B18" w:rsidP="00F96753">
            <w:pPr>
              <w:pStyle w:val="BodyText"/>
              <w:spacing w:before="240"/>
              <w:jc w:val="both"/>
              <w:rPr>
                <w:lang w:val="en-US"/>
              </w:rPr>
            </w:pPr>
            <w:r w:rsidRPr="00D63969">
              <w:rPr>
                <w:lang w:val="en-US"/>
              </w:rPr>
              <w:t>Moderate</w:t>
            </w:r>
          </w:p>
        </w:tc>
        <w:tc>
          <w:tcPr>
            <w:tcW w:w="0" w:type="auto"/>
            <w:vAlign w:val="center"/>
            <w:hideMark/>
          </w:tcPr>
          <w:p w14:paraId="2452AA5E" w14:textId="77777777" w:rsidR="00CC3B18" w:rsidRPr="00D63969" w:rsidRDefault="00CC3B18" w:rsidP="00F96753">
            <w:pPr>
              <w:pStyle w:val="BodyText"/>
              <w:spacing w:before="240"/>
              <w:jc w:val="both"/>
              <w:rPr>
                <w:lang w:val="en-US"/>
              </w:rPr>
            </w:pPr>
            <w:r w:rsidRPr="00D63969">
              <w:rPr>
                <w:lang w:val="en-US"/>
              </w:rPr>
              <w:t>Limited</w:t>
            </w:r>
          </w:p>
        </w:tc>
        <w:tc>
          <w:tcPr>
            <w:tcW w:w="0" w:type="auto"/>
            <w:vAlign w:val="center"/>
            <w:hideMark/>
          </w:tcPr>
          <w:p w14:paraId="125E979E" w14:textId="77777777" w:rsidR="00CC3B18" w:rsidRPr="00D63969" w:rsidRDefault="00CC3B18" w:rsidP="00F96753">
            <w:pPr>
              <w:pStyle w:val="BodyText"/>
              <w:spacing w:before="240"/>
              <w:jc w:val="both"/>
              <w:rPr>
                <w:lang w:val="en-US"/>
              </w:rPr>
            </w:pPr>
            <w:r w:rsidRPr="00D63969">
              <w:rPr>
                <w:lang w:val="en-US"/>
              </w:rPr>
              <w:t>Moderate</w:t>
            </w:r>
          </w:p>
        </w:tc>
      </w:tr>
      <w:tr w:rsidR="00CC3B18" w:rsidRPr="00D63969" w14:paraId="6294153A" w14:textId="77777777" w:rsidTr="00F96753">
        <w:trPr>
          <w:tblCellSpacing w:w="15" w:type="dxa"/>
        </w:trPr>
        <w:tc>
          <w:tcPr>
            <w:tcW w:w="0" w:type="auto"/>
            <w:vAlign w:val="center"/>
            <w:hideMark/>
          </w:tcPr>
          <w:p w14:paraId="47877C01" w14:textId="77777777" w:rsidR="00CC3B18" w:rsidRPr="00D63969" w:rsidRDefault="00CC3B18" w:rsidP="00F96753">
            <w:pPr>
              <w:pStyle w:val="BodyText"/>
              <w:spacing w:before="240"/>
              <w:jc w:val="both"/>
              <w:rPr>
                <w:lang w:val="en-US"/>
              </w:rPr>
            </w:pPr>
            <w:r w:rsidRPr="00D63969">
              <w:rPr>
                <w:lang w:val="en-US"/>
              </w:rPr>
              <w:t>Worker participation</w:t>
            </w:r>
          </w:p>
        </w:tc>
        <w:tc>
          <w:tcPr>
            <w:tcW w:w="0" w:type="auto"/>
            <w:vAlign w:val="center"/>
            <w:hideMark/>
          </w:tcPr>
          <w:p w14:paraId="33AD162B" w14:textId="77777777" w:rsidR="00CC3B18" w:rsidRPr="00D63969" w:rsidRDefault="00CC3B18" w:rsidP="00F96753">
            <w:pPr>
              <w:pStyle w:val="BodyText"/>
              <w:spacing w:before="240"/>
              <w:jc w:val="both"/>
              <w:rPr>
                <w:lang w:val="en-US"/>
              </w:rPr>
            </w:pPr>
            <w:r w:rsidRPr="00D63969">
              <w:rPr>
                <w:lang w:val="en-US"/>
              </w:rPr>
              <w:t>High</w:t>
            </w:r>
          </w:p>
        </w:tc>
        <w:tc>
          <w:tcPr>
            <w:tcW w:w="0" w:type="auto"/>
            <w:vAlign w:val="center"/>
            <w:hideMark/>
          </w:tcPr>
          <w:p w14:paraId="1238475E" w14:textId="77777777" w:rsidR="00CC3B18" w:rsidRPr="00D63969" w:rsidRDefault="00CC3B18" w:rsidP="00F96753">
            <w:pPr>
              <w:pStyle w:val="BodyText"/>
              <w:spacing w:before="240"/>
              <w:jc w:val="both"/>
              <w:rPr>
                <w:lang w:val="en-US"/>
              </w:rPr>
            </w:pPr>
            <w:r w:rsidRPr="00D63969">
              <w:rPr>
                <w:lang w:val="en-US"/>
              </w:rPr>
              <w:t>High</w:t>
            </w:r>
          </w:p>
        </w:tc>
        <w:tc>
          <w:tcPr>
            <w:tcW w:w="0" w:type="auto"/>
            <w:vAlign w:val="center"/>
            <w:hideMark/>
          </w:tcPr>
          <w:p w14:paraId="1416892A" w14:textId="77777777" w:rsidR="00CC3B18" w:rsidRPr="00D63969" w:rsidRDefault="00CC3B18" w:rsidP="00F96753">
            <w:pPr>
              <w:pStyle w:val="BodyText"/>
              <w:spacing w:before="240"/>
              <w:jc w:val="both"/>
              <w:rPr>
                <w:lang w:val="en-US"/>
              </w:rPr>
            </w:pPr>
            <w:r w:rsidRPr="00D63969">
              <w:rPr>
                <w:lang w:val="en-US"/>
              </w:rPr>
              <w:t>High</w:t>
            </w:r>
          </w:p>
        </w:tc>
        <w:tc>
          <w:tcPr>
            <w:tcW w:w="0" w:type="auto"/>
            <w:vAlign w:val="center"/>
            <w:hideMark/>
          </w:tcPr>
          <w:p w14:paraId="3F98C396" w14:textId="77777777" w:rsidR="00CC3B18" w:rsidRPr="00D63969" w:rsidRDefault="00CC3B18" w:rsidP="00F96753">
            <w:pPr>
              <w:pStyle w:val="BodyText"/>
              <w:spacing w:before="240"/>
              <w:jc w:val="both"/>
              <w:rPr>
                <w:lang w:val="en-US"/>
              </w:rPr>
            </w:pPr>
            <w:r w:rsidRPr="00D63969">
              <w:rPr>
                <w:lang w:val="en-US"/>
              </w:rPr>
              <w:t>Lower</w:t>
            </w:r>
          </w:p>
        </w:tc>
      </w:tr>
      <w:tr w:rsidR="00CC3B18" w:rsidRPr="00D63969" w14:paraId="19BFE5FC" w14:textId="77777777" w:rsidTr="00F96753">
        <w:trPr>
          <w:tblCellSpacing w:w="15" w:type="dxa"/>
        </w:trPr>
        <w:tc>
          <w:tcPr>
            <w:tcW w:w="0" w:type="auto"/>
            <w:vAlign w:val="center"/>
            <w:hideMark/>
          </w:tcPr>
          <w:p w14:paraId="65FF33B3" w14:textId="77777777" w:rsidR="00CC3B18" w:rsidRPr="00D63969" w:rsidRDefault="00CC3B18" w:rsidP="00F96753">
            <w:pPr>
              <w:pStyle w:val="BodyText"/>
              <w:spacing w:before="240"/>
              <w:jc w:val="both"/>
              <w:rPr>
                <w:lang w:val="en-US"/>
              </w:rPr>
            </w:pPr>
            <w:r w:rsidRPr="00D63969">
              <w:rPr>
                <w:lang w:val="en-US"/>
              </w:rPr>
              <w:t>Hybrid models</w:t>
            </w:r>
          </w:p>
        </w:tc>
        <w:tc>
          <w:tcPr>
            <w:tcW w:w="0" w:type="auto"/>
            <w:vAlign w:val="center"/>
            <w:hideMark/>
          </w:tcPr>
          <w:p w14:paraId="0A6F4DDF" w14:textId="77777777" w:rsidR="00CC3B18" w:rsidRPr="00D63969" w:rsidRDefault="00CC3B18" w:rsidP="00F96753">
            <w:pPr>
              <w:pStyle w:val="BodyText"/>
              <w:spacing w:before="240"/>
              <w:jc w:val="both"/>
              <w:rPr>
                <w:lang w:val="en-US"/>
              </w:rPr>
            </w:pPr>
            <w:r w:rsidRPr="00D63969">
              <w:rPr>
                <w:lang w:val="en-US"/>
              </w:rPr>
              <w:t>Variable</w:t>
            </w:r>
          </w:p>
        </w:tc>
        <w:tc>
          <w:tcPr>
            <w:tcW w:w="0" w:type="auto"/>
            <w:vAlign w:val="center"/>
            <w:hideMark/>
          </w:tcPr>
          <w:p w14:paraId="6B0B1071" w14:textId="77777777" w:rsidR="00CC3B18" w:rsidRPr="00D63969" w:rsidRDefault="00CC3B18" w:rsidP="00F96753">
            <w:pPr>
              <w:pStyle w:val="BodyText"/>
              <w:spacing w:before="240"/>
              <w:jc w:val="both"/>
              <w:rPr>
                <w:lang w:val="en-US"/>
              </w:rPr>
            </w:pPr>
            <w:r w:rsidRPr="00D63969">
              <w:rPr>
                <w:lang w:val="en-US"/>
              </w:rPr>
              <w:t>High</w:t>
            </w:r>
          </w:p>
        </w:tc>
        <w:tc>
          <w:tcPr>
            <w:tcW w:w="0" w:type="auto"/>
            <w:vAlign w:val="center"/>
            <w:hideMark/>
          </w:tcPr>
          <w:p w14:paraId="2282B43E" w14:textId="77777777" w:rsidR="00CC3B18" w:rsidRPr="00D63969" w:rsidRDefault="00CC3B18" w:rsidP="00F96753">
            <w:pPr>
              <w:pStyle w:val="BodyText"/>
              <w:spacing w:before="240"/>
              <w:jc w:val="both"/>
              <w:rPr>
                <w:lang w:val="en-US"/>
              </w:rPr>
            </w:pPr>
            <w:r w:rsidRPr="00D63969">
              <w:rPr>
                <w:lang w:val="en-US"/>
              </w:rPr>
              <w:t>High</w:t>
            </w:r>
          </w:p>
        </w:tc>
        <w:tc>
          <w:tcPr>
            <w:tcW w:w="0" w:type="auto"/>
            <w:vAlign w:val="center"/>
            <w:hideMark/>
          </w:tcPr>
          <w:p w14:paraId="0B49654D" w14:textId="77777777" w:rsidR="00CC3B18" w:rsidRPr="00D63969" w:rsidRDefault="00CC3B18" w:rsidP="00F96753">
            <w:pPr>
              <w:pStyle w:val="BodyText"/>
              <w:spacing w:before="240"/>
              <w:jc w:val="both"/>
              <w:rPr>
                <w:lang w:val="en-US"/>
              </w:rPr>
            </w:pPr>
            <w:r w:rsidRPr="00D63969">
              <w:rPr>
                <w:lang w:val="en-US"/>
              </w:rPr>
              <w:t>Lower</w:t>
            </w:r>
          </w:p>
        </w:tc>
      </w:tr>
    </w:tbl>
    <w:p w14:paraId="3261F6D2" w14:textId="77777777" w:rsidR="00A5250E" w:rsidRDefault="00A5250E" w:rsidP="00FB30B7">
      <w:pPr>
        <w:pStyle w:val="BodyText"/>
        <w:jc w:val="both"/>
        <w:rPr>
          <w:rFonts w:eastAsia="Arial Unicode MS"/>
          <w:color w:val="000000"/>
          <w:sz w:val="26"/>
          <w:szCs w:val="26"/>
          <w:bdr w:val="nil"/>
          <w:lang w:val="mk-MK"/>
        </w:rPr>
      </w:pPr>
    </w:p>
    <w:p w14:paraId="667E67FF" w14:textId="77777777" w:rsidR="00663A70" w:rsidRDefault="00663A70" w:rsidP="00663A70">
      <w:pPr>
        <w:pStyle w:val="BodyText"/>
        <w:spacing w:before="240" w:after="240"/>
        <w:jc w:val="center"/>
        <w:rPr>
          <w:lang w:val="mk-MK"/>
        </w:rPr>
      </w:pPr>
      <w:r w:rsidRPr="00D52194">
        <w:rPr>
          <w:i/>
          <w:iCs/>
          <w:lang w:val="mk-MK"/>
        </w:rPr>
        <w:t>Извор: истражувањето и податоците изнесени во докторската дисертација</w:t>
      </w:r>
    </w:p>
    <w:p w14:paraId="4F28A2B2" w14:textId="77777777" w:rsidR="000E0A1F" w:rsidRDefault="000E0A1F" w:rsidP="000E0A1F">
      <w:pPr>
        <w:pStyle w:val="BodyText"/>
        <w:jc w:val="both"/>
        <w:rPr>
          <w:rFonts w:eastAsia="Arial Unicode MS"/>
          <w:color w:val="000000"/>
          <w:bdr w:val="nil"/>
          <w:lang w:val="mk-MK"/>
        </w:rPr>
      </w:pPr>
    </w:p>
    <w:p w14:paraId="3B2D5C0E" w14:textId="05088C12" w:rsidR="000E0A1F" w:rsidRDefault="000E0A1F" w:rsidP="000E0A1F">
      <w:pPr>
        <w:pStyle w:val="BodyText"/>
        <w:jc w:val="both"/>
        <w:rPr>
          <w:rFonts w:eastAsia="Arial Unicode MS"/>
          <w:b/>
          <w:bCs/>
          <w:color w:val="000000"/>
          <w:bdr w:val="nil"/>
          <w:lang w:val="mk-MK"/>
        </w:rPr>
      </w:pPr>
      <w:r>
        <w:rPr>
          <w:rFonts w:eastAsia="Arial Unicode MS"/>
          <w:b/>
          <w:bCs/>
          <w:color w:val="000000"/>
          <w:bdr w:val="nil"/>
          <w:lang w:val="mk-MK"/>
        </w:rPr>
        <w:t>Методолошка белешка</w:t>
      </w:r>
    </w:p>
    <w:p w14:paraId="6FFDE392" w14:textId="03380D31" w:rsidR="000E0A1F" w:rsidRDefault="00C5745E" w:rsidP="000E0A1F">
      <w:pPr>
        <w:pStyle w:val="BodyText"/>
        <w:jc w:val="both"/>
        <w:rPr>
          <w:rFonts w:eastAsia="Arial Unicode MS"/>
          <w:color w:val="000000"/>
          <w:bdr w:val="nil"/>
          <w:lang w:val="mk-MK"/>
        </w:rPr>
      </w:pPr>
      <w:r w:rsidRPr="00C5745E">
        <w:rPr>
          <w:rFonts w:eastAsia="Arial Unicode MS"/>
          <w:color w:val="000000"/>
          <w:bdr w:val="nil"/>
          <w:lang w:val="mk-MK"/>
        </w:rPr>
        <w:t>Прилог 15 претставува компаративна анализа на различни механизми на корпоративно управување и нивната способност да обезбедат институционални заштитни мерки во услови на зголемена употреба на алгоритамски системи и вештачка интелигенција. Студијата на случај е поставена врз споредбен модел што ги оценува различните облици на управување според четири клучни критериуми: (1) отчетност, (2) контекстуална проценка, (3) можност за оспорување и (4) ризик од концентрација или „capture“ на моќта.</w:t>
      </w:r>
    </w:p>
    <w:p w14:paraId="75971495" w14:textId="77777777" w:rsidR="00692BB4" w:rsidRDefault="00692BB4" w:rsidP="000E0A1F">
      <w:pPr>
        <w:pStyle w:val="BodyText"/>
        <w:jc w:val="both"/>
        <w:rPr>
          <w:rFonts w:eastAsia="Arial Unicode MS"/>
          <w:color w:val="000000"/>
          <w:bdr w:val="nil"/>
          <w:lang w:val="mk-MK"/>
        </w:rPr>
      </w:pPr>
    </w:p>
    <w:p w14:paraId="7B76ECE7" w14:textId="6D20E9D0" w:rsidR="00692BB4" w:rsidRDefault="00692BB4" w:rsidP="000E0A1F">
      <w:pPr>
        <w:pStyle w:val="BodyText"/>
        <w:jc w:val="both"/>
        <w:rPr>
          <w:rFonts w:eastAsia="Arial Unicode MS"/>
          <w:color w:val="000000"/>
          <w:bdr w:val="nil"/>
          <w:lang w:val="mk-MK"/>
        </w:rPr>
      </w:pPr>
      <w:r w:rsidRPr="00692BB4">
        <w:rPr>
          <w:rFonts w:eastAsia="Arial Unicode MS"/>
          <w:color w:val="000000"/>
          <w:bdr w:val="nil"/>
          <w:lang w:val="mk-MK"/>
        </w:rPr>
        <w:t>Методолошки, прилогот користи типолошко-компаративен пристап преку кој се споредуваат четири модели на управување: алгоритамски системи, менаџерски надзор, учество на работниците и хибридни модели на управување.</w:t>
      </w:r>
    </w:p>
    <w:p w14:paraId="5685AE37" w14:textId="77777777" w:rsidR="00692BB4" w:rsidRDefault="00692BB4" w:rsidP="000E0A1F">
      <w:pPr>
        <w:pStyle w:val="BodyText"/>
        <w:jc w:val="both"/>
        <w:rPr>
          <w:rFonts w:eastAsia="Arial Unicode MS"/>
          <w:color w:val="000000"/>
          <w:bdr w:val="nil"/>
          <w:lang w:val="mk-MK"/>
        </w:rPr>
      </w:pPr>
    </w:p>
    <w:p w14:paraId="0455325B" w14:textId="3F021E8D" w:rsidR="00692BB4" w:rsidRDefault="00692BB4" w:rsidP="000E0A1F">
      <w:pPr>
        <w:pStyle w:val="BodyText"/>
        <w:jc w:val="both"/>
        <w:rPr>
          <w:rFonts w:eastAsia="Arial Unicode MS"/>
          <w:color w:val="000000"/>
          <w:bdr w:val="nil"/>
          <w:lang w:val="mk-MK"/>
        </w:rPr>
      </w:pPr>
      <w:r w:rsidRPr="00692BB4">
        <w:rPr>
          <w:rFonts w:eastAsia="Arial Unicode MS"/>
          <w:color w:val="000000"/>
          <w:bdr w:val="nil"/>
          <w:lang w:val="mk-MK"/>
        </w:rPr>
        <w:t>Во првиот модел, алгоритамските системи се анализираат како механизми што овозможуваат висока оперативна ефикасност, но со ограничена отчетност, минимална можност за контекстуална проценка и намалена можност за оспорување на одлуките. Дополнително, се нагласува ризикот од концентрација на влијание кај технолошки посредници, институционални инвеститори или носители на контрола врз податоците и алгоритмите.</w:t>
      </w:r>
    </w:p>
    <w:p w14:paraId="3DD1138E" w14:textId="77777777" w:rsidR="00692BB4" w:rsidRDefault="00692BB4" w:rsidP="000E0A1F">
      <w:pPr>
        <w:pStyle w:val="BodyText"/>
        <w:jc w:val="both"/>
        <w:rPr>
          <w:rFonts w:eastAsia="Arial Unicode MS"/>
          <w:color w:val="000000"/>
          <w:bdr w:val="nil"/>
          <w:lang w:val="mk-MK"/>
        </w:rPr>
      </w:pPr>
    </w:p>
    <w:p w14:paraId="16142C3E" w14:textId="17B5A58B" w:rsidR="00692BB4" w:rsidRDefault="00380F35" w:rsidP="000E0A1F">
      <w:pPr>
        <w:pStyle w:val="BodyText"/>
        <w:jc w:val="both"/>
        <w:rPr>
          <w:rFonts w:eastAsia="Arial Unicode MS"/>
          <w:color w:val="000000"/>
          <w:bdr w:val="nil"/>
          <w:lang w:val="mk-MK"/>
        </w:rPr>
      </w:pPr>
      <w:r w:rsidRPr="00380F35">
        <w:rPr>
          <w:rFonts w:eastAsia="Arial Unicode MS"/>
          <w:color w:val="000000"/>
          <w:bdr w:val="nil"/>
          <w:lang w:val="mk-MK"/>
        </w:rPr>
        <w:t>Вториот модел се однесува на традиционалниот менаџерски надзор. Во овој систем постои повисоко ниво на човечка проценка и формална одговорност, но можностите за контрола и оспорување на одлуките остануваат ограничени поради хиерархиската структура на корпоративното управување.</w:t>
      </w:r>
    </w:p>
    <w:p w14:paraId="5EE4ED94" w14:textId="77777777" w:rsidR="00380F35" w:rsidRDefault="00380F35" w:rsidP="000E0A1F">
      <w:pPr>
        <w:pStyle w:val="BodyText"/>
        <w:jc w:val="both"/>
        <w:rPr>
          <w:rFonts w:eastAsia="Arial Unicode MS"/>
          <w:color w:val="000000"/>
          <w:bdr w:val="nil"/>
          <w:lang w:val="mk-MK"/>
        </w:rPr>
      </w:pPr>
    </w:p>
    <w:p w14:paraId="03117B4D" w14:textId="79C208D0" w:rsidR="00380F35" w:rsidRDefault="00380F35" w:rsidP="000E0A1F">
      <w:pPr>
        <w:pStyle w:val="BodyText"/>
        <w:jc w:val="both"/>
        <w:rPr>
          <w:rFonts w:eastAsia="Arial Unicode MS"/>
          <w:color w:val="000000"/>
          <w:bdr w:val="nil"/>
          <w:lang w:val="mk-MK"/>
        </w:rPr>
      </w:pPr>
      <w:r w:rsidRPr="00380F35">
        <w:rPr>
          <w:rFonts w:eastAsia="Arial Unicode MS"/>
          <w:color w:val="000000"/>
          <w:bdr w:val="nil"/>
          <w:lang w:val="mk-MK"/>
        </w:rPr>
        <w:t xml:space="preserve">Третиот модел го анализира учеството на работниците како механизам што овозможува повисоко ниво на отчетност, контекстуална проценка и институционална контрола. Учеството на вработените создава дополнителен слој на проверка и делиберација, со што се намалува ризикот од концентрација на моќта и еднострано корпоративно одлучување. </w:t>
      </w:r>
    </w:p>
    <w:p w14:paraId="5A8D2FE0" w14:textId="77777777" w:rsidR="009704DB" w:rsidRDefault="009704DB" w:rsidP="000E0A1F">
      <w:pPr>
        <w:pStyle w:val="BodyText"/>
        <w:jc w:val="both"/>
        <w:rPr>
          <w:rFonts w:eastAsia="Arial Unicode MS"/>
          <w:color w:val="000000"/>
          <w:bdr w:val="nil"/>
          <w:lang w:val="mk-MK"/>
        </w:rPr>
      </w:pPr>
    </w:p>
    <w:p w14:paraId="0E348A0A" w14:textId="77777777" w:rsidR="009704DB" w:rsidRDefault="009704DB" w:rsidP="000E0A1F">
      <w:pPr>
        <w:pStyle w:val="BodyText"/>
        <w:jc w:val="both"/>
        <w:rPr>
          <w:rFonts w:eastAsia="Arial Unicode MS"/>
          <w:color w:val="000000"/>
          <w:bdr w:val="nil"/>
          <w:lang w:val="mk-MK"/>
        </w:rPr>
      </w:pPr>
      <w:r w:rsidRPr="009704DB">
        <w:rPr>
          <w:rFonts w:eastAsia="Arial Unicode MS"/>
          <w:color w:val="000000"/>
          <w:bdr w:val="nil"/>
          <w:lang w:val="mk-MK"/>
        </w:rPr>
        <w:t xml:space="preserve">Четвртиот модел се однесува на хибридни системи на управување, во кои </w:t>
      </w:r>
      <w:r w:rsidRPr="009704DB">
        <w:rPr>
          <w:rFonts w:eastAsia="Arial Unicode MS"/>
          <w:color w:val="000000"/>
          <w:bdr w:val="nil"/>
          <w:lang w:val="mk-MK"/>
        </w:rPr>
        <w:lastRenderedPageBreak/>
        <w:t xml:space="preserve">алгоритамските механизми, менаџерскиот надзор и учеството на работниците функционираат паралелно. Прилогот укажува дека ваквите модели имаат потенцијал да обезбедат поголема институционална рамнотежа и повисоко ниво на легитимност во процесите на корпоративно одлучување. </w:t>
      </w:r>
    </w:p>
    <w:p w14:paraId="7418ABE2" w14:textId="77777777" w:rsidR="009704DB" w:rsidRDefault="009704DB" w:rsidP="000E0A1F">
      <w:pPr>
        <w:pStyle w:val="BodyText"/>
        <w:jc w:val="both"/>
        <w:rPr>
          <w:rFonts w:eastAsia="Arial Unicode MS"/>
          <w:color w:val="000000"/>
          <w:bdr w:val="nil"/>
          <w:lang w:val="mk-MK"/>
        </w:rPr>
      </w:pPr>
    </w:p>
    <w:p w14:paraId="47BC4EFC" w14:textId="10A06393" w:rsidR="009704DB" w:rsidRPr="000E0A1F" w:rsidRDefault="009704DB" w:rsidP="000E0A1F">
      <w:pPr>
        <w:pStyle w:val="BodyText"/>
        <w:jc w:val="both"/>
        <w:rPr>
          <w:rFonts w:eastAsia="Arial Unicode MS"/>
          <w:color w:val="000000"/>
          <w:bdr w:val="nil"/>
          <w:lang w:val="mk-MK"/>
        </w:rPr>
      </w:pPr>
      <w:r w:rsidRPr="009704DB">
        <w:rPr>
          <w:rFonts w:eastAsia="Arial Unicode MS"/>
          <w:color w:val="000000"/>
          <w:bdr w:val="nil"/>
          <w:lang w:val="mk-MK"/>
        </w:rPr>
        <w:t>Методолошката цел на прилогот е да покаже дека прашањето за вештачката интелигенција во корпоративното управување не треба да се анализира исклучиво низ призмата на технолошката ефикасност, туку и низ способноста на различните модели да обезбедат отчетност, контрола и институционална рамнотежа.</w:t>
      </w:r>
    </w:p>
    <w:p w14:paraId="5E5B682F" w14:textId="77777777" w:rsidR="000E0A1F" w:rsidRDefault="000E0A1F" w:rsidP="000E0A1F">
      <w:pPr>
        <w:pStyle w:val="BodyText"/>
        <w:jc w:val="both"/>
        <w:rPr>
          <w:rFonts w:eastAsia="Arial Unicode MS"/>
          <w:b/>
          <w:bCs/>
          <w:color w:val="000000"/>
          <w:bdr w:val="nil"/>
          <w:lang w:val="mk-MK"/>
        </w:rPr>
      </w:pPr>
    </w:p>
    <w:p w14:paraId="554E8BC8" w14:textId="7A104CB3" w:rsidR="000E0A1F" w:rsidRDefault="000E0A1F" w:rsidP="000E0A1F">
      <w:pPr>
        <w:pStyle w:val="BodyText"/>
        <w:jc w:val="both"/>
        <w:rPr>
          <w:rFonts w:eastAsia="Arial Unicode MS"/>
          <w:b/>
          <w:bCs/>
          <w:color w:val="000000"/>
          <w:bdr w:val="nil"/>
          <w:lang w:val="mk-MK"/>
        </w:rPr>
      </w:pPr>
      <w:r>
        <w:rPr>
          <w:rFonts w:eastAsia="Arial Unicode MS"/>
          <w:b/>
          <w:bCs/>
          <w:color w:val="000000"/>
          <w:bdr w:val="nil"/>
          <w:lang w:val="mk-MK"/>
        </w:rPr>
        <w:t>Напомена</w:t>
      </w:r>
    </w:p>
    <w:p w14:paraId="12EA6F59" w14:textId="36E8C7A3" w:rsidR="000E0A1F" w:rsidRDefault="002F425E" w:rsidP="000E0A1F">
      <w:pPr>
        <w:pStyle w:val="BodyText"/>
        <w:jc w:val="both"/>
        <w:rPr>
          <w:rFonts w:eastAsia="Arial Unicode MS"/>
          <w:color w:val="000000"/>
          <w:bdr w:val="nil"/>
          <w:lang w:val="mk-MK"/>
        </w:rPr>
      </w:pPr>
      <w:r w:rsidRPr="002F425E">
        <w:rPr>
          <w:rFonts w:eastAsia="Arial Unicode MS"/>
          <w:color w:val="000000"/>
          <w:bdr w:val="nil"/>
          <w:lang w:val="mk-MK"/>
        </w:rPr>
        <w:t>Прилогот има аналитичко и концептуално значење и не претставува апсолутна или нормативно фиксна класификација на механизмите на корпоративно управување. Неговата функција е да обезбеди споредбена рамка за разбирање на различните институционални капацитети на системите за управување во услови на дигитализација и алгоритамско посредување.</w:t>
      </w:r>
    </w:p>
    <w:p w14:paraId="211E376E" w14:textId="77777777" w:rsidR="002F425E" w:rsidRDefault="002F425E" w:rsidP="000E0A1F">
      <w:pPr>
        <w:pStyle w:val="BodyText"/>
        <w:jc w:val="both"/>
        <w:rPr>
          <w:rFonts w:eastAsia="Arial Unicode MS"/>
          <w:color w:val="000000"/>
          <w:bdr w:val="nil"/>
          <w:lang w:val="mk-MK"/>
        </w:rPr>
      </w:pPr>
    </w:p>
    <w:p w14:paraId="26446B7A" w14:textId="4FBFF3EB" w:rsidR="002F425E" w:rsidRDefault="005E2B17" w:rsidP="000E0A1F">
      <w:pPr>
        <w:pStyle w:val="BodyText"/>
        <w:jc w:val="both"/>
        <w:rPr>
          <w:rFonts w:eastAsia="Arial Unicode MS"/>
          <w:color w:val="000000"/>
          <w:bdr w:val="nil"/>
          <w:lang w:val="mk-MK"/>
        </w:rPr>
      </w:pPr>
      <w:r w:rsidRPr="005E2B17">
        <w:rPr>
          <w:rFonts w:eastAsia="Arial Unicode MS"/>
          <w:color w:val="000000"/>
          <w:bdr w:val="nil"/>
          <w:lang w:val="mk-MK"/>
        </w:rPr>
        <w:t>Категориите употребени во прилогот се поедноставени аналитички модели чија цел е да ги илустрираат структурните разлики помеѓу различните облици на корпоративно управување. Во практиката, современите компании често комбинираат повеќе механизми на управување, при што нивото на отчетност, транспарентност и можност за оспорување зависи од конкретниот институционален и правен контекст.</w:t>
      </w:r>
    </w:p>
    <w:p w14:paraId="77063267" w14:textId="77777777" w:rsidR="00D3606D" w:rsidRDefault="00D3606D" w:rsidP="000E0A1F">
      <w:pPr>
        <w:pStyle w:val="BodyText"/>
        <w:jc w:val="both"/>
        <w:rPr>
          <w:rFonts w:eastAsia="Arial Unicode MS"/>
          <w:color w:val="000000"/>
          <w:bdr w:val="nil"/>
          <w:lang w:val="mk-MK"/>
        </w:rPr>
      </w:pPr>
    </w:p>
    <w:p w14:paraId="02DF6D52" w14:textId="1AC6E954" w:rsidR="00D3606D" w:rsidRPr="00B01840" w:rsidRDefault="00D3606D" w:rsidP="000E0A1F">
      <w:pPr>
        <w:pStyle w:val="BodyText"/>
        <w:jc w:val="both"/>
        <w:rPr>
          <w:rFonts w:eastAsia="Arial Unicode MS"/>
          <w:color w:val="000000"/>
          <w:bdr w:val="nil"/>
          <w:lang w:val="en-US"/>
        </w:rPr>
      </w:pPr>
      <w:r w:rsidRPr="00D3606D">
        <w:rPr>
          <w:rFonts w:eastAsia="Arial Unicode MS"/>
          <w:color w:val="000000"/>
          <w:bdr w:val="nil"/>
          <w:lang w:val="mk-MK"/>
        </w:rPr>
        <w:t>Во рамките на ова истражување, прилогот е особено релевантен затоа што ја нагласува потенцијалната улога на учеството на работниците како заштитен механизам против прекумерна автоматизација и концентрација на корпоративната моќ. На тој начин, учеството на вработените не се прикажува само како социјално или трудово право, туку и како инструмент за подобрување на институционалната легитимност и корпоративната отчетност.</w:t>
      </w:r>
    </w:p>
    <w:p w14:paraId="13D81663" w14:textId="77777777" w:rsidR="000E0A1F" w:rsidRDefault="000E0A1F" w:rsidP="000E0A1F">
      <w:pPr>
        <w:pStyle w:val="BodyText"/>
        <w:jc w:val="both"/>
        <w:rPr>
          <w:rFonts w:eastAsia="Arial Unicode MS"/>
          <w:b/>
          <w:bCs/>
          <w:color w:val="000000"/>
          <w:bdr w:val="nil"/>
          <w:lang w:val="mk-MK"/>
        </w:rPr>
      </w:pPr>
    </w:p>
    <w:p w14:paraId="64F6769B" w14:textId="73B8C856" w:rsidR="000E0A1F" w:rsidRDefault="000E0A1F" w:rsidP="000E0A1F">
      <w:pPr>
        <w:pStyle w:val="BodyText"/>
        <w:jc w:val="both"/>
        <w:rPr>
          <w:rFonts w:eastAsia="Arial Unicode MS"/>
          <w:color w:val="000000"/>
          <w:bdr w:val="nil"/>
          <w:lang w:val="mk-MK"/>
        </w:rPr>
      </w:pPr>
      <w:r w:rsidRPr="008756F3">
        <w:rPr>
          <w:rFonts w:eastAsia="Arial Unicode MS"/>
          <w:b/>
          <w:bCs/>
          <w:color w:val="000000"/>
          <w:bdr w:val="nil"/>
          <w:lang w:val="mk-MK"/>
        </w:rPr>
        <w:t>Синтетички заклучок</w:t>
      </w:r>
      <w:r w:rsidRPr="00B16CDF">
        <w:rPr>
          <w:rFonts w:eastAsia="Arial Unicode MS"/>
          <w:color w:val="000000"/>
          <w:bdr w:val="nil"/>
          <w:lang w:val="mk-MK"/>
        </w:rPr>
        <w:t xml:space="preserve"> </w:t>
      </w:r>
    </w:p>
    <w:p w14:paraId="0D0E81B7" w14:textId="77777777" w:rsidR="00BD7236" w:rsidRDefault="00B01840" w:rsidP="000E0A1F">
      <w:pPr>
        <w:pStyle w:val="BodyText"/>
        <w:jc w:val="both"/>
        <w:rPr>
          <w:lang w:val="mk-MK"/>
        </w:rPr>
      </w:pPr>
      <w:r w:rsidRPr="00B01840">
        <w:rPr>
          <w:rFonts w:eastAsia="Arial Unicode MS"/>
          <w:color w:val="000000"/>
          <w:bdr w:val="nil"/>
          <w:lang w:val="mk-MK"/>
        </w:rPr>
        <w:t>Студијата на случај покажува дека различните модели на корпоративно управување создаваат различни нивоа на институционална заштита во услови на алгоритамско управување и употреба на вештачка интелигенција. Алгоритамските системи можат значително да ја зголемат ефикасноста и брзината на корпоративното одлучување, но истовремено создаваат ризици поврзани со непрозрачност, ограничена можност за контрола и концентрација на влијание.</w:t>
      </w:r>
      <w:r w:rsidR="00BD7236" w:rsidRPr="00BD7236">
        <w:t xml:space="preserve"> </w:t>
      </w:r>
    </w:p>
    <w:p w14:paraId="24FBB247" w14:textId="77777777" w:rsidR="00BD7236" w:rsidRDefault="00BD7236" w:rsidP="000E0A1F">
      <w:pPr>
        <w:pStyle w:val="BodyText"/>
        <w:jc w:val="both"/>
        <w:rPr>
          <w:lang w:val="mk-MK"/>
        </w:rPr>
      </w:pPr>
    </w:p>
    <w:p w14:paraId="481EE084" w14:textId="77777777" w:rsidR="000C3593" w:rsidRDefault="00BD7236" w:rsidP="000E0A1F">
      <w:pPr>
        <w:pStyle w:val="BodyText"/>
        <w:jc w:val="both"/>
        <w:rPr>
          <w:lang w:val="mk-MK"/>
        </w:rPr>
      </w:pPr>
      <w:r w:rsidRPr="00BD7236">
        <w:rPr>
          <w:rFonts w:eastAsia="Arial Unicode MS"/>
          <w:color w:val="000000"/>
          <w:bdr w:val="nil"/>
          <w:lang w:val="mk-MK"/>
        </w:rPr>
        <w:t>Од друга страна, моделите што вклучуваат човечка проценка, делиберација и учество на работниците покажуваат поголем капацитет за обезбедување отчетност, контекстуално одлучување и институционална рамнотежа. Особено значајно е тоа што учеството на работниците создава дополнителен механизам за оспорување и преиспитување на корпоративните одлуки, што претставува важен елемент во услови на автоматизирано управување.</w:t>
      </w:r>
      <w:r w:rsidR="000C3593" w:rsidRPr="000C3593">
        <w:t xml:space="preserve"> </w:t>
      </w:r>
    </w:p>
    <w:p w14:paraId="5BBFE0F0" w14:textId="77777777" w:rsidR="000C3593" w:rsidRDefault="000C3593" w:rsidP="000E0A1F">
      <w:pPr>
        <w:pStyle w:val="BodyText"/>
        <w:jc w:val="both"/>
        <w:rPr>
          <w:lang w:val="mk-MK"/>
        </w:rPr>
      </w:pPr>
    </w:p>
    <w:p w14:paraId="6FDCA91B" w14:textId="4D3C7553" w:rsidR="00B01840" w:rsidRPr="00507C3D" w:rsidRDefault="000C3593" w:rsidP="000E0A1F">
      <w:pPr>
        <w:pStyle w:val="BodyText"/>
        <w:jc w:val="both"/>
        <w:rPr>
          <w:rFonts w:eastAsia="Arial Unicode MS"/>
          <w:color w:val="000000"/>
          <w:bdr w:val="nil"/>
          <w:lang w:val="mk-MK"/>
        </w:rPr>
      </w:pPr>
      <w:r w:rsidRPr="000C3593">
        <w:rPr>
          <w:rFonts w:eastAsia="Arial Unicode MS"/>
          <w:color w:val="000000"/>
          <w:bdr w:val="nil"/>
          <w:lang w:val="mk-MK"/>
        </w:rPr>
        <w:t xml:space="preserve">Од перспектива на корпоративното управување, прилогот укажува дека идните модели на управување најверојатно ќе се развиваат кон хибридни структури во кои технолошката ефикасност ќе мора да биде комбинирана со механизми на човечка контрола, институционална отчетност и вклученост на различни засегнати страни. </w:t>
      </w:r>
    </w:p>
    <w:sectPr w:rsidR="00B01840" w:rsidRPr="00507C3D" w:rsidSect="00AC61DF">
      <w:pgSz w:w="11910" w:h="16840"/>
      <w:pgMar w:top="1440" w:right="1440" w:bottom="1440" w:left="1440" w:header="0" w:footer="1305" w:gutter="0"/>
      <w:pgNumType w:fmt="numberInDash" w:start="1"/>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8F66B70" w14:textId="77777777" w:rsidR="008C07EC" w:rsidRDefault="008C07EC" w:rsidP="00ED2B59">
      <w:r>
        <w:separator/>
      </w:r>
    </w:p>
  </w:endnote>
  <w:endnote w:type="continuationSeparator" w:id="0">
    <w:p w14:paraId="4478A017" w14:textId="77777777" w:rsidR="008C07EC" w:rsidRDefault="008C07EC" w:rsidP="00ED2B5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egoe UI">
    <w:panose1 w:val="020B0502040204020203"/>
    <w:charset w:val="00"/>
    <w:family w:val="swiss"/>
    <w:pitch w:val="variable"/>
    <w:sig w:usb0="E4002EFF" w:usb1="C000E47F"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OpenSymbol">
    <w:altName w:val="Yu Gothic"/>
    <w:charset w:val="80"/>
    <w:family w:val="auto"/>
    <w:pitch w:val="default"/>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Mangal">
    <w:panose1 w:val="00000400000000000000"/>
    <w:charset w:val="00"/>
    <w:family w:val="roman"/>
    <w:pitch w:val="variable"/>
    <w:sig w:usb0="00008003" w:usb1="00000000" w:usb2="00000000" w:usb3="00000000" w:csb0="00000001" w:csb1="00000000"/>
  </w:font>
  <w:font w:name="Calibri Light">
    <w:panose1 w:val="020F0302020204030204"/>
    <w:charset w:val="00"/>
    <w:family w:val="swiss"/>
    <w:pitch w:val="variable"/>
    <w:sig w:usb0="E4002EFF" w:usb1="C200247B" w:usb2="00000009" w:usb3="00000000" w:csb0="000001FF" w:csb1="00000000"/>
  </w:font>
  <w:font w:name="Helvetica">
    <w:panose1 w:val="020B0604020202020204"/>
    <w:charset w:val="00"/>
    <w:family w:val="swiss"/>
    <w:pitch w:val="variable"/>
    <w:sig w:usb0="E0002EFF" w:usb1="C000785B"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SimSun">
    <w:altName w:val="宋体"/>
    <w:panose1 w:val="02010600030101010101"/>
    <w:charset w:val="86"/>
    <w:family w:val="auto"/>
    <w:pitch w:val="variable"/>
    <w:sig w:usb0="00000203" w:usb1="288F0000" w:usb2="00000016" w:usb3="00000000" w:csb0="00040001" w:csb1="00000000"/>
  </w:font>
  <w:font w:name="ArialMT">
    <w:altName w:val="Yu Gothic"/>
    <w:charset w:val="80"/>
    <w:family w:val="swiss"/>
    <w:pitch w:val="default"/>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rPr>
        <w:rFonts w:ascii="Times New Roman" w:hAnsi="Times New Roman" w:cs="Times New Roman"/>
        <w:color w:val="auto"/>
        <w:sz w:val="20"/>
        <w:szCs w:val="20"/>
      </w:rPr>
      <w:id w:val="913594531"/>
      <w:docPartObj>
        <w:docPartGallery w:val="Page Numbers (Bottom of Page)"/>
        <w:docPartUnique/>
      </w:docPartObj>
    </w:sdtPr>
    <w:sdtEndPr>
      <w:rPr>
        <w:noProof/>
      </w:rPr>
    </w:sdtEndPr>
    <w:sdtContent>
      <w:p w14:paraId="217903B2" w14:textId="10852DCA" w:rsidR="00ED2B59" w:rsidRPr="0037339B" w:rsidRDefault="0037339B" w:rsidP="0037339B">
        <w:pPr>
          <w:pStyle w:val="Footer"/>
          <w:spacing w:before="240"/>
          <w:jc w:val="center"/>
          <w:rPr>
            <w:rFonts w:ascii="Times New Roman" w:hAnsi="Times New Roman" w:cs="Times New Roman"/>
            <w:color w:val="auto"/>
            <w:sz w:val="20"/>
            <w:szCs w:val="20"/>
          </w:rPr>
        </w:pPr>
        <w:r w:rsidRPr="0037339B">
          <w:rPr>
            <w:rFonts w:ascii="Times New Roman" w:hAnsi="Times New Roman" w:cs="Times New Roman"/>
            <w:color w:val="auto"/>
            <w:sz w:val="20"/>
            <w:szCs w:val="20"/>
          </w:rPr>
          <w:fldChar w:fldCharType="begin"/>
        </w:r>
        <w:r w:rsidRPr="0037339B">
          <w:rPr>
            <w:rFonts w:ascii="Times New Roman" w:hAnsi="Times New Roman" w:cs="Times New Roman"/>
            <w:color w:val="auto"/>
            <w:sz w:val="20"/>
            <w:szCs w:val="20"/>
          </w:rPr>
          <w:instrText xml:space="preserve"> PAGE   \* MERGEFORMAT </w:instrText>
        </w:r>
        <w:r w:rsidRPr="0037339B">
          <w:rPr>
            <w:rFonts w:ascii="Times New Roman" w:hAnsi="Times New Roman" w:cs="Times New Roman"/>
            <w:color w:val="auto"/>
            <w:sz w:val="20"/>
            <w:szCs w:val="20"/>
          </w:rPr>
          <w:fldChar w:fldCharType="separate"/>
        </w:r>
        <w:r w:rsidRPr="0037339B">
          <w:rPr>
            <w:rFonts w:ascii="Times New Roman" w:hAnsi="Times New Roman" w:cs="Times New Roman"/>
            <w:noProof/>
            <w:color w:val="auto"/>
            <w:sz w:val="20"/>
            <w:szCs w:val="20"/>
          </w:rPr>
          <w:t>2</w:t>
        </w:r>
        <w:r w:rsidRPr="0037339B">
          <w:rPr>
            <w:rFonts w:ascii="Times New Roman" w:hAnsi="Times New Roman" w:cs="Times New Roman"/>
            <w:noProof/>
            <w:color w:val="auto"/>
            <w:sz w:val="20"/>
            <w:szCs w:val="20"/>
          </w:rPr>
          <w:fldChar w:fldCharType="end"/>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69B48C" w14:textId="21AF876D" w:rsidR="00641FA5" w:rsidRPr="00AC61DF" w:rsidRDefault="00641FA5" w:rsidP="00AC61DF">
    <w:pPr>
      <w:pStyle w:val="Footer"/>
      <w:spacing w:before="240"/>
      <w:jc w:val="center"/>
      <w:rPr>
        <w:rFonts w:ascii="Times New Roman" w:hAnsi="Times New Roman" w:cs="Times New Roman"/>
        <w:color w:val="auto"/>
        <w:sz w:val="20"/>
        <w:szCs w:val="20"/>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B5C6115" w14:textId="77777777" w:rsidR="008C07EC" w:rsidRDefault="008C07EC" w:rsidP="00ED2B59">
      <w:r>
        <w:separator/>
      </w:r>
    </w:p>
  </w:footnote>
  <w:footnote w:type="continuationSeparator" w:id="0">
    <w:p w14:paraId="57CEFFBF" w14:textId="77777777" w:rsidR="008C07EC" w:rsidRDefault="008C07EC" w:rsidP="00ED2B59">
      <w:r>
        <w:continuationSeparator/>
      </w:r>
    </w:p>
  </w:footnote>
  <w:footnote w:id="1">
    <w:p w14:paraId="1FE5BAEE"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Gramsci, Antonio (1971). Prison Notebooks. Columbia University Press</w:t>
      </w:r>
      <w:r w:rsidRPr="0068632F">
        <w:rPr>
          <w:rFonts w:ascii="Times New Roman" w:hAnsi="Times New Roman" w:cs="Times New Roman"/>
          <w:lang w:val="mk-MK"/>
        </w:rPr>
        <w:t xml:space="preserve">, страница број </w:t>
      </w:r>
      <w:r w:rsidRPr="0068632F">
        <w:rPr>
          <w:rFonts w:ascii="Times New Roman" w:hAnsi="Times New Roman" w:cs="Times New Roman"/>
          <w:lang w:val="en-US"/>
        </w:rPr>
        <w:t>371</w:t>
      </w:r>
      <w:r w:rsidRPr="0068632F">
        <w:rPr>
          <w:rFonts w:ascii="Times New Roman" w:hAnsi="Times New Roman" w:cs="Times New Roman"/>
        </w:rPr>
        <w:t>.</w:t>
      </w:r>
    </w:p>
  </w:footnote>
  <w:footnote w:id="2">
    <w:p w14:paraId="4B40F974" w14:textId="3916FEA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На пример, Gelev, D. Expеrience </w:t>
      </w:r>
      <w:r w:rsidRPr="0068632F">
        <w:rPr>
          <w:rFonts w:ascii="Times New Roman" w:hAnsi="Times New Roman" w:cs="Times New Roman"/>
          <w:lang w:val="en-US"/>
        </w:rPr>
        <w:t>w</w:t>
      </w:r>
      <w:r w:rsidRPr="0068632F">
        <w:rPr>
          <w:rFonts w:ascii="Times New Roman" w:hAnsi="Times New Roman" w:cs="Times New Roman"/>
          <w:lang w:val="mk-MK"/>
        </w:rPr>
        <w:t xml:space="preserve">ith Harmonisation </w:t>
      </w:r>
      <w:r w:rsidRPr="0068632F">
        <w:rPr>
          <w:rFonts w:ascii="Times New Roman" w:hAnsi="Times New Roman" w:cs="Times New Roman"/>
          <w:lang w:val="en-US"/>
        </w:rPr>
        <w:t>o</w:t>
      </w:r>
      <w:r w:rsidRPr="0068632F">
        <w:rPr>
          <w:rFonts w:ascii="Times New Roman" w:hAnsi="Times New Roman" w:cs="Times New Roman"/>
          <w:lang w:val="mk-MK"/>
        </w:rPr>
        <w:t xml:space="preserve">f Laws </w:t>
      </w:r>
      <w:r w:rsidRPr="0068632F">
        <w:rPr>
          <w:rFonts w:ascii="Times New Roman" w:hAnsi="Times New Roman" w:cs="Times New Roman"/>
          <w:lang w:val="en-US"/>
        </w:rPr>
        <w:t>o</w:t>
      </w:r>
      <w:r w:rsidRPr="0068632F">
        <w:rPr>
          <w:rFonts w:ascii="Times New Roman" w:hAnsi="Times New Roman" w:cs="Times New Roman"/>
          <w:lang w:val="mk-MK"/>
        </w:rPr>
        <w:t xml:space="preserve">f Countries </w:t>
      </w:r>
      <w:r w:rsidRPr="0068632F">
        <w:rPr>
          <w:rFonts w:ascii="Times New Roman" w:hAnsi="Times New Roman" w:cs="Times New Roman"/>
          <w:lang w:val="en-US"/>
        </w:rPr>
        <w:t>f</w:t>
      </w:r>
      <w:r w:rsidRPr="0068632F">
        <w:rPr>
          <w:rFonts w:ascii="Times New Roman" w:hAnsi="Times New Roman" w:cs="Times New Roman"/>
          <w:lang w:val="mk-MK"/>
        </w:rPr>
        <w:t xml:space="preserve">rom </w:t>
      </w:r>
      <w:r w:rsidRPr="0068632F">
        <w:rPr>
          <w:rFonts w:ascii="Times New Roman" w:hAnsi="Times New Roman" w:cs="Times New Roman"/>
          <w:lang w:val="en-US"/>
        </w:rPr>
        <w:t>t</w:t>
      </w:r>
      <w:r w:rsidRPr="0068632F">
        <w:rPr>
          <w:rFonts w:ascii="Times New Roman" w:hAnsi="Times New Roman" w:cs="Times New Roman"/>
          <w:lang w:val="mk-MK"/>
        </w:rPr>
        <w:t xml:space="preserve">he Former Yugoslavia </w:t>
      </w:r>
      <w:r w:rsidRPr="0068632F">
        <w:rPr>
          <w:rFonts w:ascii="Times New Roman" w:hAnsi="Times New Roman" w:cs="Times New Roman"/>
          <w:lang w:val="en-US"/>
        </w:rPr>
        <w:t>w</w:t>
      </w:r>
      <w:r w:rsidRPr="0068632F">
        <w:rPr>
          <w:rFonts w:ascii="Times New Roman" w:hAnsi="Times New Roman" w:cs="Times New Roman"/>
          <w:lang w:val="mk-MK"/>
        </w:rPr>
        <w:t>ith European Union Law</w:t>
      </w:r>
      <w:r w:rsidRPr="0068632F">
        <w:rPr>
          <w:rFonts w:ascii="Times New Roman" w:hAnsi="Times New Roman" w:cs="Times New Roman"/>
          <w:lang w:val="en-US"/>
        </w:rPr>
        <w:t xml:space="preserve">, </w:t>
      </w:r>
      <w:r w:rsidRPr="0068632F">
        <w:rPr>
          <w:rFonts w:ascii="Times New Roman" w:hAnsi="Times New Roman" w:cs="Times New Roman"/>
          <w:lang w:val="mk-MK"/>
        </w:rPr>
        <w:t xml:space="preserve">достапно на: </w:t>
      </w:r>
      <w:hyperlink r:id="rId1" w:history="1">
        <w:r w:rsidRPr="0068632F">
          <w:rPr>
            <w:rStyle w:val="Hyperlink"/>
            <w:rFonts w:ascii="Times New Roman" w:hAnsi="Times New Roman" w:cs="Times New Roman"/>
          </w:rPr>
          <w:t>Research-Gate</w:t>
        </w:r>
      </w:hyperlink>
      <w:r w:rsidRPr="0068632F">
        <w:rPr>
          <w:rFonts w:ascii="Times New Roman" w:hAnsi="Times New Roman" w:cs="Times New Roman"/>
          <w:lang w:val="en-US"/>
        </w:rPr>
        <w:t xml:space="preserve">, </w:t>
      </w:r>
      <w:r w:rsidRPr="0068632F">
        <w:rPr>
          <w:rFonts w:ascii="Times New Roman" w:hAnsi="Times New Roman" w:cs="Times New Roman"/>
          <w:lang w:val="mk-MK"/>
        </w:rPr>
        <w:t xml:space="preserve">број на страници 11-22. </w:t>
      </w:r>
    </w:p>
  </w:footnote>
  <w:footnote w:id="3">
    <w:p w14:paraId="16AEAB70"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Дел од тие предизвици се опфатени и анализирани во </w:t>
      </w:r>
      <w:r w:rsidRPr="0068632F">
        <w:rPr>
          <w:rFonts w:ascii="Times New Roman" w:hAnsi="Times New Roman" w:cs="Times New Roman"/>
        </w:rPr>
        <w:t xml:space="preserve">Koevski, G., &amp; Spasevski, D. (2022). Latest Trends </w:t>
      </w:r>
      <w:r w:rsidRPr="0068632F">
        <w:rPr>
          <w:rFonts w:ascii="Times New Roman" w:hAnsi="Times New Roman" w:cs="Times New Roman"/>
          <w:lang w:val="en-US"/>
        </w:rPr>
        <w:t>i</w:t>
      </w:r>
      <w:r w:rsidRPr="0068632F">
        <w:rPr>
          <w:rFonts w:ascii="Times New Roman" w:hAnsi="Times New Roman" w:cs="Times New Roman"/>
        </w:rPr>
        <w:t xml:space="preserve">n </w:t>
      </w:r>
      <w:r w:rsidRPr="0068632F">
        <w:rPr>
          <w:rFonts w:ascii="Times New Roman" w:hAnsi="Times New Roman" w:cs="Times New Roman"/>
          <w:lang w:val="en-US"/>
        </w:rPr>
        <w:t>t</w:t>
      </w:r>
      <w:r w:rsidRPr="0068632F">
        <w:rPr>
          <w:rFonts w:ascii="Times New Roman" w:hAnsi="Times New Roman" w:cs="Times New Roman"/>
        </w:rPr>
        <w:t xml:space="preserve">he Harmonization </w:t>
      </w:r>
      <w:r w:rsidRPr="0068632F">
        <w:rPr>
          <w:rFonts w:ascii="Times New Roman" w:hAnsi="Times New Roman" w:cs="Times New Roman"/>
          <w:lang w:val="en-US"/>
        </w:rPr>
        <w:t>o</w:t>
      </w:r>
      <w:r w:rsidRPr="0068632F">
        <w:rPr>
          <w:rFonts w:ascii="Times New Roman" w:hAnsi="Times New Roman" w:cs="Times New Roman"/>
        </w:rPr>
        <w:t xml:space="preserve">f Macedonian Company Law </w:t>
      </w:r>
      <w:r w:rsidRPr="0068632F">
        <w:rPr>
          <w:rFonts w:ascii="Times New Roman" w:hAnsi="Times New Roman" w:cs="Times New Roman"/>
          <w:lang w:val="en-US"/>
        </w:rPr>
        <w:t>w</w:t>
      </w:r>
      <w:r w:rsidRPr="0068632F">
        <w:rPr>
          <w:rFonts w:ascii="Times New Roman" w:hAnsi="Times New Roman" w:cs="Times New Roman"/>
        </w:rPr>
        <w:t xml:space="preserve">ith </w:t>
      </w:r>
      <w:r w:rsidRPr="0068632F">
        <w:rPr>
          <w:rFonts w:ascii="Times New Roman" w:hAnsi="Times New Roman" w:cs="Times New Roman"/>
          <w:lang w:val="en-US"/>
        </w:rPr>
        <w:t>t</w:t>
      </w:r>
      <w:r w:rsidRPr="0068632F">
        <w:rPr>
          <w:rFonts w:ascii="Times New Roman" w:hAnsi="Times New Roman" w:cs="Times New Roman"/>
        </w:rPr>
        <w:t xml:space="preserve">he Relevant Acquis Communautaire </w:t>
      </w:r>
      <w:r w:rsidRPr="0068632F">
        <w:rPr>
          <w:rFonts w:ascii="Times New Roman" w:hAnsi="Times New Roman" w:cs="Times New Roman"/>
          <w:lang w:val="en-US"/>
        </w:rPr>
        <w:t>o</w:t>
      </w:r>
      <w:r w:rsidRPr="0068632F">
        <w:rPr>
          <w:rFonts w:ascii="Times New Roman" w:hAnsi="Times New Roman" w:cs="Times New Roman"/>
        </w:rPr>
        <w:t xml:space="preserve">f </w:t>
      </w:r>
      <w:r w:rsidRPr="0068632F">
        <w:rPr>
          <w:rFonts w:ascii="Times New Roman" w:hAnsi="Times New Roman" w:cs="Times New Roman"/>
          <w:lang w:val="en-US"/>
        </w:rPr>
        <w:t>t</w:t>
      </w:r>
      <w:r w:rsidRPr="0068632F">
        <w:rPr>
          <w:rFonts w:ascii="Times New Roman" w:hAnsi="Times New Roman" w:cs="Times New Roman"/>
        </w:rPr>
        <w:t>he European Union. Collection Papers Actualities Civ. &amp; Com. L. &amp; Legal Prac., 32.</w:t>
      </w:r>
    </w:p>
  </w:footnote>
  <w:footnote w:id="4">
    <w:p w14:paraId="45F3A86D" w14:textId="4F4A4F3F"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5086B" w:rsidRPr="0068632F">
        <w:rPr>
          <w:rFonts w:ascii="Times New Roman" w:hAnsi="Times New Roman" w:cs="Times New Roman"/>
          <w:lang w:val="mk-MK"/>
        </w:rPr>
        <w:t>Повеќе во</w:t>
      </w:r>
      <w:r w:rsidRPr="0068632F">
        <w:rPr>
          <w:rFonts w:ascii="Times New Roman" w:hAnsi="Times New Roman" w:cs="Times New Roman"/>
          <w:lang w:val="mk-MK"/>
        </w:rPr>
        <w:t xml:space="preserve"> </w:t>
      </w:r>
      <w:r w:rsidRPr="0068632F">
        <w:rPr>
          <w:rFonts w:ascii="Times New Roman" w:hAnsi="Times New Roman" w:cs="Times New Roman"/>
        </w:rPr>
        <w:t>Горан Коевски</w:t>
      </w:r>
      <w:r w:rsidRPr="0068632F">
        <w:rPr>
          <w:rFonts w:ascii="Times New Roman" w:hAnsi="Times New Roman" w:cs="Times New Roman"/>
          <w:lang w:val="mk-MK"/>
        </w:rPr>
        <w:t>,</w:t>
      </w:r>
      <w:r w:rsidRPr="0068632F">
        <w:rPr>
          <w:rFonts w:ascii="Times New Roman" w:hAnsi="Times New Roman" w:cs="Times New Roman"/>
        </w:rPr>
        <w:t xml:space="preserve"> </w:t>
      </w:r>
      <w:r w:rsidR="003A2FD9" w:rsidRPr="0068632F">
        <w:rPr>
          <w:rFonts w:ascii="Times New Roman" w:hAnsi="Times New Roman" w:cs="Times New Roman"/>
          <w:lang w:val="mk-MK"/>
        </w:rPr>
        <w:t>В. Х-В.</w:t>
      </w:r>
      <w:r w:rsidRPr="0068632F">
        <w:rPr>
          <w:rFonts w:ascii="Times New Roman" w:hAnsi="Times New Roman" w:cs="Times New Roman"/>
        </w:rPr>
        <w:t xml:space="preserve"> Марковска</w:t>
      </w:r>
      <w:r w:rsidRPr="0068632F">
        <w:rPr>
          <w:rFonts w:ascii="Times New Roman" w:hAnsi="Times New Roman" w:cs="Times New Roman"/>
          <w:lang w:val="mk-MK"/>
        </w:rPr>
        <w:t>,</w:t>
      </w:r>
      <w:r w:rsidRPr="0068632F">
        <w:rPr>
          <w:rFonts w:ascii="Times New Roman" w:hAnsi="Times New Roman" w:cs="Times New Roman"/>
        </w:rPr>
        <w:t xml:space="preserve"> К</w:t>
      </w:r>
      <w:r w:rsidR="003A2FD9" w:rsidRPr="0068632F">
        <w:rPr>
          <w:rFonts w:ascii="Times New Roman" w:hAnsi="Times New Roman" w:cs="Times New Roman"/>
          <w:lang w:val="mk-MK"/>
        </w:rPr>
        <w:t>.</w:t>
      </w:r>
      <w:r w:rsidRPr="0068632F">
        <w:rPr>
          <w:rFonts w:ascii="Times New Roman" w:hAnsi="Times New Roman" w:cs="Times New Roman"/>
        </w:rPr>
        <w:t xml:space="preserve"> Нејков</w:t>
      </w:r>
      <w:r w:rsidRPr="0068632F">
        <w:rPr>
          <w:rFonts w:ascii="Times New Roman" w:hAnsi="Times New Roman" w:cs="Times New Roman"/>
          <w:lang w:val="mk-MK"/>
        </w:rPr>
        <w:t>,</w:t>
      </w:r>
      <w:r w:rsidRPr="0068632F">
        <w:rPr>
          <w:rFonts w:ascii="Times New Roman" w:hAnsi="Times New Roman" w:cs="Times New Roman"/>
        </w:rPr>
        <w:t xml:space="preserve"> З</w:t>
      </w:r>
      <w:r w:rsidR="003A2FD9" w:rsidRPr="0068632F">
        <w:rPr>
          <w:rFonts w:ascii="Times New Roman" w:hAnsi="Times New Roman" w:cs="Times New Roman"/>
          <w:lang w:val="mk-MK"/>
        </w:rPr>
        <w:t>.</w:t>
      </w:r>
      <w:r w:rsidRPr="0068632F">
        <w:rPr>
          <w:rFonts w:ascii="Times New Roman" w:hAnsi="Times New Roman" w:cs="Times New Roman"/>
        </w:rPr>
        <w:t xml:space="preserve"> Семенкова</w:t>
      </w:r>
      <w:r w:rsidRPr="0068632F">
        <w:rPr>
          <w:rFonts w:ascii="Times New Roman" w:hAnsi="Times New Roman" w:cs="Times New Roman"/>
          <w:lang w:val="mk-MK"/>
        </w:rPr>
        <w:t>,</w:t>
      </w:r>
      <w:r w:rsidRPr="0068632F">
        <w:rPr>
          <w:rFonts w:ascii="Times New Roman" w:hAnsi="Times New Roman" w:cs="Times New Roman"/>
        </w:rPr>
        <w:t xml:space="preserve"> И</w:t>
      </w:r>
      <w:r w:rsidR="003A2FD9" w:rsidRPr="0068632F">
        <w:rPr>
          <w:rFonts w:ascii="Times New Roman" w:hAnsi="Times New Roman" w:cs="Times New Roman"/>
          <w:lang w:val="mk-MK"/>
        </w:rPr>
        <w:t>.</w:t>
      </w:r>
      <w:r w:rsidRPr="0068632F">
        <w:rPr>
          <w:rFonts w:ascii="Times New Roman" w:hAnsi="Times New Roman" w:cs="Times New Roman"/>
        </w:rPr>
        <w:t xml:space="preserve"> Мишев</w:t>
      </w:r>
      <w:r w:rsidRPr="0068632F">
        <w:rPr>
          <w:rFonts w:ascii="Times New Roman" w:hAnsi="Times New Roman" w:cs="Times New Roman"/>
          <w:lang w:val="mk-MK"/>
        </w:rPr>
        <w:t xml:space="preserve"> (2011). </w:t>
      </w:r>
      <w:r w:rsidRPr="0068632F">
        <w:rPr>
          <w:rFonts w:ascii="Times New Roman" w:hAnsi="Times New Roman" w:cs="Times New Roman"/>
        </w:rPr>
        <w:t>Прирачник за корпоративно управување во македонските акционерски друштва - Второ издание</w:t>
      </w:r>
      <w:r w:rsidRPr="0068632F">
        <w:rPr>
          <w:rFonts w:ascii="Times New Roman" w:hAnsi="Times New Roman" w:cs="Times New Roman"/>
          <w:lang w:val="mk-MK"/>
        </w:rPr>
        <w:t>, страници број 11-13.</w:t>
      </w:r>
    </w:p>
  </w:footnote>
  <w:footnote w:id="5">
    <w:p w14:paraId="2F91350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Коевски Г. (2011), страница број 11.</w:t>
      </w:r>
    </w:p>
  </w:footnote>
  <w:footnote w:id="6">
    <w:p w14:paraId="28898750"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Делумно опишани во </w:t>
      </w:r>
      <w:r w:rsidRPr="0068632F">
        <w:rPr>
          <w:rFonts w:ascii="Times New Roman" w:hAnsi="Times New Roman" w:cs="Times New Roman"/>
        </w:rPr>
        <w:t>Griffith, D. A., Cavusgil, S. T., &amp; Xu, S. (2008). Emerging themes in international business research. Journal of International Business Studies, 39, 1220 –1235.</w:t>
      </w:r>
    </w:p>
  </w:footnote>
  <w:footnote w:id="7">
    <w:p w14:paraId="3F18CA60" w14:textId="0F95490E"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F2DFA" w:rsidRPr="0068632F">
        <w:rPr>
          <w:rFonts w:ascii="Times New Roman" w:hAnsi="Times New Roman" w:cs="Times New Roman"/>
          <w:lang w:val="mk-MK"/>
        </w:rPr>
        <w:t>П</w:t>
      </w:r>
      <w:r w:rsidR="001A7358" w:rsidRPr="0068632F">
        <w:rPr>
          <w:rFonts w:ascii="Times New Roman" w:hAnsi="Times New Roman" w:cs="Times New Roman"/>
          <w:lang w:val="mk-MK"/>
        </w:rPr>
        <w:t>ошироко во</w:t>
      </w:r>
      <w:r w:rsidRPr="0068632F">
        <w:rPr>
          <w:rFonts w:ascii="Times New Roman" w:hAnsi="Times New Roman" w:cs="Times New Roman"/>
          <w:lang w:val="mk-MK"/>
        </w:rPr>
        <w:t xml:space="preserve"> </w:t>
      </w:r>
      <w:r w:rsidRPr="0068632F">
        <w:rPr>
          <w:rFonts w:ascii="Times New Roman" w:hAnsi="Times New Roman" w:cs="Times New Roman"/>
        </w:rPr>
        <w:t>Koevski, G. (2008). The Contemporary Trends in Development of Macedonian Company Law and National Corporate Governance Model. Collection Papers Actualities Civ. &amp; Com. L. &amp; Legal Prac., 192.</w:t>
      </w:r>
    </w:p>
  </w:footnote>
  <w:footnote w:id="8">
    <w:p w14:paraId="35189533" w14:textId="77777777" w:rsidR="00ED2B59" w:rsidRPr="0068632F" w:rsidRDefault="00ED2B59" w:rsidP="00F01453">
      <w:pPr>
        <w:adjustRightInd w:val="0"/>
        <w:jc w:val="both"/>
        <w:rPr>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Детално објаснето што тоа значи во светски рамки во </w:t>
      </w:r>
      <w:r w:rsidRPr="0068632F">
        <w:rPr>
          <w:sz w:val="20"/>
          <w:szCs w:val="20"/>
        </w:rPr>
        <w:t xml:space="preserve">Farnsworth, E. A. (1967). „Значењето“ во </w:t>
      </w:r>
      <w:r w:rsidRPr="0068632F">
        <w:rPr>
          <w:sz w:val="20"/>
          <w:szCs w:val="20"/>
          <w:lang w:val="mk-MK"/>
        </w:rPr>
        <w:t xml:space="preserve">трговското </w:t>
      </w:r>
      <w:r w:rsidRPr="0068632F">
        <w:rPr>
          <w:sz w:val="20"/>
          <w:szCs w:val="20"/>
        </w:rPr>
        <w:t>право. The Yale Law Journal, 76(5), 939-965.</w:t>
      </w:r>
    </w:p>
  </w:footnote>
  <w:footnote w:id="9">
    <w:p w14:paraId="0B209495" w14:textId="1F5D9AF5"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A60849" w:rsidRPr="0068632F">
        <w:rPr>
          <w:sz w:val="20"/>
          <w:szCs w:val="20"/>
          <w:lang w:val="mk-MK"/>
        </w:rPr>
        <w:t>На пример,</w:t>
      </w:r>
      <w:r w:rsidRPr="0068632F">
        <w:rPr>
          <w:sz w:val="20"/>
          <w:szCs w:val="20"/>
          <w:lang w:val="mk-MK"/>
        </w:rPr>
        <w:t xml:space="preserve"> </w:t>
      </w:r>
      <w:r w:rsidRPr="0068632F">
        <w:rPr>
          <w:bCs/>
          <w:sz w:val="20"/>
          <w:szCs w:val="20"/>
          <w:lang w:val="en-US"/>
        </w:rPr>
        <w:t>Minsky, Hyman, and Charles Whalen. 1996. “Economic Insecurity and the Institutional Prerequisites for Successful Capitalism.” 2 Journal of Post-Keynesian Economics 155.</w:t>
      </w:r>
    </w:p>
  </w:footnote>
  <w:footnote w:id="10">
    <w:p w14:paraId="7BF0BD71" w14:textId="16C812A9"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60849" w:rsidRPr="0068632F">
        <w:rPr>
          <w:rFonts w:ascii="Times New Roman" w:hAnsi="Times New Roman" w:cs="Times New Roman"/>
          <w:lang w:val="mk-MK"/>
        </w:rPr>
        <w:t>Анали</w:t>
      </w:r>
      <w:r w:rsidR="001449EF" w:rsidRPr="0068632F">
        <w:rPr>
          <w:rFonts w:ascii="Times New Roman" w:hAnsi="Times New Roman" w:cs="Times New Roman"/>
          <w:lang w:val="mk-MK"/>
        </w:rPr>
        <w:t>з</w:t>
      </w:r>
      <w:r w:rsidR="00A60849" w:rsidRPr="0068632F">
        <w:rPr>
          <w:rFonts w:ascii="Times New Roman" w:hAnsi="Times New Roman" w:cs="Times New Roman"/>
          <w:lang w:val="mk-MK"/>
        </w:rPr>
        <w:t>ирано во</w:t>
      </w:r>
      <w:r w:rsidRPr="0068632F">
        <w:rPr>
          <w:rFonts w:ascii="Times New Roman" w:hAnsi="Times New Roman" w:cs="Times New Roman"/>
          <w:lang w:val="mk-MK"/>
        </w:rPr>
        <w:t xml:space="preserve"> Ribstein, L. E. (2004). Why Corporations?. Berkeley Bus. LJ, 1, 183.</w:t>
      </w:r>
    </w:p>
  </w:footnote>
  <w:footnote w:id="11">
    <w:p w14:paraId="5DA0836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Goulding, S. (2020). Право на трговски друштва.</w:t>
      </w:r>
      <w:r w:rsidRPr="0068632F">
        <w:rPr>
          <w:rFonts w:ascii="Times New Roman" w:hAnsi="Times New Roman" w:cs="Times New Roman"/>
          <w:lang w:val="en-US"/>
        </w:rPr>
        <w:t xml:space="preserve"> Cavendish Publishing Limited.</w:t>
      </w:r>
    </w:p>
  </w:footnote>
  <w:footnote w:id="12">
    <w:p w14:paraId="71DEAB4F" w14:textId="096684EE"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Sicard, G. (2015). Потекло на корпорациите: Мелниците од Тулуз во средниот век. </w:t>
      </w:r>
      <w:r w:rsidRPr="0068632F">
        <w:rPr>
          <w:rFonts w:ascii="Times New Roman" w:hAnsi="Times New Roman" w:cs="Times New Roman"/>
          <w:lang w:val="mk-MK"/>
        </w:rPr>
        <w:t>Yale University Press</w:t>
      </w:r>
      <w:r w:rsidR="00DE119B" w:rsidRPr="0068632F">
        <w:rPr>
          <w:rFonts w:ascii="Times New Roman" w:hAnsi="Times New Roman" w:cs="Times New Roman"/>
          <w:lang w:val="mk-MK"/>
        </w:rPr>
        <w:t>.</w:t>
      </w:r>
    </w:p>
  </w:footnote>
  <w:footnote w:id="13">
    <w:p w14:paraId="065EF72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Ribstein, L. E. (2004).</w:t>
      </w:r>
    </w:p>
  </w:footnote>
  <w:footnote w:id="14">
    <w:p w14:paraId="043D4E6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Илустративен приказ што одговара на овој опис во однос на малите и средни претпријатија може да се види во </w:t>
      </w:r>
      <w:r w:rsidRPr="0068632F">
        <w:rPr>
          <w:rFonts w:ascii="Times New Roman" w:hAnsi="Times New Roman" w:cs="Times New Roman"/>
          <w:bCs/>
          <w:lang w:val="mk-MK"/>
        </w:rPr>
        <w:t>Lu, J. W., &amp; Beamish, P. W. (2001). The internationalization and performance of SMEs. Strategic Management Journal, 22(6/7), 565–586.</w:t>
      </w:r>
    </w:p>
  </w:footnote>
  <w:footnote w:id="15">
    <w:p w14:paraId="3EF53263"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Weil, David. 2014. The Fissured Workplace: Why Work Became So Bad for So Many and What Can Be Done to Improve It. Harvard University Press. </w:t>
      </w:r>
    </w:p>
  </w:footnote>
  <w:footnote w:id="16">
    <w:p w14:paraId="5F9AD48F" w14:textId="147B0AEE"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w:t>
      </w:r>
      <w:r w:rsidRPr="0068632F">
        <w:rPr>
          <w:bCs/>
          <w:sz w:val="20"/>
          <w:szCs w:val="20"/>
          <w:lang w:val="en-US"/>
        </w:rPr>
        <w:t>Lazonick, William, and Jang-Sup Shin. 2020. Predatory Value Extraction: How the Looting of the Business Corporation Became the US Norm and How Sustainable Prosperity Can be Restored. Oxford University</w:t>
      </w:r>
      <w:r w:rsidR="005044E1" w:rsidRPr="0068632F">
        <w:rPr>
          <w:bCs/>
          <w:sz w:val="20"/>
          <w:szCs w:val="20"/>
          <w:lang w:val="en-US"/>
        </w:rPr>
        <w:t>.</w:t>
      </w:r>
      <w:r w:rsidRPr="0068632F">
        <w:rPr>
          <w:bCs/>
          <w:sz w:val="20"/>
          <w:szCs w:val="20"/>
          <w:lang w:val="en-US"/>
        </w:rPr>
        <w:t xml:space="preserve"> </w:t>
      </w:r>
    </w:p>
  </w:footnote>
  <w:footnote w:id="17">
    <w:p w14:paraId="51D94E8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Lin, Ken-Hou. 2016. “The Rise of Finance and Firm Employment Dynamics.” 27 Organizational Science 972. </w:t>
      </w:r>
    </w:p>
  </w:footnote>
  <w:footnote w:id="18">
    <w:p w14:paraId="18A7B146"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Lin, Ken-Hou, and Donald Tomaskovic-Devey. 2013. “Financialization and U.S. Income Inequality, 1970–2008.” 118 American Journal of Sociology 1284. </w:t>
      </w:r>
      <w:hyperlink r:id="rId2" w:history="1">
        <w:r w:rsidRPr="0068632F">
          <w:rPr>
            <w:rStyle w:val="Hyperlink"/>
            <w:bCs/>
            <w:sz w:val="20"/>
            <w:szCs w:val="20"/>
            <w:lang w:val="en-US"/>
          </w:rPr>
          <w:t>https://doi:.org/10.1086/669499</w:t>
        </w:r>
      </w:hyperlink>
      <w:r w:rsidRPr="0068632F">
        <w:rPr>
          <w:bCs/>
          <w:sz w:val="20"/>
          <w:szCs w:val="20"/>
          <w:lang w:val="en-US"/>
        </w:rPr>
        <w:t xml:space="preserve">. </w:t>
      </w:r>
    </w:p>
  </w:footnote>
  <w:footnote w:id="19">
    <w:p w14:paraId="74487E6D"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Bleeke, J., &amp; Ernst, D. (1993). Collaborating to compete: Using strategic alliances and acquisitions in the global marketplace. New York: Wiley. </w:t>
      </w:r>
    </w:p>
  </w:footnote>
  <w:footnote w:id="20">
    <w:p w14:paraId="1C271E0D" w14:textId="05733221"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Barradas, Ricardo. 2019. “Financialization and Neoliberalism and the Fall in the Labor Share: A Panel Data Econometric Analysis for the European Union Countries.” 51 Review of Radical Political Economics 383. </w:t>
      </w:r>
    </w:p>
  </w:footnote>
  <w:footnote w:id="21">
    <w:p w14:paraId="23B89557" w14:textId="561E58B1"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Hamel, G. (1991). Competition for competence and inter-partner learning within international strategic alliances. Strategic Management Journal, 12(S1), 83–103.</w:t>
      </w:r>
    </w:p>
  </w:footnote>
  <w:footnote w:id="22">
    <w:p w14:paraId="7B46026B"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за опис на моделот што се применува во Германија, види </w:t>
      </w:r>
      <w:r w:rsidRPr="0068632F">
        <w:rPr>
          <w:bCs/>
          <w:sz w:val="20"/>
          <w:szCs w:val="20"/>
          <w:lang w:val="mk-MK"/>
        </w:rPr>
        <w:t xml:space="preserve">Addison, John. 2009. The Economics of Codetermination: Lessons from the German Experience. Palgrave Macmillan. </w:t>
      </w:r>
    </w:p>
  </w:footnote>
  <w:footnote w:id="23">
    <w:p w14:paraId="47D7BE9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bCs/>
          <w:lang w:val="mk-MK"/>
        </w:rPr>
        <w:t>Bodie, Matt. 2016. “Income Inequality and Corporate Structure.” 45 Stetson Law Review 69.</w:t>
      </w:r>
    </w:p>
  </w:footnote>
  <w:footnote w:id="24">
    <w:p w14:paraId="3AB70969"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mk-MK"/>
        </w:rPr>
        <w:t xml:space="preserve">Farber, Henry, Daniel Herbst, Ilyana Kuziemko, and Suresh Naidu. 2018. “Unions and Inequality Over the Twentieth Century: New Evidence from Survey Data.” National Bureau of Economic Research Working Paper No. 24587, Cambridge, Massachusetts, May 2018. </w:t>
      </w:r>
      <w:hyperlink r:id="rId3" w:history="1">
        <w:r w:rsidRPr="0068632F">
          <w:rPr>
            <w:rStyle w:val="Hyperlink"/>
            <w:bCs/>
            <w:sz w:val="20"/>
            <w:szCs w:val="20"/>
            <w:lang w:val="mk-MK"/>
          </w:rPr>
          <w:t>https://doi.org/10.3386/w24587</w:t>
        </w:r>
      </w:hyperlink>
      <w:r w:rsidRPr="0068632F">
        <w:rPr>
          <w:bCs/>
          <w:sz w:val="20"/>
          <w:szCs w:val="20"/>
          <w:lang w:val="mk-MK"/>
        </w:rPr>
        <w:t xml:space="preserve">.  </w:t>
      </w:r>
    </w:p>
  </w:footnote>
  <w:footnote w:id="25">
    <w:p w14:paraId="1AF0CC3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Коевски Г. (2011), страница број 11.</w:t>
      </w:r>
    </w:p>
  </w:footnote>
  <w:footnote w:id="26">
    <w:p w14:paraId="331AB4C5" w14:textId="1B70A934" w:rsidR="008473BE" w:rsidRPr="0068632F" w:rsidRDefault="008473BE"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082C8A" w:rsidRPr="0068632F">
        <w:rPr>
          <w:sz w:val="20"/>
          <w:szCs w:val="20"/>
          <w:lang w:val="mk-MK"/>
        </w:rPr>
        <w:t xml:space="preserve">Види </w:t>
      </w:r>
      <w:r w:rsidR="00082C8A" w:rsidRPr="0068632F">
        <w:rPr>
          <w:bCs/>
          <w:sz w:val="20"/>
          <w:szCs w:val="20"/>
          <w:lang w:val="en-US"/>
        </w:rPr>
        <w:t xml:space="preserve">Whittaker, Meredith. 2020. “‘Those in Power Won’t Give Up Willingly:’ Veena Dubal and Meredith Whittaker on the Future of Organizing Under Prop 22.” OneZero (blog), November 5, 2020. </w:t>
      </w:r>
      <w:hyperlink r:id="rId4" w:history="1">
        <w:r w:rsidR="00082C8A" w:rsidRPr="0068632F">
          <w:rPr>
            <w:rStyle w:val="Hyperlink"/>
            <w:bCs/>
            <w:sz w:val="20"/>
            <w:szCs w:val="20"/>
            <w:lang w:val="en-US"/>
          </w:rPr>
          <w:t>https://onezero.medium.com/prop-22-where-do-gig-workers-go-from-here-e6eaa3ee2324</w:t>
        </w:r>
      </w:hyperlink>
      <w:r w:rsidR="00082C8A" w:rsidRPr="0068632F">
        <w:rPr>
          <w:bCs/>
          <w:sz w:val="20"/>
          <w:szCs w:val="20"/>
          <w:lang w:val="en-US"/>
        </w:rPr>
        <w:t xml:space="preserve">. </w:t>
      </w:r>
    </w:p>
  </w:footnote>
  <w:footnote w:id="27">
    <w:p w14:paraId="74127571" w14:textId="75A1C36B" w:rsidR="00602E57" w:rsidRPr="0068632F" w:rsidRDefault="00602E5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Докторската дисертација примарно се фокусира на релевантното законодавство и </w:t>
      </w:r>
      <w:r w:rsidR="00A25563" w:rsidRPr="0068632F">
        <w:rPr>
          <w:rFonts w:ascii="Times New Roman" w:hAnsi="Times New Roman" w:cs="Times New Roman"/>
          <w:lang w:val="mk-MK"/>
        </w:rPr>
        <w:t>постоечката судска пракса во Македонија, регионално и глобално.</w:t>
      </w:r>
    </w:p>
  </w:footnote>
  <w:footnote w:id="28">
    <w:p w14:paraId="1ACD5250" w14:textId="77777777" w:rsidR="009B3854" w:rsidRPr="0068632F" w:rsidRDefault="009B385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Како што е на пример елаборирано во McGaughey, E. (2016). The codetermination bargains: The history of German corporate and labor law. Colum. J. Eur. L., 23, 135.</w:t>
      </w:r>
    </w:p>
  </w:footnote>
  <w:footnote w:id="29">
    <w:p w14:paraId="73327B95" w14:textId="78098C60" w:rsidR="001E451B" w:rsidRPr="0068632F" w:rsidRDefault="001E451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Преку достапните компаративни примери. </w:t>
      </w:r>
    </w:p>
  </w:footnote>
  <w:footnote w:id="30">
    <w:p w14:paraId="78AD3D23" w14:textId="3068E0B6" w:rsidR="00C87F0F" w:rsidRPr="0068632F" w:rsidRDefault="00C87F0F"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B45D48" w:rsidRPr="0068632F">
        <w:rPr>
          <w:sz w:val="20"/>
          <w:szCs w:val="20"/>
          <w:lang w:val="mk-MK"/>
        </w:rPr>
        <w:t xml:space="preserve">Види, на пример, </w:t>
      </w:r>
      <w:r w:rsidR="00B45D48" w:rsidRPr="0068632F">
        <w:rPr>
          <w:bCs/>
          <w:sz w:val="20"/>
          <w:szCs w:val="20"/>
          <w:lang w:val="en-US"/>
        </w:rPr>
        <w:t xml:space="preserve">Summers, Clyde. 1979. “Industrial Democracy: America’s Unfulfilled Promise.” 28 Cleveland State Law Review 29. </w:t>
      </w:r>
    </w:p>
  </w:footnote>
  <w:footnote w:id="31">
    <w:p w14:paraId="67AD0CB9" w14:textId="168B4563" w:rsidR="00C06037" w:rsidRPr="0068632F" w:rsidRDefault="00C06037"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8B559C" w:rsidRPr="0068632F">
        <w:rPr>
          <w:sz w:val="20"/>
          <w:szCs w:val="20"/>
          <w:lang w:val="mk-MK"/>
        </w:rPr>
        <w:t xml:space="preserve">Делумно опфатено во </w:t>
      </w:r>
      <w:r w:rsidR="008B559C" w:rsidRPr="0068632F">
        <w:rPr>
          <w:bCs/>
          <w:sz w:val="20"/>
          <w:szCs w:val="20"/>
          <w:lang w:val="en-US"/>
        </w:rPr>
        <w:t>Crotty, James. 2003 “The Neoliberal Paradox: The Impact of Destructive Product Market Competition and Impatient Finance on Nonfinancial Corporations in the Neoliberal Era.” 35 Review of Radical Political Economics 271.</w:t>
      </w:r>
    </w:p>
  </w:footnote>
  <w:footnote w:id="32">
    <w:p w14:paraId="406F719D" w14:textId="14D3B6BD" w:rsidR="001C288D" w:rsidRPr="0068632F" w:rsidRDefault="001C288D"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420B31" w:rsidRPr="0068632F">
        <w:rPr>
          <w:sz w:val="20"/>
          <w:szCs w:val="20"/>
          <w:lang w:val="mk-MK"/>
        </w:rPr>
        <w:t xml:space="preserve">Види </w:t>
      </w:r>
      <w:r w:rsidR="00420B31" w:rsidRPr="0068632F">
        <w:rPr>
          <w:bCs/>
          <w:sz w:val="20"/>
          <w:szCs w:val="20"/>
          <w:lang w:val="en-US"/>
        </w:rPr>
        <w:t xml:space="preserve">Kokkinis, Andreas, and Konstantinos Sergakis. 2020. “A Flexible Model for Efficient Employee Participation in UK Companies.” 20 Journal of Corporate Law Studies 1. </w:t>
      </w:r>
    </w:p>
  </w:footnote>
  <w:footnote w:id="33">
    <w:p w14:paraId="51DB7EE2" w14:textId="77777777" w:rsidR="009B3854" w:rsidRPr="0068632F" w:rsidRDefault="009B385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 w:history="1">
        <w:r w:rsidRPr="0068632F">
          <w:rPr>
            <w:rStyle w:val="Hyperlink"/>
            <w:rFonts w:ascii="Times New Roman" w:hAnsi="Times New Roman" w:cs="Times New Roman"/>
          </w:rPr>
          <w:t>Balancing Shareholder and Stakeholder Interests in Corporate Governance - European Institute of Management and Finance</w:t>
        </w:r>
      </w:hyperlink>
      <w:r w:rsidRPr="0068632F">
        <w:rPr>
          <w:rFonts w:ascii="Times New Roman" w:hAnsi="Times New Roman" w:cs="Times New Roman"/>
          <w:lang w:val="mk-MK"/>
        </w:rPr>
        <w:t>.</w:t>
      </w:r>
    </w:p>
  </w:footnote>
  <w:footnote w:id="34">
    <w:p w14:paraId="029CBC82" w14:textId="7487E488" w:rsidR="00674F2D" w:rsidRPr="0068632F" w:rsidRDefault="00674F2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75488" w:rsidRPr="0068632F">
        <w:rPr>
          <w:rFonts w:ascii="Times New Roman" w:hAnsi="Times New Roman" w:cs="Times New Roman"/>
        </w:rPr>
        <w:t>Harper, H. (2025). The psychology of speculation: the human element in stock market transactions. G</w:t>
      </w:r>
      <w:r w:rsidR="00166D5A" w:rsidRPr="0068632F">
        <w:rPr>
          <w:rFonts w:ascii="Times New Roman" w:hAnsi="Times New Roman" w:cs="Times New Roman"/>
          <w:lang w:val="en-US"/>
        </w:rPr>
        <w:t xml:space="preserve">. </w:t>
      </w:r>
      <w:r w:rsidR="00F75488" w:rsidRPr="0068632F">
        <w:rPr>
          <w:rFonts w:ascii="Times New Roman" w:hAnsi="Times New Roman" w:cs="Times New Roman"/>
        </w:rPr>
        <w:t>Press.</w:t>
      </w:r>
    </w:p>
  </w:footnote>
  <w:footnote w:id="35">
    <w:p w14:paraId="49B59799" w14:textId="7E38EA8F" w:rsidR="00023BEC" w:rsidRPr="0068632F" w:rsidRDefault="00023BEC"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D01D3B" w:rsidRPr="0068632F">
        <w:rPr>
          <w:sz w:val="20"/>
          <w:szCs w:val="20"/>
          <w:lang w:val="mk-MK"/>
        </w:rPr>
        <w:t xml:space="preserve">Предлог преземен и од </w:t>
      </w:r>
      <w:r w:rsidR="00D01D3B" w:rsidRPr="0068632F">
        <w:rPr>
          <w:bCs/>
          <w:sz w:val="20"/>
          <w:szCs w:val="20"/>
          <w:lang w:val="en-US"/>
        </w:rPr>
        <w:t>Dammann, J., &amp; Eidenmuller, H. (2020). Codetermination: a poor fit for US corporations. Colum. Bus. L. Rev., 870.</w:t>
      </w:r>
    </w:p>
  </w:footnote>
  <w:footnote w:id="36">
    <w:p w14:paraId="69CD4D2B" w14:textId="54D54FFB" w:rsidR="007813BB" w:rsidRPr="0068632F" w:rsidRDefault="007813B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03ED6" w:rsidRPr="0068632F">
        <w:rPr>
          <w:rFonts w:ascii="Times New Roman" w:hAnsi="Times New Roman" w:cs="Times New Roman"/>
          <w:lang w:val="mk-MK"/>
        </w:rPr>
        <w:t>Едно поглавје од</w:t>
      </w:r>
      <w:r w:rsidRPr="0068632F">
        <w:rPr>
          <w:rFonts w:ascii="Times New Roman" w:hAnsi="Times New Roman" w:cs="Times New Roman"/>
          <w:lang w:val="mk-MK"/>
        </w:rPr>
        <w:t xml:space="preserve"> </w:t>
      </w:r>
      <w:r w:rsidR="00B029F9" w:rsidRPr="0068632F">
        <w:rPr>
          <w:rFonts w:ascii="Times New Roman" w:hAnsi="Times New Roman" w:cs="Times New Roman"/>
          <w:lang w:val="mk-MK"/>
        </w:rPr>
        <w:t xml:space="preserve">тезата </w:t>
      </w:r>
      <w:r w:rsidRPr="0068632F">
        <w:rPr>
          <w:rFonts w:ascii="Times New Roman" w:hAnsi="Times New Roman" w:cs="Times New Roman"/>
          <w:lang w:val="mk-MK"/>
        </w:rPr>
        <w:t xml:space="preserve">ќе биде посветено на тестирање на </w:t>
      </w:r>
      <w:r w:rsidR="003472E0" w:rsidRPr="0068632F">
        <w:rPr>
          <w:rFonts w:ascii="Times New Roman" w:hAnsi="Times New Roman" w:cs="Times New Roman"/>
          <w:lang w:val="mk-MK"/>
        </w:rPr>
        <w:t xml:space="preserve">можните </w:t>
      </w:r>
      <w:r w:rsidRPr="0068632F">
        <w:rPr>
          <w:rFonts w:ascii="Times New Roman" w:hAnsi="Times New Roman" w:cs="Times New Roman"/>
          <w:lang w:val="mk-MK"/>
        </w:rPr>
        <w:t>сценарија од имплемента</w:t>
      </w:r>
      <w:r w:rsidR="003472E0" w:rsidRPr="0068632F">
        <w:rPr>
          <w:rFonts w:ascii="Times New Roman" w:hAnsi="Times New Roman" w:cs="Times New Roman"/>
          <w:lang w:val="mk-MK"/>
        </w:rPr>
        <w:t>циј</w:t>
      </w:r>
      <w:r w:rsidR="00803ED6" w:rsidRPr="0068632F">
        <w:rPr>
          <w:rFonts w:ascii="Times New Roman" w:hAnsi="Times New Roman" w:cs="Times New Roman"/>
          <w:lang w:val="mk-MK"/>
        </w:rPr>
        <w:t>ата</w:t>
      </w:r>
      <w:r w:rsidR="00B029F9" w:rsidRPr="0068632F">
        <w:rPr>
          <w:rFonts w:ascii="Times New Roman" w:hAnsi="Times New Roman" w:cs="Times New Roman"/>
          <w:lang w:val="mk-MK"/>
        </w:rPr>
        <w:t>.</w:t>
      </w:r>
    </w:p>
  </w:footnote>
  <w:footnote w:id="37">
    <w:p w14:paraId="78F8785B" w14:textId="2CB35502" w:rsidR="004536EF" w:rsidRPr="0068632F" w:rsidRDefault="004536EF"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974EDA" w:rsidRPr="0068632F">
        <w:rPr>
          <w:sz w:val="20"/>
          <w:szCs w:val="20"/>
          <w:lang w:val="mk-MK"/>
        </w:rPr>
        <w:t xml:space="preserve">Принцип делумно позајмен од </w:t>
      </w:r>
      <w:r w:rsidR="00974EDA" w:rsidRPr="0068632F">
        <w:rPr>
          <w:bCs/>
          <w:sz w:val="20"/>
          <w:szCs w:val="20"/>
          <w:lang w:val="en-US"/>
        </w:rPr>
        <w:t>Jensen, Michael, and William Meckling. 1979. “Rights and Production Functions: An Application to Labor Managed Firms and Codetermination.” 52 Journal of Business 469.</w:t>
      </w:r>
    </w:p>
  </w:footnote>
  <w:footnote w:id="38">
    <w:p w14:paraId="58232E65" w14:textId="2359914D" w:rsidR="00E90F97" w:rsidRPr="0068632F" w:rsidRDefault="00E90F97"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00930821" w:rsidRPr="0068632F">
        <w:rPr>
          <w:sz w:val="20"/>
          <w:szCs w:val="20"/>
          <w:lang w:val="mk-MK"/>
        </w:rPr>
        <w:t xml:space="preserve">методологија во </w:t>
      </w:r>
      <w:r w:rsidR="00930821" w:rsidRPr="0068632F">
        <w:rPr>
          <w:bCs/>
          <w:sz w:val="20"/>
          <w:szCs w:val="20"/>
          <w:lang w:val="en-US"/>
        </w:rPr>
        <w:t>Shenkar, O., &amp; Li, J. T. (1999). Knowledge search</w:t>
      </w:r>
      <w:r w:rsidR="00930821" w:rsidRPr="0068632F">
        <w:rPr>
          <w:bCs/>
          <w:sz w:val="20"/>
          <w:szCs w:val="20"/>
          <w:lang w:val="mk-MK"/>
        </w:rPr>
        <w:t xml:space="preserve">. </w:t>
      </w:r>
      <w:r w:rsidR="00930821" w:rsidRPr="0068632F">
        <w:rPr>
          <w:bCs/>
          <w:sz w:val="20"/>
          <w:szCs w:val="20"/>
          <w:lang w:val="en-US"/>
        </w:rPr>
        <w:t>Organization Science, 10(2), 134</w:t>
      </w:r>
      <w:r w:rsidR="00930821" w:rsidRPr="0068632F">
        <w:rPr>
          <w:bCs/>
          <w:sz w:val="20"/>
          <w:szCs w:val="20"/>
          <w:lang w:val="mk-MK"/>
        </w:rPr>
        <w:t>.</w:t>
      </w:r>
    </w:p>
  </w:footnote>
  <w:footnote w:id="39">
    <w:p w14:paraId="5431F259" w14:textId="1091C526" w:rsidR="00D56126" w:rsidRPr="0068632F" w:rsidRDefault="00D56126"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5E0E1E" w:rsidRPr="0068632F">
        <w:rPr>
          <w:sz w:val="20"/>
          <w:szCs w:val="20"/>
          <w:lang w:val="mk-MK"/>
        </w:rPr>
        <w:t xml:space="preserve">Детално во </w:t>
      </w:r>
      <w:r w:rsidR="005E0E1E" w:rsidRPr="0068632F">
        <w:rPr>
          <w:bCs/>
          <w:sz w:val="20"/>
          <w:szCs w:val="20"/>
          <w:lang w:val="en-US"/>
        </w:rPr>
        <w:t>Kaufman, Bruce, and Morris Kleiner. 1993. Employee Representation: Alternatives and Future Directions. Cornell University Press.</w:t>
      </w:r>
    </w:p>
  </w:footnote>
  <w:footnote w:id="40">
    <w:p w14:paraId="62587B59" w14:textId="348B3F98" w:rsidR="002460C2" w:rsidRPr="0068632F" w:rsidRDefault="002460C2"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B40634" w:rsidRPr="0068632F">
        <w:rPr>
          <w:sz w:val="20"/>
          <w:szCs w:val="20"/>
          <w:lang w:val="mk-MK"/>
        </w:rPr>
        <w:t xml:space="preserve">Следејќи слична методологија како во </w:t>
      </w:r>
      <w:r w:rsidR="00B40634" w:rsidRPr="0068632F">
        <w:rPr>
          <w:bCs/>
          <w:sz w:val="20"/>
          <w:szCs w:val="20"/>
          <w:lang w:val="mk-MK"/>
        </w:rPr>
        <w:t>Aitken, B. J., &amp; Harrison, A. E. (1999). Do domestic firms benefit from direct foreign investment? Evidence from Venezuela. American Economic Review, 89(3), 605– 618.</w:t>
      </w:r>
    </w:p>
  </w:footnote>
  <w:footnote w:id="41">
    <w:p w14:paraId="401C48E4"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Davis, Gerald. 2008. “A New Finance Capitalism? Mutual Funds and Ownership Re-Concentration in the United States.” 5 European Management Review 11.</w:t>
      </w:r>
    </w:p>
  </w:footnote>
  <w:footnote w:id="42">
    <w:p w14:paraId="06916D94" w14:textId="615A0DDF" w:rsidR="00E53E35" w:rsidRPr="0068632F" w:rsidRDefault="00E53E35"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0D5BA5" w:rsidRPr="0068632F">
        <w:rPr>
          <w:sz w:val="20"/>
          <w:szCs w:val="20"/>
          <w:lang w:val="mk-MK"/>
        </w:rPr>
        <w:t xml:space="preserve">Види </w:t>
      </w:r>
      <w:r w:rsidR="000D5BA5" w:rsidRPr="0068632F">
        <w:rPr>
          <w:bCs/>
          <w:sz w:val="20"/>
          <w:szCs w:val="20"/>
          <w:lang w:val="en-US"/>
        </w:rPr>
        <w:t xml:space="preserve">Wartzman, Rick. 2017. The End of Loyalty: The Rise and Fall of Good Jobs in America. Public Affairs. Webber, David H. 2014. “The Use and Abuse of Labor’s Capital.” 89 New York University Law Review 2106. </w:t>
      </w:r>
      <w:hyperlink r:id="rId6" w:history="1">
        <w:r w:rsidR="000D5BA5" w:rsidRPr="0068632F">
          <w:rPr>
            <w:rStyle w:val="Hyperlink"/>
            <w:bCs/>
            <w:sz w:val="20"/>
            <w:szCs w:val="20"/>
            <w:lang w:val="en-US"/>
          </w:rPr>
          <w:t>https://doi.org/10.2139/ssrn.2380661</w:t>
        </w:r>
      </w:hyperlink>
      <w:r w:rsidR="000D5BA5" w:rsidRPr="0068632F">
        <w:rPr>
          <w:bCs/>
          <w:sz w:val="20"/>
          <w:szCs w:val="20"/>
          <w:lang w:val="en-US"/>
        </w:rPr>
        <w:t>.</w:t>
      </w:r>
    </w:p>
  </w:footnote>
  <w:footnote w:id="43">
    <w:p w14:paraId="736E0481" w14:textId="1E4F710E" w:rsidR="005B153D" w:rsidRPr="0068632F" w:rsidRDefault="005B153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Wartzman, Rick. 2017.</w:t>
      </w:r>
    </w:p>
  </w:footnote>
  <w:footnote w:id="44">
    <w:p w14:paraId="646BF696" w14:textId="77777777" w:rsidR="00044198" w:rsidRPr="0068632F" w:rsidRDefault="0004419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Goulding, S. (2020). Право на трговски друштва.</w:t>
      </w:r>
      <w:r w:rsidRPr="0068632F">
        <w:rPr>
          <w:rFonts w:ascii="Times New Roman" w:hAnsi="Times New Roman" w:cs="Times New Roman"/>
          <w:lang w:val="en-US"/>
        </w:rPr>
        <w:t xml:space="preserve"> Cavendish Publishing Limited.</w:t>
      </w:r>
    </w:p>
  </w:footnote>
  <w:footnote w:id="45">
    <w:p w14:paraId="47CF7C89" w14:textId="4550CE60" w:rsidR="00C934F3" w:rsidRPr="0068632F" w:rsidRDefault="00C934F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D1805" w:rsidRPr="0068632F">
        <w:rPr>
          <w:rFonts w:ascii="Times New Roman" w:hAnsi="Times New Roman" w:cs="Times New Roman"/>
          <w:lang w:val="mk-MK"/>
        </w:rPr>
        <w:t xml:space="preserve">Согласно </w:t>
      </w:r>
      <w:r w:rsidR="009D1805" w:rsidRPr="0068632F">
        <w:rPr>
          <w:rFonts w:ascii="Times New Roman" w:hAnsi="Times New Roman" w:cs="Times New Roman"/>
        </w:rPr>
        <w:t>Goulding, S. (2020).</w:t>
      </w:r>
    </w:p>
  </w:footnote>
  <w:footnote w:id="46">
    <w:p w14:paraId="7BCD5E35"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Според Bhattacherjee, A. (2012). Истражување на општествените науки: Принципи, методи и практики. </w:t>
      </w:r>
    </w:p>
  </w:footnote>
  <w:footnote w:id="47">
    <w:p w14:paraId="10A41DAE"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Подробно објаснето во </w:t>
      </w:r>
      <w:r w:rsidRPr="0068632F">
        <w:rPr>
          <w:rFonts w:ascii="Times New Roman" w:hAnsi="Times New Roman" w:cs="Times New Roman"/>
          <w:lang w:val="en-US"/>
        </w:rPr>
        <w:t>Ring</w:t>
      </w:r>
      <w:r w:rsidRPr="0068632F">
        <w:rPr>
          <w:rFonts w:ascii="Times New Roman" w:hAnsi="Times New Roman" w:cs="Times New Roman"/>
          <w:lang w:val="mk-MK"/>
        </w:rPr>
        <w:t>, W. G., &amp; Armour, J. (2011). Европско право за трговски друштва 1999–2010: ренесанса и криза. Common Market Law Review, 48(1).</w:t>
      </w:r>
    </w:p>
  </w:footnote>
  <w:footnote w:id="48">
    <w:p w14:paraId="03134A98" w14:textId="77777777" w:rsidR="00044198" w:rsidRPr="0068632F" w:rsidRDefault="0004419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Freund, E. (1897). Правната природа на корпорациите (бр. 20</w:t>
      </w:r>
      <w:r w:rsidRPr="0068632F">
        <w:rPr>
          <w:rFonts w:ascii="Times New Roman" w:hAnsi="Times New Roman" w:cs="Times New Roman"/>
          <w:lang w:val="mk-MK"/>
        </w:rPr>
        <w:t>2/20</w:t>
      </w:r>
      <w:r w:rsidRPr="0068632F">
        <w:rPr>
          <w:rFonts w:ascii="Times New Roman" w:hAnsi="Times New Roman" w:cs="Times New Roman"/>
        </w:rPr>
        <w:t>19 година). University of Chicago Press.</w:t>
      </w:r>
    </w:p>
  </w:footnote>
  <w:footnote w:id="49">
    <w:p w14:paraId="16216D68"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Ruggie, J. G. (2007). Бизнисот и човековите права: меѓународната агенда што допрва се развива. American Journal of International Law, 101(4), 819-840.</w:t>
      </w:r>
    </w:p>
  </w:footnote>
  <w:footnote w:id="50">
    <w:p w14:paraId="1B6EED80"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Согласно наведените упатства и препораки во Bhattacherjee, A. (2012).</w:t>
      </w:r>
    </w:p>
  </w:footnote>
  <w:footnote w:id="51">
    <w:p w14:paraId="099A1342" w14:textId="77777777" w:rsidR="00044198" w:rsidRPr="0068632F" w:rsidRDefault="000441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Ruggie, J. (2008). Заштита, почитување и правен лек: Рамка за бизнисот и човекови права. Innovations: Technology, Governance, Globalization, 3(2), 189-212.</w:t>
      </w:r>
    </w:p>
  </w:footnote>
  <w:footnote w:id="52">
    <w:p w14:paraId="404F198D" w14:textId="533AFFEE" w:rsidR="00A5132D" w:rsidRPr="0068632F" w:rsidRDefault="00A5132D"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Методологија делумно преземена од </w:t>
      </w:r>
      <w:r w:rsidR="00C31DF3" w:rsidRPr="0068632F">
        <w:rPr>
          <w:bCs/>
          <w:sz w:val="20"/>
          <w:szCs w:val="20"/>
          <w:lang w:val="mk-MK"/>
        </w:rPr>
        <w:t xml:space="preserve">Anand, J., &amp; Delios, A. (1997). Location specificity and the transferability of downstream assets to foreign subsidiaries. Journal of International Business Studies, 28(3), 579. </w:t>
      </w:r>
    </w:p>
  </w:footnote>
  <w:footnote w:id="53">
    <w:p w14:paraId="2C28F609" w14:textId="66C66F7F" w:rsidR="00A5132D" w:rsidRPr="0068632F" w:rsidRDefault="00A5132D"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523C51" w:rsidRPr="0068632F">
        <w:rPr>
          <w:sz w:val="20"/>
          <w:szCs w:val="20"/>
          <w:lang w:val="mk-MK"/>
        </w:rPr>
        <w:t xml:space="preserve">Со пристап сличен како во </w:t>
      </w:r>
      <w:r w:rsidR="00523C51" w:rsidRPr="0068632F">
        <w:rPr>
          <w:bCs/>
          <w:sz w:val="20"/>
          <w:szCs w:val="20"/>
          <w:lang w:val="en-US"/>
        </w:rPr>
        <w:t xml:space="preserve">Jacoby, Sanford. 2001. “Employee Representation and Corporate Governance: A Missing Link.” 3 University of Pennsylvania Journal of Business Law 449. </w:t>
      </w:r>
    </w:p>
  </w:footnote>
  <w:footnote w:id="54">
    <w:p w14:paraId="3900CD43" w14:textId="41C1577A" w:rsidR="001862D2" w:rsidRPr="0068632F" w:rsidRDefault="001862D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67303" w:rsidRPr="0068632F">
        <w:rPr>
          <w:rFonts w:ascii="Times New Roman" w:hAnsi="Times New Roman" w:cs="Times New Roman"/>
          <w:lang w:val="mk-MK"/>
        </w:rPr>
        <w:t>Како што е на пример опишано во Pelly, L. (2025). Mood machine: The rise of Spotify and the costs of the perfect playlist. Simon and Schuster.</w:t>
      </w:r>
    </w:p>
  </w:footnote>
  <w:footnote w:id="55">
    <w:p w14:paraId="30D88353" w14:textId="1F4B95CF" w:rsidR="00CE150D" w:rsidRPr="0068632F" w:rsidRDefault="00CE150D"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D37C02" w:rsidRPr="0068632F">
        <w:rPr>
          <w:sz w:val="20"/>
          <w:szCs w:val="20"/>
          <w:lang w:val="mk-MK"/>
        </w:rPr>
        <w:t xml:space="preserve">Види </w:t>
      </w:r>
      <w:r w:rsidR="00D37C02" w:rsidRPr="0068632F">
        <w:rPr>
          <w:bCs/>
          <w:sz w:val="20"/>
          <w:szCs w:val="20"/>
          <w:lang w:val="en-US"/>
        </w:rPr>
        <w:t xml:space="preserve">Jäger, Simon, Benjamin Schoefer, and Jörg Heining. 2020. “Labor in the Boardroom.” 136 Quarterly Journal of Economics 669. </w:t>
      </w:r>
      <w:hyperlink r:id="rId7" w:history="1">
        <w:r w:rsidR="00D37C02" w:rsidRPr="0068632F">
          <w:rPr>
            <w:rStyle w:val="Hyperlink"/>
            <w:bCs/>
            <w:sz w:val="20"/>
            <w:szCs w:val="20"/>
            <w:lang w:val="en-US"/>
          </w:rPr>
          <w:t>https://doi.org/10.1093/qje/qjaa038</w:t>
        </w:r>
      </w:hyperlink>
      <w:r w:rsidR="00D37C02" w:rsidRPr="0068632F">
        <w:rPr>
          <w:bCs/>
          <w:sz w:val="20"/>
          <w:szCs w:val="20"/>
          <w:lang w:val="en-US"/>
        </w:rPr>
        <w:t xml:space="preserve">. </w:t>
      </w:r>
    </w:p>
  </w:footnote>
  <w:footnote w:id="56">
    <w:p w14:paraId="578F4A86" w14:textId="1954AAB8" w:rsidR="00313BD9" w:rsidRPr="0068632F" w:rsidRDefault="00313BD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470E22" w:rsidRPr="0068632F">
        <w:rPr>
          <w:sz w:val="20"/>
          <w:szCs w:val="20"/>
          <w:lang w:val="mk-MK"/>
        </w:rPr>
        <w:t xml:space="preserve">Како во </w:t>
      </w:r>
      <w:r w:rsidR="00470E22" w:rsidRPr="0068632F">
        <w:rPr>
          <w:bCs/>
          <w:sz w:val="20"/>
          <w:szCs w:val="20"/>
          <w:lang w:val="mk-MK"/>
        </w:rPr>
        <w:t xml:space="preserve">Anderson, E. (1990). Sloan Management Review, 31(2), 19 –30. </w:t>
      </w:r>
    </w:p>
  </w:footnote>
  <w:footnote w:id="57">
    <w:p w14:paraId="38972508" w14:textId="05F8B7A3" w:rsidR="00832606" w:rsidRPr="0068632F" w:rsidRDefault="00832606"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4874C0" w:rsidRPr="0068632F">
        <w:rPr>
          <w:sz w:val="20"/>
          <w:szCs w:val="20"/>
          <w:lang w:val="mk-MK"/>
        </w:rPr>
        <w:t xml:space="preserve">Водејќи се од пристапот во </w:t>
      </w:r>
      <w:r w:rsidR="004874C0" w:rsidRPr="0068632F">
        <w:rPr>
          <w:bCs/>
          <w:sz w:val="20"/>
          <w:szCs w:val="20"/>
          <w:lang w:val="mk-MK"/>
        </w:rPr>
        <w:t>Arin˜o, A., &amp; de la Torre, J. (1998). Learning from failure: Towards an evolutionary model of collaborative ventures. Organization Science, 9(3), 306 –325.</w:t>
      </w:r>
    </w:p>
  </w:footnote>
  <w:footnote w:id="58">
    <w:p w14:paraId="3D9E983F" w14:textId="0B4512E8" w:rsidR="00886BAE" w:rsidRPr="0068632F" w:rsidRDefault="00886BA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Perry, J. S. (2017). The Roman collegia: the modern evolution of an ancient concept (Vol. 277). Brill.</w:t>
      </w:r>
    </w:p>
  </w:footnote>
  <w:footnote w:id="59">
    <w:p w14:paraId="0C596950" w14:textId="04B8BC71" w:rsidR="00586DE0" w:rsidRPr="0068632F" w:rsidRDefault="00586DE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Perry, J. S. (2017).</w:t>
      </w:r>
    </w:p>
  </w:footnote>
  <w:footnote w:id="60">
    <w:p w14:paraId="116103C6" w14:textId="5297FDBB" w:rsidR="00620141" w:rsidRPr="0068632F" w:rsidRDefault="0062014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Kloppenborg, J. S. (2002). Collegia and thiasoi: issues in function, taxonomy and membership. In Voluntary associations in the Graeco-Roman world (pp. 16-30). Routledge.</w:t>
      </w:r>
    </w:p>
  </w:footnote>
  <w:footnote w:id="61">
    <w:p w14:paraId="149E4A7D" w14:textId="1369513C" w:rsidR="00AF4A53" w:rsidRPr="0068632F" w:rsidRDefault="00AF4A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Kloppenborg, J. S. (2002</w:t>
      </w:r>
      <w:r w:rsidRPr="0068632F">
        <w:rPr>
          <w:rFonts w:ascii="Times New Roman" w:hAnsi="Times New Roman" w:cs="Times New Roman"/>
          <w:lang w:val="mk-MK"/>
        </w:rPr>
        <w:t>).</w:t>
      </w:r>
    </w:p>
  </w:footnote>
  <w:footnote w:id="62">
    <w:p w14:paraId="682B54F3" w14:textId="66081C67" w:rsidR="00D9300C" w:rsidRPr="0068632F" w:rsidRDefault="00D9300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Perry, J. S. (2017).</w:t>
      </w:r>
    </w:p>
  </w:footnote>
  <w:footnote w:id="63">
    <w:p w14:paraId="0A3465BB" w14:textId="46ABBCF4" w:rsidR="00037830" w:rsidRPr="0068632F" w:rsidRDefault="00037830"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B6011D" w:rsidRPr="0068632F">
        <w:rPr>
          <w:sz w:val="20"/>
          <w:szCs w:val="20"/>
          <w:lang w:val="mk-MK"/>
        </w:rPr>
        <w:t xml:space="preserve">Види </w:t>
      </w:r>
      <w:r w:rsidR="00B6011D" w:rsidRPr="0068632F">
        <w:rPr>
          <w:bCs/>
          <w:sz w:val="20"/>
          <w:szCs w:val="20"/>
          <w:lang w:val="en-US"/>
        </w:rPr>
        <w:t>Van der Zwan, Natascha. 2014. “Making Sense of Financialization.” 12 Socio-Economic Review 99.</w:t>
      </w:r>
    </w:p>
  </w:footnote>
  <w:footnote w:id="64">
    <w:p w14:paraId="33D929E3" w14:textId="3F74452F" w:rsidR="00D8572D" w:rsidRPr="0068632F" w:rsidRDefault="00D8572D"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mk-MK"/>
        </w:rPr>
        <w:t>Hansmann, Henry, and Reiner Kraakman. 2001. “The End of History for Corporate Law.” 89 Georgetown Law Journal 439.</w:t>
      </w:r>
    </w:p>
  </w:footnote>
  <w:footnote w:id="65">
    <w:p w14:paraId="53BB7D89" w14:textId="2D19C569" w:rsidR="00135D81" w:rsidRPr="0068632F" w:rsidRDefault="00135D8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23279" w:rsidRPr="0068632F">
        <w:rPr>
          <w:rFonts w:ascii="Times New Roman" w:hAnsi="Times New Roman" w:cs="Times New Roman"/>
        </w:rPr>
        <w:t>Williamson, O. E. (1981). The modern corporation: origins, evolution, attributes. Journal of economic literature, 19(4), 1537-1568.</w:t>
      </w:r>
    </w:p>
  </w:footnote>
  <w:footnote w:id="66">
    <w:p w14:paraId="6629E4F1" w14:textId="5ACE1726" w:rsidR="00634993" w:rsidRPr="0068632F" w:rsidRDefault="0063499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Williamson, O. E. (1981).</w:t>
      </w:r>
    </w:p>
  </w:footnote>
  <w:footnote w:id="67">
    <w:p w14:paraId="73984A31" w14:textId="6DAE77F9" w:rsidR="00314AED" w:rsidRPr="0068632F" w:rsidRDefault="00314AE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80A52" w:rsidRPr="0068632F">
        <w:rPr>
          <w:rFonts w:ascii="Times New Roman" w:hAnsi="Times New Roman" w:cs="Times New Roman"/>
          <w:lang w:val="mk-MK"/>
        </w:rPr>
        <w:t>Коевски Г. (2011)</w:t>
      </w:r>
      <w:r w:rsidR="00E80A52" w:rsidRPr="0068632F">
        <w:rPr>
          <w:rFonts w:ascii="Times New Roman" w:hAnsi="Times New Roman" w:cs="Times New Roman"/>
          <w:lang w:val="en-US"/>
        </w:rPr>
        <w:t>.</w:t>
      </w:r>
    </w:p>
  </w:footnote>
  <w:footnote w:id="68">
    <w:p w14:paraId="774E6A21" w14:textId="3F948850" w:rsidR="004B7ABF" w:rsidRPr="0068632F" w:rsidRDefault="004B7AB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C1CAF" w:rsidRPr="0068632F">
        <w:rPr>
          <w:rFonts w:ascii="Times New Roman" w:hAnsi="Times New Roman" w:cs="Times New Roman"/>
        </w:rPr>
        <w:t>Harris, R. (1994). The Bubble Act: Its passage and its effects on business organization. The Journal of Economic History, 54(3), 610-627.</w:t>
      </w:r>
    </w:p>
  </w:footnote>
  <w:footnote w:id="69">
    <w:p w14:paraId="088167B5" w14:textId="685A019F" w:rsidR="0084183C" w:rsidRPr="0068632F" w:rsidRDefault="0084183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Harris, R. (1994).</w:t>
      </w:r>
    </w:p>
  </w:footnote>
  <w:footnote w:id="70">
    <w:p w14:paraId="60D9A4C8" w14:textId="63E0DE2A" w:rsidR="0084183C" w:rsidRPr="0068632F" w:rsidRDefault="0084183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5D5B" w:rsidRPr="0068632F">
        <w:rPr>
          <w:rFonts w:ascii="Times New Roman" w:hAnsi="Times New Roman" w:cs="Times New Roman"/>
        </w:rPr>
        <w:t>Todd, G. (1932). Some aspects of joint stock companies, 1844-1900. The Economic History Review, 4(1), 46</w:t>
      </w:r>
      <w:r w:rsidR="007F6980" w:rsidRPr="0068632F">
        <w:rPr>
          <w:rFonts w:ascii="Times New Roman" w:hAnsi="Times New Roman" w:cs="Times New Roman"/>
          <w:lang w:val="mk-MK"/>
        </w:rPr>
        <w:t>.</w:t>
      </w:r>
    </w:p>
  </w:footnote>
  <w:footnote w:id="71">
    <w:p w14:paraId="54A4CAC5" w14:textId="6635EF63" w:rsidR="0084183C" w:rsidRPr="0068632F" w:rsidRDefault="0084183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56CD0" w:rsidRPr="0068632F">
        <w:rPr>
          <w:rFonts w:ascii="Times New Roman" w:hAnsi="Times New Roman" w:cs="Times New Roman"/>
        </w:rPr>
        <w:t>Todd, G. (1932).</w:t>
      </w:r>
    </w:p>
  </w:footnote>
  <w:footnote w:id="72">
    <w:p w14:paraId="15810A5A" w14:textId="19CA35EE" w:rsidR="00806BA7" w:rsidRPr="0068632F" w:rsidRDefault="00806BA7"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966878" w:rsidRPr="0068632F">
        <w:rPr>
          <w:sz w:val="20"/>
          <w:szCs w:val="20"/>
          <w:lang w:val="mk-MK"/>
        </w:rPr>
        <w:t xml:space="preserve">Види </w:t>
      </w:r>
      <w:r w:rsidR="00966878" w:rsidRPr="0068632F">
        <w:rPr>
          <w:bCs/>
          <w:sz w:val="20"/>
          <w:szCs w:val="20"/>
          <w:lang w:val="en-US"/>
        </w:rPr>
        <w:t>Summers, Clyde. 1982. “Codetermination in the United States: A Projection of Problems and Potentials.” 4 University of Pennsylvania Journal of International Law 155.</w:t>
      </w:r>
    </w:p>
  </w:footnote>
  <w:footnote w:id="73">
    <w:p w14:paraId="0E5F3AA6" w14:textId="7BEEAD03" w:rsidR="00806BA7" w:rsidRPr="0068632F" w:rsidRDefault="00806BA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674B9" w:rsidRPr="0068632F">
        <w:rPr>
          <w:rFonts w:ascii="Times New Roman" w:hAnsi="Times New Roman" w:cs="Times New Roman"/>
          <w:bCs/>
          <w:lang w:val="en-US"/>
        </w:rPr>
        <w:t>Summers, Clyde. 1982</w:t>
      </w:r>
      <w:r w:rsidR="001674B9" w:rsidRPr="0068632F">
        <w:rPr>
          <w:rFonts w:ascii="Times New Roman" w:hAnsi="Times New Roman" w:cs="Times New Roman"/>
          <w:bCs/>
          <w:lang w:val="mk-MK"/>
        </w:rPr>
        <w:t>.</w:t>
      </w:r>
    </w:p>
  </w:footnote>
  <w:footnote w:id="74">
    <w:p w14:paraId="7639F215" w14:textId="67CDE4B9" w:rsidR="008077F8" w:rsidRPr="0068632F" w:rsidRDefault="008077F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C6785" w:rsidRPr="0068632F">
        <w:rPr>
          <w:rFonts w:ascii="Times New Roman" w:hAnsi="Times New Roman" w:cs="Times New Roman"/>
        </w:rPr>
        <w:t>Petrick, J. A., &amp; Scherer, R. F. (2003). The Enron scandal and the neglect of management integrity capacity. American Journal of Business, 18(1), 37-50.</w:t>
      </w:r>
    </w:p>
  </w:footnote>
  <w:footnote w:id="75">
    <w:p w14:paraId="295B7D24" w14:textId="68126AFF" w:rsidR="00890661" w:rsidRPr="0068632F" w:rsidRDefault="0089066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bg-BG"/>
        </w:rPr>
        <w:t>Lyke, B., &amp; Jickling, M. (2002, August). WorldCom: The accounting scandal. In </w:t>
      </w:r>
      <w:r w:rsidRPr="0068632F">
        <w:rPr>
          <w:rFonts w:ascii="Times New Roman" w:hAnsi="Times New Roman" w:cs="Times New Roman"/>
          <w:i/>
          <w:iCs/>
          <w:lang w:val="bg-BG"/>
        </w:rPr>
        <w:t>Congressional Research Service Report for Congress, August</w:t>
      </w:r>
      <w:r w:rsidRPr="0068632F">
        <w:rPr>
          <w:rFonts w:ascii="Times New Roman" w:hAnsi="Times New Roman" w:cs="Times New Roman"/>
          <w:lang w:val="bg-BG"/>
        </w:rPr>
        <w:t> (Vol. 29, pp. 1-6).</w:t>
      </w:r>
    </w:p>
  </w:footnote>
  <w:footnote w:id="76">
    <w:p w14:paraId="5214659E" w14:textId="2CBD389C" w:rsidR="0006235F" w:rsidRPr="0068632F" w:rsidRDefault="0006235F"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C93D35" w:rsidRPr="0068632F">
        <w:rPr>
          <w:sz w:val="20"/>
          <w:szCs w:val="20"/>
          <w:lang w:val="mk-MK"/>
        </w:rPr>
        <w:t xml:space="preserve">Види </w:t>
      </w:r>
      <w:r w:rsidR="00C93D35" w:rsidRPr="0068632F">
        <w:rPr>
          <w:bCs/>
          <w:sz w:val="20"/>
          <w:szCs w:val="20"/>
          <w:lang w:val="mk-MK"/>
        </w:rPr>
        <w:t>Kelly, M., &amp; Schaan, J.-L. (2005). Strategic alliances that work: Should you build a strategic alliance? (Case #9B05M022). London, ON, Canada: Ivey Publishing.</w:t>
      </w:r>
    </w:p>
  </w:footnote>
  <w:footnote w:id="77">
    <w:p w14:paraId="185D4201" w14:textId="383123A6" w:rsidR="002073C7" w:rsidRPr="0068632F" w:rsidRDefault="002073C7"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93418B" w:rsidRPr="0068632F">
        <w:rPr>
          <w:bCs/>
          <w:sz w:val="20"/>
          <w:szCs w:val="20"/>
          <w:lang w:val="en-US"/>
        </w:rPr>
        <w:t xml:space="preserve">Lazonick, William. 2014. “Profits without Prosperity.” Harvard Business Review, September 1, 2014. </w:t>
      </w:r>
      <w:hyperlink r:id="rId8" w:history="1">
        <w:r w:rsidR="0093418B" w:rsidRPr="0068632F">
          <w:rPr>
            <w:rStyle w:val="Hyperlink"/>
            <w:bCs/>
            <w:sz w:val="20"/>
            <w:szCs w:val="20"/>
            <w:lang w:val="en-US"/>
          </w:rPr>
          <w:t>https://hbr.org/2014/09/profits-without-prosperity</w:t>
        </w:r>
      </w:hyperlink>
      <w:r w:rsidR="0093418B" w:rsidRPr="0068632F">
        <w:rPr>
          <w:bCs/>
          <w:sz w:val="20"/>
          <w:szCs w:val="20"/>
          <w:lang w:val="en-US"/>
        </w:rPr>
        <w:t>.</w:t>
      </w:r>
    </w:p>
  </w:footnote>
  <w:footnote w:id="78">
    <w:p w14:paraId="57BC5D9B" w14:textId="63877A20" w:rsidR="00692BC0" w:rsidRPr="0068632F" w:rsidRDefault="00692BC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Lazonick, William. 2014</w:t>
      </w:r>
      <w:r w:rsidRPr="0068632F">
        <w:rPr>
          <w:rFonts w:ascii="Times New Roman" w:hAnsi="Times New Roman" w:cs="Times New Roman"/>
          <w:bCs/>
          <w:lang w:val="mk-MK"/>
        </w:rPr>
        <w:t>.</w:t>
      </w:r>
    </w:p>
  </w:footnote>
  <w:footnote w:id="79">
    <w:p w14:paraId="5389B42A" w14:textId="00674491" w:rsidR="008B2811" w:rsidRPr="0068632F" w:rsidRDefault="008B2811"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657345" w:rsidRPr="0068632F">
        <w:rPr>
          <w:bCs/>
          <w:sz w:val="20"/>
          <w:szCs w:val="20"/>
          <w:lang w:val="mk-MK"/>
        </w:rPr>
        <w:t xml:space="preserve">Ayuso, Silviam, and Antonio Argandoña. 2009. “Responsible Corporate Governance: Towards a Stakeholder Board of Directors?” 6 Corporate Ownership &amp; Control 9. </w:t>
      </w:r>
      <w:hyperlink r:id="rId9" w:history="1">
        <w:r w:rsidR="00657345" w:rsidRPr="0068632F">
          <w:rPr>
            <w:rStyle w:val="Hyperlink"/>
            <w:bCs/>
            <w:sz w:val="20"/>
            <w:szCs w:val="20"/>
            <w:lang w:val="mk-MK"/>
          </w:rPr>
          <w:t>https://doi.org/10.22495/cocv6i4p1</w:t>
        </w:r>
      </w:hyperlink>
      <w:r w:rsidR="00657345" w:rsidRPr="0068632F">
        <w:rPr>
          <w:bCs/>
          <w:sz w:val="20"/>
          <w:szCs w:val="20"/>
          <w:lang w:val="mk-MK"/>
        </w:rPr>
        <w:t xml:space="preserve">. </w:t>
      </w:r>
    </w:p>
  </w:footnote>
  <w:footnote w:id="80">
    <w:p w14:paraId="05418C9E" w14:textId="1BB256E0" w:rsidR="004F29C9" w:rsidRPr="0068632F" w:rsidRDefault="004F29C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564AB6" w:rsidRPr="0068632F">
        <w:rPr>
          <w:bCs/>
          <w:sz w:val="20"/>
          <w:szCs w:val="20"/>
          <w:lang w:val="mk-MK"/>
        </w:rPr>
        <w:t xml:space="preserve">Barkema, H. G., Shenkar, O., Vermeulen, F., &amp; Bell, J. H. J. (1997). Working abroad, working with others: How firms learn to operate international joint ventures. Academy of Management Journal, 40(2), 426 – 442. </w:t>
      </w:r>
    </w:p>
  </w:footnote>
  <w:footnote w:id="81">
    <w:p w14:paraId="52F2F04C" w14:textId="35C7382B" w:rsidR="00923ADF" w:rsidRPr="0068632F" w:rsidRDefault="00923ADF"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F42619" w:rsidRPr="0068632F">
        <w:rPr>
          <w:bCs/>
          <w:sz w:val="20"/>
          <w:szCs w:val="20"/>
          <w:lang w:val="en-US"/>
        </w:rPr>
        <w:t xml:space="preserve">Palladino, Lenore. 2020a. “Financialization at Work: Shareholder Primacy and Stagnant Wages in the United States.” Competition &amp; Change. </w:t>
      </w:r>
      <w:hyperlink r:id="rId10" w:history="1">
        <w:r w:rsidR="00F42619" w:rsidRPr="0068632F">
          <w:rPr>
            <w:rStyle w:val="Hyperlink"/>
            <w:bCs/>
            <w:sz w:val="20"/>
            <w:szCs w:val="20"/>
            <w:lang w:val="en-US"/>
          </w:rPr>
          <w:t>https://doi.org/10.1177/1024529420934641</w:t>
        </w:r>
      </w:hyperlink>
      <w:r w:rsidR="00F42619" w:rsidRPr="0068632F">
        <w:rPr>
          <w:bCs/>
          <w:sz w:val="20"/>
          <w:szCs w:val="20"/>
          <w:lang w:val="en-US"/>
        </w:rPr>
        <w:t>.</w:t>
      </w:r>
    </w:p>
  </w:footnote>
  <w:footnote w:id="82">
    <w:p w14:paraId="30F4E7B8" w14:textId="6AE932F4" w:rsidR="005C194F" w:rsidRPr="0068632F" w:rsidRDefault="005C194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bg-BG"/>
        </w:rPr>
        <w:t>Friedman, M. (2010). </w:t>
      </w:r>
      <w:r w:rsidRPr="0068632F">
        <w:rPr>
          <w:rFonts w:ascii="Times New Roman" w:hAnsi="Times New Roman" w:cs="Times New Roman"/>
          <w:i/>
          <w:iCs/>
          <w:lang w:val="bg-BG"/>
        </w:rPr>
        <w:t>Milton Friedman on Economics: selected papers</w:t>
      </w:r>
      <w:r w:rsidRPr="0068632F">
        <w:rPr>
          <w:rFonts w:ascii="Times New Roman" w:hAnsi="Times New Roman" w:cs="Times New Roman"/>
          <w:lang w:val="bg-BG"/>
        </w:rPr>
        <w:t>. University of Chicago Press.</w:t>
      </w:r>
    </w:p>
  </w:footnote>
  <w:footnote w:id="83">
    <w:p w14:paraId="2570B3B5" w14:textId="0A0F46D8" w:rsidR="00CF5066" w:rsidRPr="0068632F" w:rsidRDefault="00CF506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11" w:anchor=":~:text=The%20amendment%20on%20Thursday%20to,to%20limit%20abusive%20shareholder%20litigation.%22" w:history="1">
        <w:r w:rsidR="00866025" w:rsidRPr="0068632F">
          <w:rPr>
            <w:rStyle w:val="Hyperlink"/>
            <w:rFonts w:ascii="Times New Roman" w:hAnsi="Times New Roman" w:cs="Times New Roman"/>
            <w:lang w:val="bg-BG"/>
          </w:rPr>
          <w:t>Tesla blocks stockholders with less than 3% shares from suing officers on its behalf | Reuters</w:t>
        </w:r>
      </w:hyperlink>
      <w:r w:rsidR="00866025" w:rsidRPr="0068632F">
        <w:rPr>
          <w:rFonts w:ascii="Times New Roman" w:hAnsi="Times New Roman" w:cs="Times New Roman"/>
          <w:lang w:val="en-US"/>
        </w:rPr>
        <w:t>.</w:t>
      </w:r>
    </w:p>
  </w:footnote>
  <w:footnote w:id="84">
    <w:p w14:paraId="300FA935" w14:textId="680BB530" w:rsidR="00C03FDD" w:rsidRPr="0068632F" w:rsidRDefault="00C03FD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Goulding, S. (2020).</w:t>
      </w:r>
    </w:p>
  </w:footnote>
  <w:footnote w:id="85">
    <w:p w14:paraId="22D780B3" w14:textId="1A46D859"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Иако, на пример, професорите Андреј Шлајфер од Харвард и Роберт В. Вишни </w:t>
      </w:r>
      <w:r w:rsidR="00D86983" w:rsidRPr="0068632F">
        <w:rPr>
          <w:rFonts w:ascii="Times New Roman" w:hAnsi="Times New Roman" w:cs="Times New Roman"/>
          <w:lang w:val="mk-MK"/>
        </w:rPr>
        <w:t>о</w:t>
      </w:r>
      <w:r w:rsidRPr="0068632F">
        <w:rPr>
          <w:rFonts w:ascii="Times New Roman" w:hAnsi="Times New Roman" w:cs="Times New Roman"/>
          <w:lang w:val="mk-MK"/>
        </w:rPr>
        <w:t>д Чикашкиот универзитет</w:t>
      </w:r>
      <w:r w:rsidR="00D86983" w:rsidRPr="0068632F">
        <w:rPr>
          <w:rFonts w:ascii="Times New Roman" w:hAnsi="Times New Roman" w:cs="Times New Roman"/>
          <w:lang w:val="mk-MK"/>
        </w:rPr>
        <w:t>,</w:t>
      </w:r>
      <w:r w:rsidRPr="0068632F">
        <w:rPr>
          <w:rFonts w:ascii="Times New Roman" w:hAnsi="Times New Roman" w:cs="Times New Roman"/>
          <w:lang w:val="mk-MK"/>
        </w:rPr>
        <w:t xml:space="preserve"> реномирани истражувачи во областа на финансиите и пазарите на капитал, не се согласуваат со ова широко толкување, види Andrei Shleifer, Robert W. Wishny во Surveyof Corporate Governance, The Journal of Finance, Juni 1997.</w:t>
      </w:r>
    </w:p>
  </w:footnote>
  <w:footnote w:id="86">
    <w:p w14:paraId="40710C46"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Дефиниција усвоена и до Коевски Г. (2011) на страница 15.</w:t>
      </w:r>
    </w:p>
  </w:footnote>
  <w:footnote w:id="87">
    <w:p w14:paraId="4BF0AA9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Коевски Г. (2011)</w:t>
      </w:r>
      <w:r w:rsidRPr="0068632F">
        <w:rPr>
          <w:rFonts w:ascii="Times New Roman" w:hAnsi="Times New Roman" w:cs="Times New Roman"/>
          <w:lang w:val="en-US"/>
        </w:rPr>
        <w:t xml:space="preserve">, </w:t>
      </w:r>
      <w:r w:rsidRPr="0068632F">
        <w:rPr>
          <w:rFonts w:ascii="Times New Roman" w:hAnsi="Times New Roman" w:cs="Times New Roman"/>
          <w:lang w:val="mk-MK"/>
        </w:rPr>
        <w:t xml:space="preserve">страница број 15. </w:t>
      </w:r>
    </w:p>
  </w:footnote>
  <w:footnote w:id="88">
    <w:p w14:paraId="6ACCBEB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Koevski G., &amp; Spasevski D. (2023) Employee Participation – Obsolete or Resurrected Myth for Better Working of Commercial Companies, 54-77.</w:t>
      </w:r>
    </w:p>
  </w:footnote>
  <w:footnote w:id="89">
    <w:p w14:paraId="4BBE43B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Опширна анализа во Koevski, G., &amp; Spasevski, D. (2020). The Concept Of Respect Of Human Rights As A Part Of Corporate Social Responsibility In North Macedonia. Iustinianus Primus Law Review.</w:t>
      </w:r>
    </w:p>
  </w:footnote>
  <w:footnote w:id="90">
    <w:p w14:paraId="5D394C8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види </w:t>
      </w:r>
      <w:r w:rsidRPr="0068632F">
        <w:rPr>
          <w:bCs/>
          <w:sz w:val="20"/>
          <w:szCs w:val="20"/>
          <w:lang w:val="mk-MK"/>
        </w:rPr>
        <w:t>Dussauge, P., &amp; Garrette, B. (1995). Determinants of success in international strategic alliances: Evidence from the global aerospace industry. Journal of International Business Studies, 26(3), 505–530.</w:t>
      </w:r>
    </w:p>
  </w:footnote>
  <w:footnote w:id="91">
    <w:p w14:paraId="7A38B61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Коевски Г. (2011), страница број 11.</w:t>
      </w:r>
    </w:p>
  </w:footnote>
  <w:footnote w:id="92">
    <w:p w14:paraId="6CAEB0A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Alexander, Frederick. 2017. Benefit Corporation Law and Governance. Berrett-Koehler Publishers. Alexander, Frederick. 2020. “The Benefit Stance: Responsible Ownership in the 21st Century.” 36 Oxford Review of Economic Policy 341.</w:t>
      </w:r>
    </w:p>
  </w:footnote>
  <w:footnote w:id="93">
    <w:p w14:paraId="04BAD859"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на пример Gelev D. (2024) The Role of Executive Directors in Joint stock companies. </w:t>
      </w:r>
      <w:r w:rsidRPr="0068632F">
        <w:rPr>
          <w:rFonts w:ascii="Times New Roman" w:hAnsi="Times New Roman" w:cs="Times New Roman"/>
          <w:lang w:val="en-US"/>
        </w:rPr>
        <w:t xml:space="preserve">Independent publication available at: </w:t>
      </w:r>
      <w:hyperlink r:id="rId12" w:history="1">
        <w:r w:rsidRPr="0068632F">
          <w:rPr>
            <w:rStyle w:val="Hyperlink"/>
            <w:rFonts w:ascii="Times New Roman" w:hAnsi="Times New Roman" w:cs="Times New Roman"/>
          </w:rPr>
          <w:t>Извршни директори | Dimitar Gelev - Academia.edu</w:t>
        </w:r>
      </w:hyperlink>
      <w:r w:rsidRPr="0068632F">
        <w:rPr>
          <w:rFonts w:ascii="Times New Roman" w:hAnsi="Times New Roman" w:cs="Times New Roman"/>
          <w:lang w:val="en-US"/>
        </w:rPr>
        <w:t>.</w:t>
      </w:r>
    </w:p>
  </w:footnote>
  <w:footnote w:id="94">
    <w:p w14:paraId="0F0A894E"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види </w:t>
      </w:r>
      <w:r w:rsidRPr="0068632F">
        <w:rPr>
          <w:bCs/>
          <w:sz w:val="20"/>
          <w:szCs w:val="20"/>
          <w:lang w:val="mk-MK"/>
        </w:rPr>
        <w:t xml:space="preserve">Arin˜o, A. (2003). Measures of strategic alliance performance: An analysis of construct validity. Journal of International Business Studies, 34(1), 66 –79. </w:t>
      </w:r>
    </w:p>
  </w:footnote>
  <w:footnote w:id="95">
    <w:p w14:paraId="224226F1"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Anand, B. N., &amp; Khanna, T. (2000). Do firms learn to create value? The case of alliances. Strategic Management Journal, 21(3), 295–315. </w:t>
      </w:r>
    </w:p>
  </w:footnote>
  <w:footnote w:id="96">
    <w:p w14:paraId="5EDCA877"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 xml:space="preserve">Beamish, P. W., &amp; Killing, J. P. (Eds.). (1997). Cooperative strategies: European perspectives. San Francisco: New Lexington Press. </w:t>
      </w:r>
    </w:p>
  </w:footnote>
  <w:footnote w:id="97">
    <w:p w14:paraId="5237D0EB"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Fahy, J., Hooley, G., Cox, T., Beracs, J., Fonfara, K., &amp; Snoj, B. (2000). The development and impact of marketing capabilities in central Europe. Journal of International Business Studies, 31(1), 63– 81.</w:t>
      </w:r>
    </w:p>
  </w:footnote>
  <w:footnote w:id="98">
    <w:p w14:paraId="4256B298"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Пример, види </w:t>
      </w:r>
      <w:r w:rsidRPr="0068632F">
        <w:rPr>
          <w:bCs/>
          <w:sz w:val="20"/>
          <w:szCs w:val="20"/>
          <w:lang w:val="mk-MK"/>
        </w:rPr>
        <w:t xml:space="preserve">Fligstein, Neil, and Taek-jin Shin. 2007. “The Transformation of the American Economy, 1984- 2001.” 22 Sociological Focus 399. </w:t>
      </w:r>
    </w:p>
  </w:footnote>
  <w:footnote w:id="99">
    <w:p w14:paraId="130E484A"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Krippner, G.R. 2012. Capitalizing on Crisis: The Political Origins of the Rise of Finance. Harvard University Press.</w:t>
      </w:r>
    </w:p>
  </w:footnote>
  <w:footnote w:id="100">
    <w:p w14:paraId="25F7F4E8"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Коевски Г. (2011), страница број 21.</w:t>
      </w:r>
    </w:p>
  </w:footnote>
  <w:footnote w:id="101">
    <w:p w14:paraId="347B40B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bCs/>
          <w:lang w:val="mk-MK"/>
        </w:rPr>
        <w:t xml:space="preserve">Beamish, P. W., &amp; Killing, J. P. (Eds.). (1997). Cooperative 90 Academy of Management Perspectives May strategies: North American perspectives. San Francisco: New Lexington Press. </w:t>
      </w:r>
    </w:p>
  </w:footnote>
  <w:footnote w:id="102">
    <w:p w14:paraId="776DD363"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Со помош на </w:t>
      </w:r>
      <w:r w:rsidRPr="0068632F">
        <w:rPr>
          <w:bCs/>
          <w:sz w:val="20"/>
          <w:szCs w:val="20"/>
          <w:lang w:val="en-US"/>
        </w:rPr>
        <w:t>Berle, Adolph, and Gardiner Means. (1932) 1991. The Modern Corporation and Private Property. Routledge.</w:t>
      </w:r>
    </w:p>
  </w:footnote>
  <w:footnote w:id="103">
    <w:p w14:paraId="4B537E4A"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Bureau of Labor Statistics. 2021. “Union Members – 2020.” News release USDL-21-0081, January 22, 2021. </w:t>
      </w:r>
      <w:hyperlink r:id="rId13" w:history="1">
        <w:r w:rsidRPr="0068632F">
          <w:rPr>
            <w:rStyle w:val="Hyperlink"/>
            <w:bCs/>
            <w:sz w:val="20"/>
            <w:szCs w:val="20"/>
            <w:lang w:val="en-US"/>
          </w:rPr>
          <w:t>https://www.bls.gov/news.release/pdf/union2.pdf</w:t>
        </w:r>
      </w:hyperlink>
      <w:r w:rsidRPr="0068632F">
        <w:rPr>
          <w:bCs/>
          <w:sz w:val="20"/>
          <w:szCs w:val="20"/>
          <w:lang w:val="en-US"/>
        </w:rPr>
        <w:t xml:space="preserve">. </w:t>
      </w:r>
    </w:p>
  </w:footnote>
  <w:footnote w:id="104">
    <w:p w14:paraId="5D20CA8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Biondi, Yuri, Arnaldo Canziani, and Thierry Kirat. 2007. The Firm as an Entity. Routledge.</w:t>
      </w:r>
    </w:p>
  </w:footnote>
  <w:footnote w:id="105">
    <w:p w14:paraId="4E0586BC"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анализа во однос на Република Чешка, </w:t>
      </w:r>
      <w:r w:rsidRPr="0068632F">
        <w:rPr>
          <w:bCs/>
          <w:sz w:val="20"/>
          <w:szCs w:val="20"/>
          <w:lang w:val="mk-MK"/>
        </w:rPr>
        <w:t>Djankov, S., &amp; Hoekman, B. (2000). Foreign investment and productivity growth in Czech enterprises. World Bank Economic Review, 14(1), 49 – 64.</w:t>
      </w:r>
    </w:p>
  </w:footnote>
  <w:footnote w:id="106">
    <w:p w14:paraId="450ECC4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на пример Koevski, G., &amp; Spasevski, D. (2020). The Concept оf Respect оf Human Rights аs а Part оf Corporate Social Responsibility in North Macedonia. Iustinianus Primus Law Review.</w:t>
      </w:r>
    </w:p>
  </w:footnote>
  <w:footnote w:id="107">
    <w:p w14:paraId="63BF0ABE"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За линк со вклученоста на вработените види </w:t>
      </w:r>
      <w:r w:rsidRPr="0068632F">
        <w:rPr>
          <w:bCs/>
          <w:sz w:val="20"/>
          <w:szCs w:val="20"/>
          <w:lang w:val="mk-MK"/>
        </w:rPr>
        <w:t xml:space="preserve">Fauver, Larry, and Michael Fuerst. 2006. “Does Good Corporate Governance Include Employee Representation? Evidence from German Corporate Boards.” 82 Journal of Financial Economics 673. </w:t>
      </w:r>
      <w:hyperlink r:id="rId14" w:history="1">
        <w:r w:rsidRPr="0068632F">
          <w:rPr>
            <w:rStyle w:val="Hyperlink"/>
            <w:bCs/>
            <w:sz w:val="20"/>
            <w:szCs w:val="20"/>
            <w:lang w:val="mk-MK"/>
          </w:rPr>
          <w:t>https://doi.org/10.1016/j.jfineco.2005.10.005</w:t>
        </w:r>
      </w:hyperlink>
      <w:r w:rsidRPr="0068632F">
        <w:rPr>
          <w:bCs/>
          <w:sz w:val="20"/>
          <w:szCs w:val="20"/>
          <w:lang w:val="mk-MK"/>
        </w:rPr>
        <w:t xml:space="preserve">. </w:t>
      </w:r>
    </w:p>
  </w:footnote>
  <w:footnote w:id="108">
    <w:p w14:paraId="330C0426" w14:textId="2CE1AEB9"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Adler, S., &amp; Cole, E. (1993). Designed for learning: A tale of two auto plants. Sloan Management Review</w:t>
      </w:r>
      <w:r w:rsidRPr="0068632F">
        <w:rPr>
          <w:bCs/>
          <w:sz w:val="20"/>
          <w:szCs w:val="20"/>
          <w:lang w:val="en-US"/>
        </w:rPr>
        <w:t xml:space="preserve">, </w:t>
      </w:r>
      <w:r w:rsidRPr="0068632F">
        <w:rPr>
          <w:bCs/>
          <w:sz w:val="20"/>
          <w:szCs w:val="20"/>
          <w:lang w:val="mk-MK"/>
        </w:rPr>
        <w:t>85</w:t>
      </w:r>
      <w:r w:rsidR="00C02BC7" w:rsidRPr="0068632F">
        <w:rPr>
          <w:bCs/>
          <w:sz w:val="20"/>
          <w:szCs w:val="20"/>
          <w:lang w:val="mk-MK"/>
        </w:rPr>
        <w:t>.</w:t>
      </w:r>
    </w:p>
  </w:footnote>
  <w:footnote w:id="109">
    <w:p w14:paraId="29AD7566" w14:textId="2B2C8431" w:rsidR="00C02BC7" w:rsidRPr="0068632F" w:rsidRDefault="00C02BC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92F61" w:rsidRPr="0068632F">
        <w:rPr>
          <w:rFonts w:ascii="Times New Roman" w:hAnsi="Times New Roman" w:cs="Times New Roman"/>
          <w:lang w:val="mk-MK"/>
        </w:rPr>
        <w:t xml:space="preserve">Види за споредба </w:t>
      </w:r>
      <w:r w:rsidR="00992F61" w:rsidRPr="0068632F">
        <w:rPr>
          <w:rFonts w:ascii="Times New Roman" w:hAnsi="Times New Roman" w:cs="Times New Roman"/>
          <w:bCs/>
          <w:lang w:val="mk-MK"/>
        </w:rPr>
        <w:t>Delios, A., &amp; Beamish, P. W. (2001). Survival and profitability: The roles of experience and intangible assets in foreign subsidiary performance. Academy of Management Journal, 44(5), 1028 –1038.</w:t>
      </w:r>
    </w:p>
  </w:footnote>
  <w:footnote w:id="110">
    <w:p w14:paraId="6F07F992"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Lazonick, William, and Mary O’Sullivan. 2000. “Maximizing Shareholder Value: A New Ideology for Corporate Governance.” 29 Economy and Society 13. </w:t>
      </w:r>
      <w:hyperlink r:id="rId15" w:history="1">
        <w:r w:rsidRPr="0068632F">
          <w:rPr>
            <w:rStyle w:val="Hyperlink"/>
            <w:bCs/>
            <w:sz w:val="20"/>
            <w:szCs w:val="20"/>
            <w:lang w:val="en-US"/>
          </w:rPr>
          <w:t>https://doi.org/10.1080/030851400360541</w:t>
        </w:r>
      </w:hyperlink>
      <w:r w:rsidRPr="0068632F">
        <w:rPr>
          <w:bCs/>
          <w:sz w:val="20"/>
          <w:szCs w:val="20"/>
          <w:lang w:val="en-US"/>
        </w:rPr>
        <w:t xml:space="preserve">. </w:t>
      </w:r>
    </w:p>
  </w:footnote>
  <w:footnote w:id="111">
    <w:p w14:paraId="1FFE5917"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Koevski G., &amp; Spasevski D. (2023) Employee Participation – Obsolete or Resurrected Myth for Better Working of Commercial Companies, 54-77</w:t>
      </w:r>
      <w:r w:rsidRPr="0068632F">
        <w:rPr>
          <w:rFonts w:ascii="Times New Roman" w:hAnsi="Times New Roman" w:cs="Times New Roman"/>
          <w:lang w:val="en-US"/>
        </w:rPr>
        <w:t>.</w:t>
      </w:r>
    </w:p>
  </w:footnote>
  <w:footnote w:id="112">
    <w:p w14:paraId="7BAC955A"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Bowles, Samuel, and Robert Boyer. 1988. “Labor Discipline and Aggregate Demand: A Macroeconomic Model.” University of California, Berkeley, Department of Economics Working Paper No. 8875, Berkeley, California, June 1988. </w:t>
      </w:r>
      <w:hyperlink r:id="rId16" w:history="1">
        <w:r w:rsidRPr="0068632F">
          <w:rPr>
            <w:rStyle w:val="Hyperlink"/>
            <w:bCs/>
            <w:sz w:val="20"/>
            <w:szCs w:val="20"/>
            <w:lang w:val="mk-MK"/>
          </w:rPr>
          <w:t>https://escholarship.org/uc/item/8sb2623g</w:t>
        </w:r>
      </w:hyperlink>
      <w:r w:rsidRPr="0068632F">
        <w:rPr>
          <w:bCs/>
          <w:sz w:val="20"/>
          <w:szCs w:val="20"/>
          <w:lang w:val="mk-MK"/>
        </w:rPr>
        <w:t xml:space="preserve">. </w:t>
      </w:r>
    </w:p>
  </w:footnote>
  <w:footnote w:id="113">
    <w:p w14:paraId="26EAA14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Fraser, Douglas. 1982. “Worker Participation in Corporate Governance: the U.A.W.-Chrysler Experience.” 58 Chicago-Kent Law Review 949.</w:t>
      </w:r>
    </w:p>
  </w:footnote>
  <w:footnote w:id="114">
    <w:p w14:paraId="1239AC69"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Freeman, Richard. 1980. “The Exit-Voice Tradeoff in the Labor Market: Unionism, Job Tenure, Quits, and Separations.” XCIV Quarterly Journal of Economics 643. </w:t>
      </w:r>
    </w:p>
  </w:footnote>
  <w:footnote w:id="115">
    <w:p w14:paraId="4997F18A"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Jensen, Michael, and William Meckling. 1976. “Theory of the Firm: Managerial Behavior, Agency Costs and Ownership Structure.” 3 Journal of Financial Economics 305. </w:t>
      </w:r>
      <w:hyperlink r:id="rId17" w:history="1">
        <w:r w:rsidRPr="0068632F">
          <w:rPr>
            <w:rStyle w:val="Hyperlink"/>
            <w:bCs/>
            <w:sz w:val="20"/>
            <w:szCs w:val="20"/>
            <w:lang w:val="en-US"/>
          </w:rPr>
          <w:t>https://doi.org/10.1016/0304-405X(76)90026-X</w:t>
        </w:r>
      </w:hyperlink>
      <w:r w:rsidRPr="0068632F">
        <w:rPr>
          <w:bCs/>
          <w:sz w:val="20"/>
          <w:szCs w:val="20"/>
          <w:lang w:val="en-US"/>
        </w:rPr>
        <w:t xml:space="preserve">.  </w:t>
      </w:r>
    </w:p>
  </w:footnote>
  <w:footnote w:id="116">
    <w:p w14:paraId="651A1A37"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Blair, Margaret, and Lynn Stout. 1999. “A Team Production Theory of Corporate Law.” Virginia Law Review 247.</w:t>
      </w:r>
    </w:p>
  </w:footnote>
  <w:footnote w:id="117">
    <w:p w14:paraId="356C9D14"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Kassoy, Andrew, Frederick Alexander, Holly Ensign-Barstow, and Lenore Palladino. 2020. “From Shareholder Primacy to Stakeholder Capitalism: A Policy Agenda for Systems Change.” B Lab. </w:t>
      </w:r>
      <w:hyperlink r:id="rId18" w:history="1">
        <w:r w:rsidRPr="0068632F">
          <w:rPr>
            <w:rStyle w:val="Hyperlink"/>
            <w:bCs/>
            <w:sz w:val="20"/>
            <w:szCs w:val="20"/>
            <w:lang w:val="en-US"/>
          </w:rPr>
          <w:t>https://bcorporation.net/news/today-we-put-forward-policy-agenda-systems-change</w:t>
        </w:r>
      </w:hyperlink>
      <w:r w:rsidRPr="0068632F">
        <w:rPr>
          <w:bCs/>
          <w:sz w:val="20"/>
          <w:szCs w:val="20"/>
          <w:lang w:val="en-US"/>
        </w:rPr>
        <w:t xml:space="preserve">.  </w:t>
      </w:r>
    </w:p>
  </w:footnote>
  <w:footnote w:id="118">
    <w:p w14:paraId="22D2CDBA"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Blasi, Joseph, Douglas Kruse, and Richard Freeman. 2013. The Citizen’s Share. Yale University Press</w:t>
      </w:r>
      <w:r w:rsidRPr="0068632F">
        <w:rPr>
          <w:rFonts w:ascii="Times New Roman" w:hAnsi="Times New Roman" w:cs="Times New Roman"/>
          <w:bCs/>
          <w:lang w:val="en-US"/>
        </w:rPr>
        <w:t xml:space="preserve">. </w:t>
      </w:r>
    </w:p>
  </w:footnote>
  <w:footnote w:id="119">
    <w:p w14:paraId="0C2B1AA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 xml:space="preserve">Ireland, Paddy. 2010. “Limited Liability, Shareholder Rights and the Problem of Corporate Irresponsibility.” 34 Cambridge Journal of Economics 837. </w:t>
      </w:r>
      <w:hyperlink r:id="rId19" w:history="1">
        <w:r w:rsidRPr="0068632F">
          <w:rPr>
            <w:rStyle w:val="Hyperlink"/>
            <w:rFonts w:ascii="Times New Roman" w:hAnsi="Times New Roman" w:cs="Times New Roman"/>
            <w:bCs/>
            <w:lang w:val="en-US"/>
          </w:rPr>
          <w:t>https://doi.org/10.1093/cje/ben040</w:t>
        </w:r>
      </w:hyperlink>
      <w:r w:rsidRPr="0068632F">
        <w:rPr>
          <w:rStyle w:val="Hyperlink"/>
          <w:rFonts w:ascii="Times New Roman" w:hAnsi="Times New Roman" w:cs="Times New Roman"/>
          <w:bCs/>
          <w:lang w:val="en-US"/>
        </w:rPr>
        <w:t>.</w:t>
      </w:r>
    </w:p>
  </w:footnote>
  <w:footnote w:id="120">
    <w:p w14:paraId="6CAA80C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Brouthers, K. D. (2002). Institutional, cultural and transaction cost influences on entry mode choice and performance. Journal of International Business Studies, 33(2), 203–221. </w:t>
      </w:r>
    </w:p>
  </w:footnote>
  <w:footnote w:id="121">
    <w:p w14:paraId="641C86F9"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Freeman, Richard, and James Medoff. 1984. What Do Unions Do. Basic Books.</w:t>
      </w:r>
    </w:p>
  </w:footnote>
  <w:footnote w:id="122">
    <w:p w14:paraId="3572EF6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Glaister, K. W., &amp; Buckley, P. J. (1998). Measures of performance in U.K. international alliances. Organization Studies, 19(1), 89 –118.</w:t>
      </w:r>
    </w:p>
  </w:footnote>
  <w:footnote w:id="123">
    <w:p w14:paraId="1556057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Greenfield, Kent. 2006. The Failure of Corporate Law. University of Chicago Press. </w:t>
      </w:r>
    </w:p>
  </w:footnote>
  <w:footnote w:id="124">
    <w:p w14:paraId="201BE2D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Gupta, A. K., &amp; Govindarajan, V. (2000). Knowledge flows within multinational corporations. Strategic Management Journal, 21(4), 473– 496.</w:t>
      </w:r>
    </w:p>
  </w:footnote>
  <w:footnote w:id="125">
    <w:p w14:paraId="68DB5389"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Grout, Paul. 1984. “Investment and Wages in the Absence of Binding Contracts: A Nash Bargaining Approach.” 52 Econometrics 449.</w:t>
      </w:r>
    </w:p>
  </w:footnote>
  <w:footnote w:id="126">
    <w:p w14:paraId="282B3CAB" w14:textId="18D57CBE" w:rsidR="000E37A2" w:rsidRPr="0068632F" w:rsidRDefault="000E37A2"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6F05E2" w:rsidRPr="0068632F">
        <w:rPr>
          <w:sz w:val="20"/>
          <w:szCs w:val="20"/>
          <w:lang w:val="mk-MK"/>
        </w:rPr>
        <w:t xml:space="preserve">Види </w:t>
      </w:r>
      <w:r w:rsidR="006F05E2" w:rsidRPr="0068632F">
        <w:rPr>
          <w:bCs/>
          <w:sz w:val="20"/>
          <w:szCs w:val="20"/>
          <w:lang w:val="en-US"/>
        </w:rPr>
        <w:t xml:space="preserve">Liebman, Wilma B. 2017. </w:t>
      </w:r>
    </w:p>
  </w:footnote>
  <w:footnote w:id="127">
    <w:p w14:paraId="41209665" w14:textId="3244BA31"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Закони за трговските друштва на Австралија, Австрија, Аргентина, Бразил, Германија, Франција, Италија, САД, ОК, Кина, Канада, Јапонија, Сингапур, Шпанија и релеванатната легислатива од </w:t>
      </w:r>
      <w:r w:rsidR="00542E21" w:rsidRPr="0068632F">
        <w:rPr>
          <w:bCs/>
          <w:sz w:val="20"/>
          <w:szCs w:val="20"/>
          <w:lang w:val="mk-MK"/>
        </w:rPr>
        <w:t>ЕУ.</w:t>
      </w:r>
    </w:p>
  </w:footnote>
  <w:footnote w:id="128">
    <w:p w14:paraId="1A36828D"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Directive (EU) 2022/2381 of the European Parliament and of the Council of 23 November 2022 on improving the gender balance among directors of listed companies</w:t>
      </w:r>
      <w:r w:rsidRPr="0068632F">
        <w:rPr>
          <w:rFonts w:ascii="Times New Roman" w:hAnsi="Times New Roman" w:cs="Times New Roman"/>
          <w:lang w:val="en-US"/>
        </w:rPr>
        <w:t>.</w:t>
      </w:r>
    </w:p>
  </w:footnote>
  <w:footnote w:id="129">
    <w:p w14:paraId="26E335A7" w14:textId="0E34F0E5" w:rsidR="009B7F81" w:rsidRPr="0068632F" w:rsidRDefault="009B7F8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Woodcock, C. P., Beamish, P. W., &amp; Makino, S. (1994).</w:t>
      </w:r>
    </w:p>
  </w:footnote>
  <w:footnote w:id="130">
    <w:p w14:paraId="383B173E"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Strategic Management Journal, 20(4), 359 –374.</w:t>
      </w:r>
      <w:r w:rsidRPr="0068632F">
        <w:rPr>
          <w:bCs/>
          <w:sz w:val="20"/>
          <w:szCs w:val="20"/>
          <w:lang w:val="en-US"/>
        </w:rPr>
        <w:t xml:space="preserve"> </w:t>
      </w:r>
      <w:r w:rsidRPr="0068632F">
        <w:rPr>
          <w:bCs/>
          <w:sz w:val="20"/>
          <w:szCs w:val="20"/>
          <w:lang w:val="mk-MK"/>
        </w:rPr>
        <w:t>Pan, Y. G., Li, S. M., &amp; Tse, D. K. (1999). The impact of</w:t>
      </w:r>
      <w:r w:rsidRPr="0068632F">
        <w:rPr>
          <w:bCs/>
          <w:sz w:val="20"/>
          <w:szCs w:val="20"/>
          <w:lang w:val="en-US"/>
        </w:rPr>
        <w:t xml:space="preserve"> </w:t>
      </w:r>
      <w:r w:rsidRPr="0068632F">
        <w:rPr>
          <w:bCs/>
          <w:sz w:val="20"/>
          <w:szCs w:val="20"/>
          <w:lang w:val="mk-MK"/>
        </w:rPr>
        <w:t>order and mode of market entry on profitability and</w:t>
      </w:r>
      <w:r w:rsidRPr="0068632F">
        <w:rPr>
          <w:bCs/>
          <w:sz w:val="20"/>
          <w:szCs w:val="20"/>
          <w:lang w:val="en-US"/>
        </w:rPr>
        <w:t xml:space="preserve"> </w:t>
      </w:r>
      <w:r w:rsidRPr="0068632F">
        <w:rPr>
          <w:bCs/>
          <w:sz w:val="20"/>
          <w:szCs w:val="20"/>
          <w:lang w:val="mk-MK"/>
        </w:rPr>
        <w:t>market share. Journal of International Business Studies, 30(1), 81–103.</w:t>
      </w:r>
    </w:p>
  </w:footnote>
  <w:footnote w:id="131">
    <w:p w14:paraId="4DF76BF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bCs/>
          <w:lang w:val="mk-MK"/>
        </w:rPr>
        <w:t>Pan, Y. G., Li, S. M., &amp; Tse, D. K. (1999).</w:t>
      </w:r>
    </w:p>
  </w:footnote>
  <w:footnote w:id="132">
    <w:p w14:paraId="27F565F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Woodcock, C. P., Beamish, P. W., &amp; Makino, S. (1994). Ownership-based entry mode strategies and international performance. Journal of International Business Studies, 25, 253–273.</w:t>
      </w:r>
    </w:p>
  </w:footnote>
  <w:footnote w:id="133">
    <w:p w14:paraId="0C551437"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Turner, Ronald. 1989. “Predecision Bargaining and the Core of Entrepreneurial Control: The Ups and Downs of Otis Elevator.” 39 DePaul Law Review 43. </w:t>
      </w:r>
    </w:p>
  </w:footnote>
  <w:footnote w:id="134">
    <w:p w14:paraId="36F53BE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 xml:space="preserve">Grout, Paul. 1984. </w:t>
      </w:r>
    </w:p>
  </w:footnote>
  <w:footnote w:id="135">
    <w:p w14:paraId="7907D00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Woodcock, C. P., Beamish, P. W., &amp; Makino, S. (1994).</w:t>
      </w:r>
    </w:p>
  </w:footnote>
  <w:footnote w:id="136">
    <w:p w14:paraId="3BC57956"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Blair, Margaret, and Lynn Stout. 1999.</w:t>
      </w:r>
    </w:p>
  </w:footnote>
  <w:footnote w:id="137">
    <w:p w14:paraId="21CCA066"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bCs/>
          <w:lang w:val="mk-MK"/>
        </w:rPr>
        <w:t>Pan, Y. G., Li, S. M., &amp; Tse, D. K. (1999).</w:t>
      </w:r>
    </w:p>
  </w:footnote>
  <w:footnote w:id="138">
    <w:p w14:paraId="54EB1CD9" w14:textId="511D7A89" w:rsidR="006E3387" w:rsidRPr="0068632F" w:rsidRDefault="006E338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C36BD" w:rsidRPr="0068632F">
        <w:rPr>
          <w:rFonts w:ascii="Times New Roman" w:hAnsi="Times New Roman" w:cs="Times New Roman"/>
          <w:lang w:val="en-US"/>
        </w:rPr>
        <w:t>Paddy, I.</w:t>
      </w:r>
      <w:r w:rsidR="009C36BD" w:rsidRPr="0068632F">
        <w:rPr>
          <w:rFonts w:ascii="Times New Roman" w:hAnsi="Times New Roman" w:cs="Times New Roman"/>
          <w:lang w:val="mk-MK"/>
        </w:rPr>
        <w:t xml:space="preserve"> (2010).</w:t>
      </w:r>
    </w:p>
  </w:footnote>
  <w:footnote w:id="139">
    <w:p w14:paraId="42323FD2"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mk-MK"/>
        </w:rPr>
        <w:t>Palladino, L. (2021). Economic Democracy at Work: Why (and How) Workers Should Be Represented on US Corporate Boards. Journal of Law and Political Economy, 1(3).</w:t>
      </w:r>
    </w:p>
  </w:footnote>
  <w:footnote w:id="140">
    <w:p w14:paraId="1CC7422B"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en-US"/>
        </w:rPr>
        <w:t>Silvia, Stephen. 2013. Holding the Shop Together: German Industrial Relations in the Postwar Era. Cornell University Press.</w:t>
      </w:r>
    </w:p>
  </w:footnote>
  <w:footnote w:id="141">
    <w:p w14:paraId="23422E29"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На пример, Dammann, J., &amp; Eidenmuller, H. (2020). Codetermination: a poor fit for US corporations. Colum. Bus. L. Rev., 870</w:t>
      </w:r>
      <w:r w:rsidRPr="0068632F">
        <w:rPr>
          <w:rFonts w:ascii="Times New Roman" w:hAnsi="Times New Roman" w:cs="Times New Roman"/>
          <w:lang w:val="en-US"/>
        </w:rPr>
        <w:t xml:space="preserve">, </w:t>
      </w:r>
      <w:r w:rsidRPr="0068632F">
        <w:rPr>
          <w:rFonts w:ascii="Times New Roman" w:hAnsi="Times New Roman" w:cs="Times New Roman"/>
          <w:lang w:val="mk-MK"/>
        </w:rPr>
        <w:t xml:space="preserve">страници 28-33. </w:t>
      </w:r>
    </w:p>
  </w:footnote>
  <w:footnote w:id="142">
    <w:p w14:paraId="3CF199C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55.</w:t>
      </w:r>
    </w:p>
  </w:footnote>
  <w:footnote w:id="143">
    <w:p w14:paraId="1BA49087"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 John и S. Estrin, Employee Ownership in Transition во Frydman Roman, Cheryl W. Gray и A. Rapaczynsky (editors), „Corporate Governance in Central Europe and Russia” (volume 1 and 2), CEU Press, Budapest, Hungary, 1996.</w:t>
      </w:r>
    </w:p>
  </w:footnote>
  <w:footnote w:id="144">
    <w:p w14:paraId="134957D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Базирано на C. David, Workers and Corporate Governance, во Blair M. M. and M. J. Roe edition, „Employees and Corporate Governance”, Brookings Institution Press, Washington D.C. 1999.</w:t>
      </w:r>
    </w:p>
  </w:footnote>
  <w:footnote w:id="145">
    <w:p w14:paraId="7FBBDA46"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55.</w:t>
      </w:r>
    </w:p>
  </w:footnote>
  <w:footnote w:id="146">
    <w:p w14:paraId="64B1A35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M. O’Connor, Employees and Corporate Governance: United States: Labors Role in the American Corporate Governance Structure, , 22 Comparative Labor Law &amp; Policy Journal, Fall, 2000.</w:t>
      </w:r>
    </w:p>
  </w:footnote>
  <w:footnote w:id="147">
    <w:p w14:paraId="0DD440D0"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Hansmann H. и Kraakman R., (2004), The Basic Governance Structure, во Kraakman Reinier, Paul Davies, Henry Hansmann, Gerard Hertig, Klaus Hopt, Hideki Kanda и Edward Rock edition, The Anatomy of Corporate Law – A Comparative and Functional Approach, Oxford University Press.</w:t>
      </w:r>
    </w:p>
  </w:footnote>
  <w:footnote w:id="148">
    <w:p w14:paraId="22C716E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Иако важат за држава со</w:t>
      </w:r>
      <w:r w:rsidRPr="0068632F">
        <w:rPr>
          <w:rFonts w:ascii="Times New Roman" w:hAnsi="Times New Roman" w:cs="Times New Roman"/>
        </w:rPr>
        <w:t xml:space="preserve"> историски силно работничко движење</w:t>
      </w:r>
      <w:r w:rsidRPr="0068632F">
        <w:rPr>
          <w:rFonts w:ascii="Times New Roman" w:hAnsi="Times New Roman" w:cs="Times New Roman"/>
          <w:lang w:val="mk-MK"/>
        </w:rPr>
        <w:t>.</w:t>
      </w:r>
    </w:p>
  </w:footnote>
  <w:footnote w:id="149">
    <w:p w14:paraId="4AC5426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62.</w:t>
      </w:r>
    </w:p>
  </w:footnote>
  <w:footnote w:id="150">
    <w:p w14:paraId="4FAC13C6" w14:textId="303E8D48" w:rsidR="009652DC" w:rsidRPr="0068632F" w:rsidRDefault="009652D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Palladino, L. (2021</w:t>
      </w:r>
      <w:r w:rsidRPr="0068632F">
        <w:rPr>
          <w:rFonts w:ascii="Times New Roman" w:hAnsi="Times New Roman" w:cs="Times New Roman"/>
          <w:bCs/>
          <w:lang w:val="en-US"/>
        </w:rPr>
        <w:t>).</w:t>
      </w:r>
    </w:p>
  </w:footnote>
  <w:footnote w:id="151">
    <w:p w14:paraId="0C9137A6"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sz w:val="20"/>
          <w:szCs w:val="20"/>
          <w:lang w:val="mk-MK"/>
        </w:rPr>
        <w:t xml:space="preserve">Уникатен пример кој ќе биде разгледуван е и Кина, види </w:t>
      </w:r>
      <w:r w:rsidRPr="0068632F">
        <w:rPr>
          <w:bCs/>
          <w:sz w:val="20"/>
          <w:szCs w:val="20"/>
          <w:lang w:val="mk-MK"/>
        </w:rPr>
        <w:t>Pan, Y. G., &amp; Chi, P. S. K. (1999). Financial performance</w:t>
      </w:r>
      <w:r w:rsidRPr="0068632F">
        <w:rPr>
          <w:bCs/>
          <w:sz w:val="20"/>
          <w:szCs w:val="20"/>
          <w:lang w:val="en-US"/>
        </w:rPr>
        <w:t xml:space="preserve"> </w:t>
      </w:r>
      <w:r w:rsidRPr="0068632F">
        <w:rPr>
          <w:bCs/>
          <w:sz w:val="20"/>
          <w:szCs w:val="20"/>
          <w:lang w:val="mk-MK"/>
        </w:rPr>
        <w:t>and survival of multinational corporations in China.</w:t>
      </w:r>
    </w:p>
  </w:footnote>
  <w:footnote w:id="152">
    <w:p w14:paraId="3A1080B2"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Делумно анализирано во Koevski, G., &amp; Cupev, M. (2005). Taking over the Shareholding Company in FYR of Macedonia-New Regulations. Law Theory &amp; Prac., 22, 48.</w:t>
      </w:r>
    </w:p>
  </w:footnote>
  <w:footnote w:id="153">
    <w:p w14:paraId="2625F8A5"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Van de Ven, A. H., &amp; Polley, D. (1992). Learning while innovating. Organization Science, 3(1), 92–116. </w:t>
      </w:r>
    </w:p>
  </w:footnote>
  <w:footnote w:id="154">
    <w:p w14:paraId="19C08C77"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en-US"/>
        </w:rPr>
        <w:t xml:space="preserve">Stout, Lynn. 2012. The Shareholder Value Myth: How Putting Shareholders First Harms Investors, Corporations, and the Public. Berrett-Koehler Publishers. </w:t>
      </w:r>
    </w:p>
  </w:footnote>
  <w:footnote w:id="155">
    <w:p w14:paraId="0AD95F6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Piketty, Thomas. 2020. Capital and Ideology. Harvard University Press</w:t>
      </w:r>
      <w:r w:rsidRPr="0068632F">
        <w:rPr>
          <w:rFonts w:ascii="Times New Roman" w:hAnsi="Times New Roman" w:cs="Times New Roman"/>
          <w:bCs/>
          <w:lang w:val="mk-MK"/>
        </w:rPr>
        <w:t>.</w:t>
      </w:r>
    </w:p>
  </w:footnote>
  <w:footnote w:id="156">
    <w:p w14:paraId="502D2E9B"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O’Sullivan, Mary. 2000. “The Innovative Enterprise and Corporate Governance.” 24 Cambridge Journal of Economics 393. </w:t>
      </w:r>
      <w:hyperlink r:id="rId20" w:history="1">
        <w:r w:rsidRPr="0068632F">
          <w:rPr>
            <w:rStyle w:val="Hyperlink"/>
            <w:bCs/>
            <w:sz w:val="20"/>
            <w:szCs w:val="20"/>
            <w:lang w:val="en-US"/>
          </w:rPr>
          <w:t>https://doi.org/10.1093/cje/24.4.393</w:t>
        </w:r>
      </w:hyperlink>
      <w:r w:rsidRPr="0068632F">
        <w:rPr>
          <w:bCs/>
          <w:sz w:val="20"/>
          <w:szCs w:val="20"/>
          <w:lang w:val="en-US"/>
        </w:rPr>
        <w:t xml:space="preserve">.  </w:t>
      </w:r>
    </w:p>
  </w:footnote>
  <w:footnote w:id="157">
    <w:p w14:paraId="7061E1BF"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en-US"/>
        </w:rPr>
        <w:t>Parkinson, John, Andrew Gamble, and Gavin Kelly. 2001. The Political Economy of the Company. Hart Publishing.</w:t>
      </w:r>
    </w:p>
    <w:p w14:paraId="761E5CBC" w14:textId="77777777" w:rsidR="00ED2B59" w:rsidRPr="0068632F" w:rsidRDefault="00ED2B59" w:rsidP="00F01453">
      <w:pPr>
        <w:adjustRightInd w:val="0"/>
        <w:jc w:val="both"/>
        <w:rPr>
          <w:bCs/>
          <w:sz w:val="20"/>
          <w:szCs w:val="20"/>
          <w:lang w:val="mk-MK"/>
        </w:rPr>
      </w:pPr>
      <w:r w:rsidRPr="0068632F">
        <w:rPr>
          <w:bCs/>
          <w:sz w:val="20"/>
          <w:szCs w:val="20"/>
          <w:lang w:val="en-US"/>
        </w:rPr>
        <w:t xml:space="preserve">Penrose, Edith. 1959. Theory of the Growth of the Firm. Oxford University Press. </w:t>
      </w:r>
    </w:p>
  </w:footnote>
  <w:footnote w:id="158">
    <w:p w14:paraId="05D89E5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Piketty, Thomas. 2020.</w:t>
      </w:r>
    </w:p>
  </w:footnote>
  <w:footnote w:id="159">
    <w:p w14:paraId="623F6E2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Parkinson, John, Andrew Gamble, and Gavin Kelly. 2001</w:t>
      </w:r>
    </w:p>
  </w:footnote>
  <w:footnote w:id="160">
    <w:p w14:paraId="3671ECB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Piketty, Thomas. 2020.</w:t>
      </w:r>
    </w:p>
  </w:footnote>
  <w:footnote w:id="161">
    <w:p w14:paraId="4B930FC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Palladino, Lenore. 2020. “The Potential Benefits of Employee Ownership Funds in the US.” Social Science Research Network Working Paper, September 2020.</w:t>
      </w:r>
      <w:r w:rsidRPr="0068632F">
        <w:rPr>
          <w:rFonts w:ascii="Times New Roman" w:hAnsi="Times New Roman" w:cs="Times New Roman"/>
          <w:bCs/>
          <w:lang w:val="mk-MK"/>
        </w:rPr>
        <w:t xml:space="preserve"> </w:t>
      </w:r>
      <w:hyperlink r:id="rId21" w:history="1">
        <w:r w:rsidRPr="0068632F">
          <w:rPr>
            <w:rStyle w:val="Hyperlink"/>
            <w:rFonts w:ascii="Times New Roman" w:hAnsi="Times New Roman" w:cs="Times New Roman"/>
            <w:bCs/>
            <w:lang w:val="en-US"/>
          </w:rPr>
          <w:t>https://papers.ssrn.com/sol3/papers.cfm?abstract_id=3667152</w:t>
        </w:r>
      </w:hyperlink>
      <w:r w:rsidRPr="0068632F">
        <w:rPr>
          <w:rFonts w:ascii="Times New Roman" w:hAnsi="Times New Roman" w:cs="Times New Roman"/>
          <w:bCs/>
          <w:lang w:val="en-US"/>
        </w:rPr>
        <w:t>.</w:t>
      </w:r>
    </w:p>
  </w:footnote>
  <w:footnote w:id="162">
    <w:p w14:paraId="63D23E2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O’Sullivan, Mary. 2000</w:t>
      </w:r>
      <w:r w:rsidRPr="0068632F">
        <w:rPr>
          <w:rFonts w:ascii="Times New Roman" w:hAnsi="Times New Roman" w:cs="Times New Roman"/>
          <w:bCs/>
          <w:lang w:val="mk-MK"/>
        </w:rPr>
        <w:t>.</w:t>
      </w:r>
    </w:p>
  </w:footnote>
  <w:footnote w:id="163">
    <w:p w14:paraId="13A85D9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O’Sullivan, Mary. 2000</w:t>
      </w:r>
      <w:r w:rsidRPr="0068632F">
        <w:rPr>
          <w:rFonts w:ascii="Times New Roman" w:hAnsi="Times New Roman" w:cs="Times New Roman"/>
          <w:bCs/>
          <w:lang w:val="mk-MK"/>
        </w:rPr>
        <w:t>.</w:t>
      </w:r>
    </w:p>
  </w:footnote>
  <w:footnote w:id="164">
    <w:p w14:paraId="3D1ABBB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B. Erik and E. von Thadden, The Changing Corporate Governance Paradigm: Implications for Transition and Developing Countries”, SITE, Stockholm School of Economics and CERP, June 1999, стр. 15</w:t>
      </w:r>
      <w:r w:rsidRPr="0068632F">
        <w:rPr>
          <w:rFonts w:ascii="Times New Roman" w:hAnsi="Times New Roman" w:cs="Times New Roman"/>
          <w:lang w:val="mk-MK"/>
        </w:rPr>
        <w:t>.</w:t>
      </w:r>
    </w:p>
  </w:footnote>
  <w:footnote w:id="165">
    <w:p w14:paraId="459FA01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56.</w:t>
      </w:r>
    </w:p>
  </w:footnote>
  <w:footnote w:id="166">
    <w:p w14:paraId="17CC5E1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56.</w:t>
      </w:r>
    </w:p>
  </w:footnote>
  <w:footnote w:id="167">
    <w:p w14:paraId="1641FE0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en-US"/>
        </w:rPr>
        <w:t xml:space="preserve">Parkinson, John. 1997. “Company Law and Stakeholder Governance.” In Stakeholder Capitalism, edited by Andrew Gamble and Gavin Kelly, 142. Macmillan Publishers Limited. </w:t>
      </w:r>
    </w:p>
  </w:footnote>
  <w:footnote w:id="168">
    <w:p w14:paraId="7CBC424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M. Colin, New Issues in Corporate Finance” 32 European Economic Review, 1988.</w:t>
      </w:r>
    </w:p>
  </w:footnote>
  <w:footnote w:id="169">
    <w:p w14:paraId="5D47FD9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 Colin</w:t>
      </w:r>
      <w:r w:rsidRPr="0068632F">
        <w:rPr>
          <w:rFonts w:ascii="Times New Roman" w:hAnsi="Times New Roman" w:cs="Times New Roman"/>
          <w:lang w:val="mk-MK"/>
        </w:rPr>
        <w:t xml:space="preserve"> (1988).</w:t>
      </w:r>
    </w:p>
  </w:footnote>
  <w:footnote w:id="170">
    <w:p w14:paraId="2DD8EC5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 Colin</w:t>
      </w:r>
      <w:r w:rsidRPr="0068632F">
        <w:rPr>
          <w:rFonts w:ascii="Times New Roman" w:hAnsi="Times New Roman" w:cs="Times New Roman"/>
          <w:lang w:val="mk-MK"/>
        </w:rPr>
        <w:t xml:space="preserve"> (1988).</w:t>
      </w:r>
    </w:p>
  </w:footnote>
  <w:footnote w:id="171">
    <w:p w14:paraId="75F0897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w:t>
      </w:r>
      <w:r w:rsidRPr="0068632F">
        <w:rPr>
          <w:rFonts w:ascii="Times New Roman" w:hAnsi="Times New Roman" w:cs="Times New Roman"/>
        </w:rPr>
        <w:t xml:space="preserve">иди: D. Tsuk </w:t>
      </w:r>
      <w:r w:rsidRPr="0068632F">
        <w:rPr>
          <w:rFonts w:ascii="Times New Roman" w:hAnsi="Times New Roman" w:cs="Times New Roman"/>
          <w:lang w:val="mk-MK"/>
        </w:rPr>
        <w:t xml:space="preserve">(2003). </w:t>
      </w:r>
      <w:r w:rsidRPr="0068632F">
        <w:rPr>
          <w:rFonts w:ascii="Times New Roman" w:hAnsi="Times New Roman" w:cs="Times New Roman"/>
        </w:rPr>
        <w:t>Corporations Without Labour: The Politics of Progressive Corporate Law, University of Pennsylvania Law Review, Volume 151, Issue 6, 2003</w:t>
      </w:r>
    </w:p>
  </w:footnote>
  <w:footnote w:id="172">
    <w:p w14:paraId="27D5B63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 Tsuk </w:t>
      </w:r>
      <w:r w:rsidRPr="0068632F">
        <w:rPr>
          <w:rFonts w:ascii="Times New Roman" w:hAnsi="Times New Roman" w:cs="Times New Roman"/>
          <w:lang w:val="mk-MK"/>
        </w:rPr>
        <w:t>(2003).</w:t>
      </w:r>
    </w:p>
  </w:footnote>
  <w:footnote w:id="173">
    <w:p w14:paraId="4CBBAFF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 Tsuk </w:t>
      </w:r>
      <w:r w:rsidRPr="0068632F">
        <w:rPr>
          <w:rFonts w:ascii="Times New Roman" w:hAnsi="Times New Roman" w:cs="Times New Roman"/>
          <w:lang w:val="mk-MK"/>
        </w:rPr>
        <w:t>(2003).</w:t>
      </w:r>
    </w:p>
  </w:footnote>
  <w:footnote w:id="174">
    <w:p w14:paraId="575BB1F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 O’Connor</w:t>
      </w:r>
      <w:r w:rsidRPr="0068632F">
        <w:rPr>
          <w:rFonts w:ascii="Times New Roman" w:hAnsi="Times New Roman" w:cs="Times New Roman"/>
          <w:lang w:val="mk-MK"/>
        </w:rPr>
        <w:t xml:space="preserve"> (2000).</w:t>
      </w:r>
    </w:p>
  </w:footnote>
  <w:footnote w:id="175">
    <w:p w14:paraId="73C6180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58.</w:t>
      </w:r>
    </w:p>
  </w:footnote>
  <w:footnote w:id="176">
    <w:p w14:paraId="1194CE9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J. Roberts и E. van den Steen, Human Capital and Corporate Governance”, во Corporate Governance, Essays in Honor of Horst Albach, 2nd edition, Joachim Schwalbach (ed.), Publication of the Society for Economics and Management at Humbolt-University Berlin, 2003, 126–142.</w:t>
      </w:r>
    </w:p>
  </w:footnote>
  <w:footnote w:id="177">
    <w:p w14:paraId="14C5344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Piketty, Thomas. 2020.</w:t>
      </w:r>
    </w:p>
  </w:footnote>
  <w:footnote w:id="178">
    <w:p w14:paraId="6C72F94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 O’Connor</w:t>
      </w:r>
      <w:r w:rsidRPr="0068632F">
        <w:rPr>
          <w:rFonts w:ascii="Times New Roman" w:hAnsi="Times New Roman" w:cs="Times New Roman"/>
          <w:lang w:val="mk-MK"/>
        </w:rPr>
        <w:t xml:space="preserve"> (2000).</w:t>
      </w:r>
    </w:p>
  </w:footnote>
  <w:footnote w:id="179">
    <w:p w14:paraId="11D129AD"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види </w:t>
      </w:r>
      <w:r w:rsidRPr="0068632F">
        <w:rPr>
          <w:bCs/>
          <w:sz w:val="20"/>
          <w:szCs w:val="20"/>
          <w:lang w:val="en-US"/>
        </w:rPr>
        <w:t xml:space="preserve">Scholz, Robert, and Sigurt Vitols. 2019. “Board-Level Codetermination: A Driving Force for Corporate Social Responsibility in German Companies?” 25 European Journal of Industrial Relations 233. </w:t>
      </w:r>
    </w:p>
  </w:footnote>
  <w:footnote w:id="180">
    <w:p w14:paraId="20389D7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Green Paper on Promoting an European Framework for Corporate Social Responsibility</w:t>
      </w:r>
      <w:r w:rsidRPr="0068632F">
        <w:rPr>
          <w:rFonts w:ascii="Times New Roman" w:hAnsi="Times New Roman" w:cs="Times New Roman"/>
          <w:lang w:val="mk-MK"/>
        </w:rPr>
        <w:t>.</w:t>
      </w:r>
    </w:p>
  </w:footnote>
  <w:footnote w:id="181">
    <w:p w14:paraId="36FD292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The World Bank Institute for Corporate Governance and Corporate Social Responsibility Program.</w:t>
      </w:r>
    </w:p>
  </w:footnote>
  <w:footnote w:id="182">
    <w:p w14:paraId="2921B2D6"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European Trade Union Confederation.</w:t>
      </w:r>
    </w:p>
  </w:footnote>
  <w:footnote w:id="183">
    <w:p w14:paraId="0CD68F8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61.</w:t>
      </w:r>
    </w:p>
  </w:footnote>
  <w:footnote w:id="184">
    <w:p w14:paraId="1E4C714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Членови 29 и 29-а од Законот за трговските друштва. </w:t>
      </w:r>
    </w:p>
  </w:footnote>
  <w:footnote w:id="185">
    <w:p w14:paraId="75A27EB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Спојување, поделба и преобразба на трговски друштва.</w:t>
      </w:r>
    </w:p>
  </w:footnote>
  <w:footnote w:id="186">
    <w:p w14:paraId="75E42F1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61.</w:t>
      </w:r>
    </w:p>
  </w:footnote>
  <w:footnote w:id="187">
    <w:p w14:paraId="08C4986B" w14:textId="4CDD5C1C" w:rsidR="006037E3" w:rsidRPr="0068632F" w:rsidRDefault="006037E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74373" w:rsidRPr="0068632F">
        <w:rPr>
          <w:rFonts w:ascii="Times New Roman" w:hAnsi="Times New Roman" w:cs="Times New Roman"/>
          <w:lang w:val="en-US"/>
        </w:rPr>
        <w:t>Thelen, K. (1991).</w:t>
      </w:r>
    </w:p>
  </w:footnote>
  <w:footnote w:id="188">
    <w:p w14:paraId="4DEF3B8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P. Davis и K. Hopt, Boards in Europe - Accountability and Convergence, ECGI Working Paper Series in Law, Working Paper N°. 205/2013, стр. 32.</w:t>
      </w:r>
    </w:p>
  </w:footnote>
  <w:footnote w:id="189">
    <w:p w14:paraId="6DCB9078"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 xml:space="preserve">Hansmann, Henry. 1990. “When Does Worker Ownership Work? ESOPs, Law Firms, Codetermination, and Economic Democracy.” 99 Yale Law Journal 1749. </w:t>
      </w:r>
      <w:hyperlink r:id="rId22" w:history="1">
        <w:r w:rsidRPr="0068632F">
          <w:rPr>
            <w:rStyle w:val="Hyperlink"/>
            <w:bCs/>
            <w:sz w:val="20"/>
            <w:szCs w:val="20"/>
            <w:lang w:val="mk-MK"/>
          </w:rPr>
          <w:t>https://digitalcommons.law.yale.edu/fss_papers/5037</w:t>
        </w:r>
      </w:hyperlink>
      <w:r w:rsidRPr="0068632F">
        <w:rPr>
          <w:bCs/>
          <w:sz w:val="20"/>
          <w:szCs w:val="20"/>
          <w:lang w:val="mk-MK"/>
        </w:rPr>
        <w:t xml:space="preserve">.  </w:t>
      </w:r>
    </w:p>
  </w:footnote>
  <w:footnote w:id="190">
    <w:p w14:paraId="3572310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Thelen, Kathleen. 1991. Union of Parts: Labor Politics in Postwar Germany. Cornell University Press.</w:t>
      </w:r>
    </w:p>
  </w:footnote>
  <w:footnote w:id="191">
    <w:p w14:paraId="78D0711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Kathleen</w:t>
      </w:r>
      <w:r w:rsidRPr="0068632F">
        <w:rPr>
          <w:rFonts w:ascii="Times New Roman" w:hAnsi="Times New Roman" w:cs="Times New Roman"/>
          <w:bCs/>
          <w:lang w:val="mk-MK"/>
        </w:rPr>
        <w:t xml:space="preserve"> </w:t>
      </w:r>
      <w:r w:rsidRPr="0068632F">
        <w:rPr>
          <w:rFonts w:ascii="Times New Roman" w:hAnsi="Times New Roman" w:cs="Times New Roman"/>
          <w:bCs/>
          <w:lang w:val="en-US"/>
        </w:rPr>
        <w:t>G. (1991</w:t>
      </w:r>
      <w:r w:rsidRPr="0068632F">
        <w:rPr>
          <w:rFonts w:ascii="Times New Roman" w:hAnsi="Times New Roman" w:cs="Times New Roman"/>
          <w:bCs/>
          <w:lang w:val="mk-MK"/>
        </w:rPr>
        <w:t>).</w:t>
      </w:r>
    </w:p>
  </w:footnote>
  <w:footnote w:id="192">
    <w:p w14:paraId="6F8FC0D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Кон крајот на 19тиот век. </w:t>
      </w:r>
    </w:p>
  </w:footnote>
  <w:footnote w:id="193">
    <w:p w14:paraId="78E5122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en-US"/>
        </w:rPr>
        <w:t>Davies, P. L., &amp; Hopt, K. J. (2013). Corporate boards in Europe—accountability and convergence. The American Journal of Comparative Law, 61(2), 301-376.</w:t>
      </w:r>
    </w:p>
  </w:footnote>
  <w:footnote w:id="194">
    <w:p w14:paraId="06F54DB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Montan Betriebsverfassungsgesetz.</w:t>
      </w:r>
    </w:p>
  </w:footnote>
  <w:footnote w:id="195">
    <w:p w14:paraId="0BB405B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G. L. Neuman и M.J. Roe, „Third Frankfurt-Columbia Symposium on Comparative Law: Convergence and Diversity in Private and Public Law: Introduction to the Symposium“, 5 Columbia Journal of European Law, Spring 1999, 183.</w:t>
      </w:r>
    </w:p>
  </w:footnote>
  <w:footnote w:id="196">
    <w:p w14:paraId="144CA802"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 L. Neuman </w:t>
      </w:r>
      <w:r w:rsidRPr="0068632F">
        <w:rPr>
          <w:rFonts w:ascii="Times New Roman" w:hAnsi="Times New Roman" w:cs="Times New Roman"/>
          <w:lang w:val="en-US"/>
        </w:rPr>
        <w:t>&amp;</w:t>
      </w:r>
      <w:r w:rsidRPr="0068632F">
        <w:rPr>
          <w:rFonts w:ascii="Times New Roman" w:hAnsi="Times New Roman" w:cs="Times New Roman"/>
        </w:rPr>
        <w:t xml:space="preserve"> M.J. Roe</w:t>
      </w:r>
      <w:r w:rsidRPr="0068632F">
        <w:rPr>
          <w:rFonts w:ascii="Times New Roman" w:hAnsi="Times New Roman" w:cs="Times New Roman"/>
          <w:lang w:val="mk-MK"/>
        </w:rPr>
        <w:t xml:space="preserve"> (1999).</w:t>
      </w:r>
    </w:p>
  </w:footnote>
  <w:footnote w:id="197">
    <w:p w14:paraId="5BD61CB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 L. Neuman </w:t>
      </w:r>
      <w:r w:rsidRPr="0068632F">
        <w:rPr>
          <w:rFonts w:ascii="Times New Roman" w:hAnsi="Times New Roman" w:cs="Times New Roman"/>
          <w:lang w:val="en-US"/>
        </w:rPr>
        <w:t>&amp;</w:t>
      </w:r>
      <w:r w:rsidRPr="0068632F">
        <w:rPr>
          <w:rFonts w:ascii="Times New Roman" w:hAnsi="Times New Roman" w:cs="Times New Roman"/>
        </w:rPr>
        <w:t xml:space="preserve"> M.J. Roe</w:t>
      </w:r>
      <w:r w:rsidRPr="0068632F">
        <w:rPr>
          <w:rFonts w:ascii="Times New Roman" w:hAnsi="Times New Roman" w:cs="Times New Roman"/>
          <w:lang w:val="mk-MK"/>
        </w:rPr>
        <w:t xml:space="preserve"> (1999).</w:t>
      </w:r>
    </w:p>
  </w:footnote>
  <w:footnote w:id="198">
    <w:p w14:paraId="4019212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63.</w:t>
      </w:r>
    </w:p>
  </w:footnote>
  <w:footnote w:id="199">
    <w:p w14:paraId="1F18B7B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One-Third Participation Act (Gesetz über die Drittelbeteiligung der Arbeitnehmer im Aufsichtsrat (Drittelbeteiligungsgesetz - DrittelbG).</w:t>
      </w:r>
    </w:p>
  </w:footnote>
  <w:footnote w:id="200">
    <w:p w14:paraId="124DDC2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Labor Management Relations Act of 1952 ( Betriebsverfassungsgesetz 1952</w:t>
      </w:r>
      <w:r w:rsidRPr="0068632F">
        <w:rPr>
          <w:rFonts w:ascii="Times New Roman" w:hAnsi="Times New Roman" w:cs="Times New Roman"/>
          <w:lang w:val="mk-MK"/>
        </w:rPr>
        <w:t>).</w:t>
      </w:r>
    </w:p>
  </w:footnote>
  <w:footnote w:id="201">
    <w:p w14:paraId="5004704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J. Day, The One-Third Participation Act Supercedes The Labor-Management Relations Act of 1952, Mondaq, достапно на</w:t>
      </w:r>
      <w:r w:rsidRPr="0068632F">
        <w:rPr>
          <w:rFonts w:ascii="Times New Roman" w:hAnsi="Times New Roman" w:cs="Times New Roman"/>
          <w:lang w:val="mk-MK"/>
        </w:rPr>
        <w:t xml:space="preserve"> </w:t>
      </w:r>
      <w:hyperlink r:id="rId23" w:history="1">
        <w:r w:rsidRPr="0068632F">
          <w:rPr>
            <w:rStyle w:val="Hyperlink"/>
            <w:rFonts w:ascii="Times New Roman" w:hAnsi="Times New Roman" w:cs="Times New Roman"/>
          </w:rPr>
          <w:t>The One-Third Participation Act Supercedes The Labor-Management Relations Act of 1952 - Contract of Employment - Employment and HR - Germany</w:t>
        </w:r>
      </w:hyperlink>
      <w:r w:rsidRPr="0068632F">
        <w:rPr>
          <w:rFonts w:ascii="Times New Roman" w:hAnsi="Times New Roman" w:cs="Times New Roman"/>
        </w:rPr>
        <w:t xml:space="preserve">, пристапено на </w:t>
      </w:r>
      <w:r w:rsidRPr="0068632F">
        <w:rPr>
          <w:rFonts w:ascii="Times New Roman" w:hAnsi="Times New Roman" w:cs="Times New Roman"/>
          <w:lang w:val="mk-MK"/>
        </w:rPr>
        <w:t>04</w:t>
      </w:r>
      <w:r w:rsidRPr="0068632F">
        <w:rPr>
          <w:rFonts w:ascii="Times New Roman" w:hAnsi="Times New Roman" w:cs="Times New Roman"/>
        </w:rPr>
        <w:t>.</w:t>
      </w:r>
      <w:r w:rsidRPr="0068632F">
        <w:rPr>
          <w:rFonts w:ascii="Times New Roman" w:hAnsi="Times New Roman" w:cs="Times New Roman"/>
          <w:lang w:val="mk-MK"/>
        </w:rPr>
        <w:t>11</w:t>
      </w:r>
      <w:r w:rsidRPr="0068632F">
        <w:rPr>
          <w:rFonts w:ascii="Times New Roman" w:hAnsi="Times New Roman" w:cs="Times New Roman"/>
        </w:rPr>
        <w:t>.202</w:t>
      </w:r>
      <w:r w:rsidRPr="0068632F">
        <w:rPr>
          <w:rFonts w:ascii="Times New Roman" w:hAnsi="Times New Roman" w:cs="Times New Roman"/>
          <w:lang w:val="mk-MK"/>
        </w:rPr>
        <w:t>4</w:t>
      </w:r>
      <w:r w:rsidRPr="0068632F">
        <w:rPr>
          <w:rFonts w:ascii="Times New Roman" w:hAnsi="Times New Roman" w:cs="Times New Roman"/>
        </w:rPr>
        <w:t>. Види и: E. McGaughey, The Codetermination Bargains: The History of German Corporate and Labour Law, King’s College London Dickson Poon School of Law Legal Studies Research Paper Series: Paper No. 2015-15, 42.</w:t>
      </w:r>
    </w:p>
  </w:footnote>
  <w:footnote w:id="202">
    <w:p w14:paraId="55535982"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64.</w:t>
      </w:r>
    </w:p>
  </w:footnote>
  <w:footnote w:id="203">
    <w:p w14:paraId="799DBFA4"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Brouthers, K. D., &amp; Bamossy, G. J. (1997). The role of key stakeholders in international </w:t>
      </w:r>
      <w:r w:rsidRPr="0068632F">
        <w:rPr>
          <w:bCs/>
          <w:sz w:val="20"/>
          <w:szCs w:val="20"/>
          <w:lang w:val="en-US"/>
        </w:rPr>
        <w:t xml:space="preserve">participation </w:t>
      </w:r>
      <w:r w:rsidRPr="0068632F">
        <w:rPr>
          <w:bCs/>
          <w:sz w:val="20"/>
          <w:szCs w:val="20"/>
          <w:lang w:val="mk-MK"/>
        </w:rPr>
        <w:t xml:space="preserve">negotiations: Case studies from Eastern Europe. Journal of International Business Studies, 28(2), 285–308. </w:t>
      </w:r>
    </w:p>
  </w:footnote>
  <w:footnote w:id="204">
    <w:p w14:paraId="33CDFA9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64.</w:t>
      </w:r>
    </w:p>
  </w:footnote>
  <w:footnote w:id="205">
    <w:p w14:paraId="1F580F0E" w14:textId="55D82BEC" w:rsidR="00A406D7" w:rsidRPr="0068632F" w:rsidRDefault="00A406D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 L. Neuman </w:t>
      </w:r>
      <w:r w:rsidRPr="0068632F">
        <w:rPr>
          <w:rFonts w:ascii="Times New Roman" w:hAnsi="Times New Roman" w:cs="Times New Roman"/>
          <w:lang w:val="en-US"/>
        </w:rPr>
        <w:t>&amp;</w:t>
      </w:r>
      <w:r w:rsidRPr="0068632F">
        <w:rPr>
          <w:rFonts w:ascii="Times New Roman" w:hAnsi="Times New Roman" w:cs="Times New Roman"/>
        </w:rPr>
        <w:t xml:space="preserve"> M.J. Roe</w:t>
      </w:r>
      <w:r w:rsidRPr="0068632F">
        <w:rPr>
          <w:rFonts w:ascii="Times New Roman" w:hAnsi="Times New Roman" w:cs="Times New Roman"/>
          <w:lang w:val="mk-MK"/>
        </w:rPr>
        <w:t xml:space="preserve"> (1999).</w:t>
      </w:r>
    </w:p>
  </w:footnote>
  <w:footnote w:id="206">
    <w:p w14:paraId="0013C1E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Hopt J. Klaus, „Board Models in Europe. Recent Developments of Internal Corporate Governance structure in Germany, the United Kingdom, France and Italy”, ECGI (European Corporate Governance Institute), Law Working Paper No. 18/2004, January 2004, 17</w:t>
      </w:r>
      <w:r w:rsidRPr="0068632F">
        <w:rPr>
          <w:rFonts w:ascii="Times New Roman" w:hAnsi="Times New Roman" w:cs="Times New Roman"/>
          <w:lang w:val="mk-MK"/>
        </w:rPr>
        <w:t>.</w:t>
      </w:r>
    </w:p>
  </w:footnote>
  <w:footnote w:id="207">
    <w:p w14:paraId="1101D01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65.</w:t>
      </w:r>
    </w:p>
  </w:footnote>
  <w:footnote w:id="208">
    <w:p w14:paraId="0D981BA2"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види анализа за германскиот модел што делумно се фокусира и на овие појави, во </w:t>
      </w:r>
      <w:r w:rsidRPr="0068632F">
        <w:rPr>
          <w:bCs/>
          <w:sz w:val="20"/>
          <w:szCs w:val="20"/>
          <w:lang w:val="mk-MK"/>
        </w:rPr>
        <w:t xml:space="preserve">Addison, John, Paulino Teixeira, and Andre Pahnke. 2017. “The Demise of a Model? The State of Collective Bargaining and Worker Representation in Germany.” 38 Economic and Industrial Democracy 193. </w:t>
      </w:r>
      <w:hyperlink r:id="rId24" w:history="1">
        <w:r w:rsidRPr="0068632F">
          <w:rPr>
            <w:rStyle w:val="Hyperlink"/>
            <w:bCs/>
            <w:sz w:val="20"/>
            <w:szCs w:val="20"/>
            <w:lang w:val="mk-MK"/>
          </w:rPr>
          <w:t>https://doi.org/10.1177/0143831X14559784</w:t>
        </w:r>
      </w:hyperlink>
      <w:r w:rsidRPr="0068632F">
        <w:rPr>
          <w:bCs/>
          <w:sz w:val="20"/>
          <w:szCs w:val="20"/>
          <w:lang w:val="mk-MK"/>
        </w:rPr>
        <w:t xml:space="preserve">. </w:t>
      </w:r>
    </w:p>
  </w:footnote>
  <w:footnote w:id="209">
    <w:p w14:paraId="1F68D5DD"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en-US"/>
        </w:rPr>
        <w:t xml:space="preserve">Business Roundtable. 2019. “Business Roundtable Redefines the Purpose of a Corporation to Promote ‘An Economy That Serves All Americans.’” Business Roundtable, August 19, 2019. </w:t>
      </w:r>
      <w:hyperlink r:id="rId25" w:history="1">
        <w:r w:rsidRPr="0068632F">
          <w:rPr>
            <w:rStyle w:val="Hyperlink"/>
            <w:bCs/>
            <w:sz w:val="20"/>
            <w:szCs w:val="20"/>
            <w:lang w:val="en-US"/>
          </w:rPr>
          <w:t>https://www.businessroundtable.org/</w:t>
        </w:r>
      </w:hyperlink>
      <w:r w:rsidRPr="0068632F">
        <w:rPr>
          <w:bCs/>
          <w:sz w:val="20"/>
          <w:szCs w:val="20"/>
          <w:lang w:val="en-US"/>
        </w:rPr>
        <w:t xml:space="preserve">.  </w:t>
      </w:r>
    </w:p>
  </w:footnote>
  <w:footnote w:id="210">
    <w:p w14:paraId="1FBF9BDB" w14:textId="444C3B6D" w:rsidR="00F01121" w:rsidRPr="0068632F" w:rsidRDefault="00F01121"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557E1D" w:rsidRPr="0068632F">
        <w:rPr>
          <w:sz w:val="20"/>
          <w:szCs w:val="20"/>
          <w:lang w:val="mk-MK"/>
        </w:rPr>
        <w:t xml:space="preserve">Види и </w:t>
      </w:r>
      <w:r w:rsidR="00557E1D" w:rsidRPr="0068632F">
        <w:rPr>
          <w:bCs/>
          <w:sz w:val="20"/>
          <w:szCs w:val="20"/>
          <w:lang w:val="en-US"/>
        </w:rPr>
        <w:t xml:space="preserve">Liebman, Wilma B. 2017. “Does Federal Labor Law Preemption Doctrine Allow Experiments with Social Dialogue?” 12 Harvard Law and Policy Review Online 1. </w:t>
      </w:r>
      <w:hyperlink r:id="rId26" w:history="1">
        <w:r w:rsidR="00557E1D" w:rsidRPr="0068632F">
          <w:rPr>
            <w:rStyle w:val="Hyperlink"/>
            <w:bCs/>
            <w:sz w:val="20"/>
            <w:szCs w:val="20"/>
            <w:lang w:val="en-US"/>
          </w:rPr>
          <w:t>https://heinonline.org/HOL/LandingPage?handle=hein.journals/hlpron12&amp;div=3&amp;id=&amp;page=</w:t>
        </w:r>
      </w:hyperlink>
      <w:r w:rsidR="00557E1D" w:rsidRPr="0068632F">
        <w:rPr>
          <w:bCs/>
          <w:sz w:val="20"/>
          <w:szCs w:val="20"/>
          <w:lang w:val="en-US"/>
        </w:rPr>
        <w:t xml:space="preserve">.  </w:t>
      </w:r>
    </w:p>
  </w:footnote>
  <w:footnote w:id="211">
    <w:p w14:paraId="13E12F9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Reward Work Act, види S. Jäger, S. Noy, и B. Schoefer, Codetermination and power in the workplace, Economic Policy Institute, 2022, достапно на: </w:t>
      </w:r>
      <w:hyperlink r:id="rId27" w:history="1">
        <w:r w:rsidRPr="0068632F">
          <w:rPr>
            <w:rStyle w:val="Hyperlink"/>
            <w:rFonts w:ascii="Times New Roman" w:hAnsi="Times New Roman" w:cs="Times New Roman"/>
          </w:rPr>
          <w:t>Codetermination and power in the workplace | Economic Policy Institute</w:t>
        </w:r>
      </w:hyperlink>
      <w:r w:rsidRPr="0068632F">
        <w:rPr>
          <w:rFonts w:ascii="Times New Roman" w:hAnsi="Times New Roman" w:cs="Times New Roman"/>
          <w:lang w:val="mk-MK"/>
        </w:rPr>
        <w:t>, пристапено на 04.11.2024. Види и: J. Dammann и H. Eidenmüller, Codetermination and the Democratic State, ECGI Working Paper Series in Law, Working Paper N° 536/2020, March 2021.</w:t>
      </w:r>
    </w:p>
  </w:footnote>
  <w:footnote w:id="212">
    <w:p w14:paraId="40EA5206"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Accountable Capitalism Act.</w:t>
      </w:r>
    </w:p>
  </w:footnote>
  <w:footnote w:id="213">
    <w:p w14:paraId="7859782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Предлог на Закон за наградување на работниците, достапно на</w:t>
      </w:r>
      <w:r w:rsidRPr="0068632F">
        <w:rPr>
          <w:rFonts w:ascii="Times New Roman" w:hAnsi="Times New Roman" w:cs="Times New Roman"/>
          <w:lang w:val="mk-MK"/>
        </w:rPr>
        <w:t xml:space="preserve">: </w:t>
      </w:r>
      <w:hyperlink r:id="rId28" w:history="1">
        <w:r w:rsidRPr="0068632F">
          <w:rPr>
            <w:rStyle w:val="Hyperlink"/>
            <w:rFonts w:ascii="Times New Roman" w:hAnsi="Times New Roman" w:cs="Times New Roman"/>
          </w:rPr>
          <w:t>Text - S.2605 - 115th Congress (2017-2018): Reward Work Act | Congress.gov | Library of Congress</w:t>
        </w:r>
      </w:hyperlink>
      <w:r w:rsidRPr="0068632F">
        <w:rPr>
          <w:rFonts w:ascii="Times New Roman" w:hAnsi="Times New Roman" w:cs="Times New Roman"/>
          <w:lang w:val="mk-MK"/>
        </w:rPr>
        <w:t>.</w:t>
      </w:r>
    </w:p>
  </w:footnote>
  <w:footnote w:id="214">
    <w:p w14:paraId="1B64924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Corporate Accountability and Democracy Plan.</w:t>
      </w:r>
    </w:p>
  </w:footnote>
  <w:footnote w:id="215">
    <w:p w14:paraId="7C4C29D2"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w:t>
      </w:r>
      <w:r w:rsidRPr="0068632F">
        <w:rPr>
          <w:rFonts w:ascii="Times New Roman" w:hAnsi="Times New Roman" w:cs="Times New Roman"/>
        </w:rPr>
        <w:t>иди: Предлог на Закон за одговорен капитализам, достапно на</w:t>
      </w:r>
      <w:r w:rsidRPr="0068632F">
        <w:rPr>
          <w:rFonts w:ascii="Times New Roman" w:hAnsi="Times New Roman" w:cs="Times New Roman"/>
          <w:lang w:val="mk-MK"/>
        </w:rPr>
        <w:t xml:space="preserve">: </w:t>
      </w:r>
      <w:hyperlink r:id="rId29" w:history="1">
        <w:r w:rsidRPr="0068632F">
          <w:rPr>
            <w:rStyle w:val="Hyperlink"/>
            <w:rFonts w:ascii="Times New Roman" w:hAnsi="Times New Roman" w:cs="Times New Roman"/>
          </w:rPr>
          <w:t>Text - S.3348 - 115th Congress (2017-2018): Accountable Capitalism Act | Congress.gov | Library of Congress</w:t>
        </w:r>
      </w:hyperlink>
      <w:r w:rsidRPr="0068632F">
        <w:rPr>
          <w:rFonts w:ascii="Times New Roman" w:hAnsi="Times New Roman" w:cs="Times New Roman"/>
        </w:rPr>
        <w:t xml:space="preserve">, пристапено на </w:t>
      </w:r>
      <w:r w:rsidRPr="0068632F">
        <w:rPr>
          <w:rFonts w:ascii="Times New Roman" w:hAnsi="Times New Roman" w:cs="Times New Roman"/>
          <w:lang w:val="mk-MK"/>
        </w:rPr>
        <w:t>10</w:t>
      </w:r>
      <w:r w:rsidRPr="0068632F">
        <w:rPr>
          <w:rFonts w:ascii="Times New Roman" w:hAnsi="Times New Roman" w:cs="Times New Roman"/>
        </w:rPr>
        <w:t>.</w:t>
      </w:r>
      <w:r w:rsidRPr="0068632F">
        <w:rPr>
          <w:rFonts w:ascii="Times New Roman" w:hAnsi="Times New Roman" w:cs="Times New Roman"/>
          <w:lang w:val="mk-MK"/>
        </w:rPr>
        <w:t>10</w:t>
      </w:r>
      <w:r w:rsidRPr="0068632F">
        <w:rPr>
          <w:rFonts w:ascii="Times New Roman" w:hAnsi="Times New Roman" w:cs="Times New Roman"/>
        </w:rPr>
        <w:t>.202</w:t>
      </w:r>
      <w:r w:rsidRPr="0068632F">
        <w:rPr>
          <w:rFonts w:ascii="Times New Roman" w:hAnsi="Times New Roman" w:cs="Times New Roman"/>
          <w:lang w:val="mk-MK"/>
        </w:rPr>
        <w:t>4</w:t>
      </w:r>
      <w:r w:rsidRPr="0068632F">
        <w:rPr>
          <w:rFonts w:ascii="Times New Roman" w:hAnsi="Times New Roman" w:cs="Times New Roman"/>
        </w:rPr>
        <w:t xml:space="preserve"> година. а</w:t>
      </w:r>
    </w:p>
  </w:footnote>
  <w:footnote w:id="216">
    <w:p w14:paraId="10ED457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w:t>
      </w:r>
      <w:r w:rsidRPr="0068632F">
        <w:rPr>
          <w:rFonts w:ascii="Times New Roman" w:hAnsi="Times New Roman" w:cs="Times New Roman"/>
        </w:rPr>
        <w:t>ој се состои од управен одбор и од надзорен одбор</w:t>
      </w:r>
      <w:r w:rsidRPr="0068632F">
        <w:rPr>
          <w:rFonts w:ascii="Times New Roman" w:hAnsi="Times New Roman" w:cs="Times New Roman"/>
          <w:lang w:val="mk-MK"/>
        </w:rPr>
        <w:t>,</w:t>
      </w:r>
      <w:r w:rsidRPr="0068632F">
        <w:rPr>
          <w:rFonts w:ascii="Times New Roman" w:hAnsi="Times New Roman" w:cs="Times New Roman"/>
        </w:rPr>
        <w:t xml:space="preserve"> каде што работниците бираат свои претставници само во надзорниот одбор</w:t>
      </w:r>
      <w:r w:rsidRPr="0068632F">
        <w:rPr>
          <w:rFonts w:ascii="Times New Roman" w:hAnsi="Times New Roman" w:cs="Times New Roman"/>
          <w:lang w:val="mk-MK"/>
        </w:rPr>
        <w:t>.</w:t>
      </w:r>
    </w:p>
  </w:footnote>
  <w:footnote w:id="217">
    <w:p w14:paraId="798DC61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повеќе на</w:t>
      </w:r>
      <w:r w:rsidRPr="0068632F">
        <w:rPr>
          <w:rFonts w:ascii="Times New Roman" w:hAnsi="Times New Roman" w:cs="Times New Roman"/>
          <w:lang w:val="mk-MK"/>
        </w:rPr>
        <w:t>:</w:t>
      </w:r>
      <w:r w:rsidRPr="0068632F">
        <w:rPr>
          <w:rFonts w:ascii="Times New Roman" w:hAnsi="Times New Roman" w:cs="Times New Roman"/>
        </w:rPr>
        <w:t xml:space="preserve"> </w:t>
      </w:r>
      <w:hyperlink r:id="rId30" w:history="1">
        <w:r w:rsidRPr="0068632F">
          <w:rPr>
            <w:rStyle w:val="Hyperlink"/>
            <w:rFonts w:ascii="Times New Roman" w:hAnsi="Times New Roman" w:cs="Times New Roman"/>
          </w:rPr>
          <w:t>Bernie Sanders - Official Website | Bernie Sanders Official Website</w:t>
        </w:r>
      </w:hyperlink>
      <w:r w:rsidRPr="0068632F">
        <w:rPr>
          <w:rFonts w:ascii="Times New Roman" w:hAnsi="Times New Roman" w:cs="Times New Roman"/>
          <w:lang w:val="mk-MK"/>
        </w:rPr>
        <w:t xml:space="preserve">, </w:t>
      </w:r>
      <w:r w:rsidRPr="0068632F">
        <w:rPr>
          <w:rFonts w:ascii="Times New Roman" w:hAnsi="Times New Roman" w:cs="Times New Roman"/>
        </w:rPr>
        <w:t xml:space="preserve">пристапено на </w:t>
      </w:r>
      <w:r w:rsidRPr="0068632F">
        <w:rPr>
          <w:rFonts w:ascii="Times New Roman" w:hAnsi="Times New Roman" w:cs="Times New Roman"/>
          <w:lang w:val="mk-MK"/>
        </w:rPr>
        <w:t>10</w:t>
      </w:r>
      <w:r w:rsidRPr="0068632F">
        <w:rPr>
          <w:rFonts w:ascii="Times New Roman" w:hAnsi="Times New Roman" w:cs="Times New Roman"/>
        </w:rPr>
        <w:t>.</w:t>
      </w:r>
      <w:r w:rsidRPr="0068632F">
        <w:rPr>
          <w:rFonts w:ascii="Times New Roman" w:hAnsi="Times New Roman" w:cs="Times New Roman"/>
          <w:lang w:val="mk-MK"/>
        </w:rPr>
        <w:t>10</w:t>
      </w:r>
      <w:r w:rsidRPr="0068632F">
        <w:rPr>
          <w:rFonts w:ascii="Times New Roman" w:hAnsi="Times New Roman" w:cs="Times New Roman"/>
        </w:rPr>
        <w:t>.202</w:t>
      </w:r>
      <w:r w:rsidRPr="0068632F">
        <w:rPr>
          <w:rFonts w:ascii="Times New Roman" w:hAnsi="Times New Roman" w:cs="Times New Roman"/>
          <w:lang w:val="mk-MK"/>
        </w:rPr>
        <w:t>4</w:t>
      </w:r>
      <w:r w:rsidRPr="0068632F">
        <w:rPr>
          <w:rFonts w:ascii="Times New Roman" w:hAnsi="Times New Roman" w:cs="Times New Roman"/>
        </w:rPr>
        <w:t xml:space="preserve"> година</w:t>
      </w:r>
      <w:r w:rsidRPr="0068632F">
        <w:rPr>
          <w:rFonts w:ascii="Times New Roman" w:hAnsi="Times New Roman" w:cs="Times New Roman"/>
          <w:lang w:val="mk-MK"/>
        </w:rPr>
        <w:t>.</w:t>
      </w:r>
    </w:p>
  </w:footnote>
  <w:footnote w:id="218">
    <w:p w14:paraId="4EF5F3A4"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67.</w:t>
      </w:r>
    </w:p>
  </w:footnote>
  <w:footnote w:id="219">
    <w:p w14:paraId="4C90C1E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Hofstede, G. (1980). Culture’s consequences: Int. differences in work-related values. Beverly Hills, CA: Sage.</w:t>
      </w:r>
    </w:p>
  </w:footnote>
  <w:footnote w:id="220">
    <w:p w14:paraId="686BA74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sodelovanju delavcev pri upravljanju</w:t>
      </w:r>
      <w:r w:rsidRPr="0068632F">
        <w:rPr>
          <w:rFonts w:ascii="Times New Roman" w:hAnsi="Times New Roman" w:cs="Times New Roman"/>
          <w:lang w:val="mk-MK"/>
        </w:rPr>
        <w:t>.</w:t>
      </w:r>
    </w:p>
  </w:footnote>
  <w:footnote w:id="221">
    <w:p w14:paraId="04FCA83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65.</w:t>
      </w:r>
    </w:p>
  </w:footnote>
  <w:footnote w:id="222">
    <w:p w14:paraId="6BCDBE30"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Во двостепениот систем на управување со акционерските друштва.</w:t>
      </w:r>
    </w:p>
  </w:footnote>
  <w:footnote w:id="223">
    <w:p w14:paraId="4F06157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Во едностепениот систем на управување</w:t>
      </w:r>
    </w:p>
  </w:footnote>
  <w:footnote w:id="224">
    <w:p w14:paraId="37729B4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Zakon o trgovačkim društvima, NN 111/93, 34/99, 121/99, 52/00, 118/03, 107/07, 146/08, 137/09, 125/11, 152/11, 111/12, 68/13, 110/15, 40/19, 34/22, 114/22, 18/23.</w:t>
      </w:r>
    </w:p>
  </w:footnote>
  <w:footnote w:id="225">
    <w:p w14:paraId="42BC925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Zakon o radu. </w:t>
      </w:r>
    </w:p>
  </w:footnote>
  <w:footnote w:id="226">
    <w:p w14:paraId="5747FF3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Н</w:t>
      </w:r>
      <w:r w:rsidRPr="0068632F">
        <w:rPr>
          <w:rFonts w:ascii="Times New Roman" w:hAnsi="Times New Roman" w:cs="Times New Roman"/>
        </w:rPr>
        <w:t>адзорен одбор, управен одбор или друг сличен</w:t>
      </w:r>
      <w:r w:rsidRPr="0068632F">
        <w:rPr>
          <w:rFonts w:ascii="Times New Roman" w:hAnsi="Times New Roman" w:cs="Times New Roman"/>
          <w:lang w:val="mk-MK"/>
        </w:rPr>
        <w:t xml:space="preserve"> орган. </w:t>
      </w:r>
    </w:p>
  </w:footnote>
  <w:footnote w:id="227">
    <w:p w14:paraId="0017678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66.</w:t>
      </w:r>
    </w:p>
  </w:footnote>
  <w:footnote w:id="228">
    <w:p w14:paraId="1CEB91D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radu, pročišćeni tekst zakona NN 93/14, 127/17, 98/19, 151/22.</w:t>
      </w:r>
    </w:p>
  </w:footnote>
  <w:footnote w:id="229">
    <w:p w14:paraId="0874D584" w14:textId="0F126F76" w:rsidR="009B22C5" w:rsidRPr="0068632F" w:rsidRDefault="009B22C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A6E12" w:rsidRPr="0068632F">
        <w:rPr>
          <w:rFonts w:ascii="Times New Roman" w:hAnsi="Times New Roman" w:cs="Times New Roman"/>
        </w:rPr>
        <w:t xml:space="preserve">Palmer, M., &amp; Lambert, J. (2025). European unity: a survey of the European organisations. </w:t>
      </w:r>
      <w:r w:rsidR="005C1E74" w:rsidRPr="0068632F">
        <w:rPr>
          <w:rFonts w:ascii="Times New Roman" w:hAnsi="Times New Roman" w:cs="Times New Roman"/>
        </w:rPr>
        <w:t>European Works Council</w:t>
      </w:r>
      <w:r w:rsidR="005C1E74" w:rsidRPr="0068632F">
        <w:rPr>
          <w:rFonts w:ascii="Times New Roman" w:hAnsi="Times New Roman" w:cs="Times New Roman"/>
          <w:lang w:val="en-US"/>
        </w:rPr>
        <w:t>.</w:t>
      </w:r>
      <w:r w:rsidR="005C1E74" w:rsidRPr="0068632F">
        <w:rPr>
          <w:rFonts w:ascii="Times New Roman" w:hAnsi="Times New Roman" w:cs="Times New Roman"/>
        </w:rPr>
        <w:t xml:space="preserve"> </w:t>
      </w:r>
      <w:r w:rsidR="009A6E12" w:rsidRPr="0068632F">
        <w:rPr>
          <w:rFonts w:ascii="Times New Roman" w:hAnsi="Times New Roman" w:cs="Times New Roman"/>
        </w:rPr>
        <w:t>Taylor &amp; Francis.</w:t>
      </w:r>
    </w:p>
  </w:footnote>
  <w:footnote w:id="230">
    <w:p w14:paraId="49CFCB5A" w14:textId="7D4EC4FB" w:rsidR="008B69BB" w:rsidRPr="0068632F" w:rsidRDefault="008B69B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03F1D" w:rsidRPr="0068632F">
        <w:rPr>
          <w:rFonts w:ascii="Times New Roman" w:hAnsi="Times New Roman" w:cs="Times New Roman"/>
          <w:lang w:val="mk-MK"/>
        </w:rPr>
        <w:t xml:space="preserve">Види </w:t>
      </w:r>
      <w:r w:rsidR="00503F1D" w:rsidRPr="0068632F">
        <w:rPr>
          <w:rFonts w:ascii="Times New Roman" w:hAnsi="Times New Roman" w:cs="Times New Roman"/>
          <w:bCs/>
          <w:lang w:val="mk-MK"/>
        </w:rPr>
        <w:t>Hofstede, G. (1980).</w:t>
      </w:r>
    </w:p>
  </w:footnote>
  <w:footnote w:id="231">
    <w:p w14:paraId="1447B3B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Blair, Margaret, and Lynn Stout. 1999. “A Team Production Theory of Corporate Law.” 85 Virginia Law Review 247.</w:t>
      </w:r>
    </w:p>
  </w:footnote>
  <w:footnote w:id="232">
    <w:p w14:paraId="1DC722B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Employee Stock Ownership Plans</w:t>
      </w:r>
      <w:r w:rsidRPr="0068632F">
        <w:rPr>
          <w:rFonts w:ascii="Times New Roman" w:hAnsi="Times New Roman" w:cs="Times New Roman"/>
          <w:lang w:val="mk-MK"/>
        </w:rPr>
        <w:t>.</w:t>
      </w:r>
    </w:p>
  </w:footnote>
  <w:footnote w:id="233">
    <w:p w14:paraId="7B8BA423"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mk-MK"/>
        </w:rPr>
        <w:t xml:space="preserve">Blomstro¨m, M., &amp; Sjo¨holm, F. (1999). Technology transfer and spillovers: Does local participation with multinationals matter? European Economic Review, 43(4 – 6), 915–923 во комбинација со Hogan, Chad. 2001. “Enforcement of Implicit Employment Contracts through Unionization.” 19 Journal of Labor Economics 171. </w:t>
      </w:r>
      <w:hyperlink r:id="rId31" w:history="1">
        <w:r w:rsidRPr="0068632F">
          <w:rPr>
            <w:rStyle w:val="Hyperlink"/>
            <w:bCs/>
            <w:sz w:val="20"/>
            <w:szCs w:val="20"/>
            <w:lang w:val="mk-MK"/>
          </w:rPr>
          <w:t>https://doi:.org/10.1086/209983</w:t>
        </w:r>
      </w:hyperlink>
      <w:r w:rsidRPr="0068632F">
        <w:rPr>
          <w:bCs/>
          <w:sz w:val="20"/>
          <w:szCs w:val="20"/>
          <w:lang w:val="mk-MK"/>
        </w:rPr>
        <w:t xml:space="preserve">. </w:t>
      </w:r>
    </w:p>
  </w:footnote>
  <w:footnote w:id="234">
    <w:p w14:paraId="1D6A16B5" w14:textId="0D76A53E" w:rsidR="00A04160" w:rsidRPr="0068632F" w:rsidRDefault="00A0416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A5372" w:rsidRPr="0068632F">
        <w:rPr>
          <w:rFonts w:ascii="Times New Roman" w:hAnsi="Times New Roman" w:cs="Times New Roman"/>
          <w:lang w:val="mk-MK"/>
        </w:rPr>
        <w:t>Blair, Margaret, and Lynn Stout. 1999</w:t>
      </w:r>
      <w:r w:rsidR="006A5372" w:rsidRPr="0068632F">
        <w:rPr>
          <w:rFonts w:ascii="Times New Roman" w:hAnsi="Times New Roman" w:cs="Times New Roman"/>
          <w:lang w:val="en-US"/>
        </w:rPr>
        <w:t>.</w:t>
      </w:r>
    </w:p>
  </w:footnote>
  <w:footnote w:id="235">
    <w:p w14:paraId="3724D4D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на пример: </w:t>
      </w:r>
      <w:r w:rsidRPr="0068632F">
        <w:rPr>
          <w:rFonts w:ascii="Times New Roman" w:hAnsi="Times New Roman" w:cs="Times New Roman"/>
        </w:rPr>
        <w:t>Palladino, L. (2021). Economic Democracy at Work: Why (and How) Workers Should Be Represented on US Corporate Boards. Journal of Law and Political Economy, 1(3)</w:t>
      </w:r>
      <w:r w:rsidRPr="0068632F">
        <w:rPr>
          <w:rFonts w:ascii="Times New Roman" w:hAnsi="Times New Roman" w:cs="Times New Roman"/>
          <w:lang w:val="mk-MK"/>
        </w:rPr>
        <w:t>, страници 384-389.</w:t>
      </w:r>
    </w:p>
  </w:footnote>
  <w:footnote w:id="236">
    <w:p w14:paraId="1B070FC2"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Beamish, P. W., &amp; Killing, J. P. (Eds.). (1997). Cooperative strategies: Asian Pacific perspectives. San Francisco: New Lexington Press.  </w:t>
      </w:r>
    </w:p>
  </w:footnote>
  <w:footnote w:id="237">
    <w:p w14:paraId="78F4476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32" w:history="1">
        <w:r w:rsidRPr="0068632F">
          <w:rPr>
            <w:rStyle w:val="Hyperlink"/>
            <w:rFonts w:ascii="Times New Roman" w:hAnsi="Times New Roman" w:cs="Times New Roman"/>
          </w:rPr>
          <w:t>NCEO Home | NCEO</w:t>
        </w:r>
      </w:hyperlink>
      <w:r w:rsidRPr="0068632F">
        <w:rPr>
          <w:rFonts w:ascii="Times New Roman" w:hAnsi="Times New Roman" w:cs="Times New Roman"/>
          <w:lang w:val="mk-MK"/>
        </w:rPr>
        <w:t xml:space="preserve">. </w:t>
      </w:r>
    </w:p>
  </w:footnote>
  <w:footnote w:id="238">
    <w:p w14:paraId="4E64815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33" w:history="1">
        <w:r w:rsidRPr="0068632F">
          <w:rPr>
            <w:rStyle w:val="Hyperlink"/>
            <w:rFonts w:ascii="Times New Roman" w:hAnsi="Times New Roman" w:cs="Times New Roman"/>
          </w:rPr>
          <w:t>Millionaire Grocery Clerks: The Amazing WinCo Foods Story</w:t>
        </w:r>
      </w:hyperlink>
      <w:r w:rsidRPr="0068632F">
        <w:rPr>
          <w:rFonts w:ascii="Times New Roman" w:hAnsi="Times New Roman" w:cs="Times New Roman"/>
          <w:lang w:val="mk-MK"/>
        </w:rPr>
        <w:t>.</w:t>
      </w:r>
    </w:p>
  </w:footnote>
  <w:footnote w:id="239">
    <w:p w14:paraId="00C33D6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S</w:t>
      </w:r>
      <w:r w:rsidRPr="0068632F">
        <w:rPr>
          <w:rFonts w:ascii="Times New Roman" w:hAnsi="Times New Roman" w:cs="Times New Roman"/>
          <w:lang w:val="mk-MK"/>
        </w:rPr>
        <w:t>tock purchase plans.</w:t>
      </w:r>
    </w:p>
  </w:footnote>
  <w:footnote w:id="240">
    <w:p w14:paraId="5D184F5E"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en-US"/>
        </w:rPr>
        <w:t xml:space="preserve">McDonnell, Brent. 2012. “Strategies for an Employee Role in Corporate Governance.” 46 Wake Forest Law Review 429. </w:t>
      </w:r>
    </w:p>
  </w:footnote>
  <w:footnote w:id="241">
    <w:p w14:paraId="08A9C20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П</w:t>
      </w:r>
      <w:r w:rsidRPr="0068632F">
        <w:rPr>
          <w:rFonts w:ascii="Times New Roman" w:hAnsi="Times New Roman" w:cs="Times New Roman"/>
        </w:rPr>
        <w:t>ланови за работничко акционерство</w:t>
      </w:r>
      <w:r w:rsidRPr="0068632F">
        <w:rPr>
          <w:rFonts w:ascii="Times New Roman" w:hAnsi="Times New Roman" w:cs="Times New Roman"/>
          <w:lang w:val="mk-MK"/>
        </w:rPr>
        <w:t>-Employee Stock Ownership Plan.</w:t>
      </w:r>
    </w:p>
  </w:footnote>
  <w:footnote w:id="242">
    <w:p w14:paraId="7384AB81"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P</w:t>
      </w:r>
      <w:r w:rsidRPr="0068632F">
        <w:rPr>
          <w:rFonts w:ascii="Times New Roman" w:hAnsi="Times New Roman" w:cs="Times New Roman"/>
        </w:rPr>
        <w:t>rofit-sharing-scheme</w:t>
      </w:r>
      <w:r w:rsidRPr="0068632F">
        <w:rPr>
          <w:rFonts w:ascii="Times New Roman" w:hAnsi="Times New Roman" w:cs="Times New Roman"/>
          <w:lang w:val="en-US"/>
        </w:rPr>
        <w:t>.</w:t>
      </w:r>
    </w:p>
  </w:footnote>
  <w:footnote w:id="243">
    <w:p w14:paraId="43B45977" w14:textId="77777777" w:rsidR="00ED2B59" w:rsidRPr="0068632F" w:rsidRDefault="00ED2B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K.Douglas </w:t>
      </w:r>
      <w:r w:rsidRPr="0068632F">
        <w:rPr>
          <w:rFonts w:ascii="Times New Roman" w:hAnsi="Times New Roman" w:cs="Times New Roman"/>
          <w:lang w:val="en-US"/>
        </w:rPr>
        <w:t>&amp;</w:t>
      </w:r>
      <w:r w:rsidRPr="0068632F">
        <w:rPr>
          <w:rFonts w:ascii="Times New Roman" w:hAnsi="Times New Roman" w:cs="Times New Roman"/>
        </w:rPr>
        <w:t xml:space="preserve"> J. Blasi</w:t>
      </w:r>
      <w:r w:rsidRPr="0068632F">
        <w:rPr>
          <w:rFonts w:ascii="Times New Roman" w:hAnsi="Times New Roman" w:cs="Times New Roman"/>
          <w:lang w:val="en-US"/>
        </w:rPr>
        <w:t>.</w:t>
      </w:r>
    </w:p>
  </w:footnote>
  <w:footnote w:id="244">
    <w:p w14:paraId="78D90FC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68</w:t>
      </w:r>
    </w:p>
  </w:footnote>
  <w:footnote w:id="245">
    <w:p w14:paraId="3A3E640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John Lewis Partnership</w:t>
      </w:r>
      <w:r w:rsidRPr="0068632F">
        <w:rPr>
          <w:rFonts w:ascii="Times New Roman" w:hAnsi="Times New Roman" w:cs="Times New Roman"/>
          <w:lang w:val="mk-MK"/>
        </w:rPr>
        <w:t xml:space="preserve">. </w:t>
      </w:r>
    </w:p>
  </w:footnote>
  <w:footnote w:id="246">
    <w:p w14:paraId="0690901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34" w:history="1">
        <w:r w:rsidRPr="0068632F">
          <w:rPr>
            <w:rStyle w:val="Hyperlink"/>
            <w:rFonts w:ascii="Times New Roman" w:hAnsi="Times New Roman" w:cs="Times New Roman"/>
          </w:rPr>
          <w:t>John Lewis Partnership - Home</w:t>
        </w:r>
      </w:hyperlink>
      <w:r w:rsidRPr="0068632F">
        <w:rPr>
          <w:rFonts w:ascii="Times New Roman" w:hAnsi="Times New Roman" w:cs="Times New Roman"/>
          <w:lang w:val="mk-MK"/>
        </w:rPr>
        <w:t>.</w:t>
      </w:r>
    </w:p>
  </w:footnote>
  <w:footnote w:id="247">
    <w:p w14:paraId="6B08330E" w14:textId="113F126C" w:rsidR="0029300D" w:rsidRPr="0068632F" w:rsidRDefault="0029300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w:t>
      </w:r>
      <w:r w:rsidRPr="0068632F">
        <w:rPr>
          <w:rFonts w:ascii="Times New Roman" w:hAnsi="Times New Roman" w:cs="Times New Roman"/>
          <w:lang w:val="mk-MK"/>
        </w:rPr>
        <w:t xml:space="preserve"> </w:t>
      </w:r>
      <w:r w:rsidRPr="0068632F">
        <w:rPr>
          <w:rFonts w:ascii="Times New Roman" w:hAnsi="Times New Roman" w:cs="Times New Roman"/>
        </w:rPr>
        <w:t xml:space="preserve">Douglas </w:t>
      </w:r>
      <w:r w:rsidRPr="0068632F">
        <w:rPr>
          <w:rFonts w:ascii="Times New Roman" w:hAnsi="Times New Roman" w:cs="Times New Roman"/>
          <w:lang w:val="en-US"/>
        </w:rPr>
        <w:t>&amp;</w:t>
      </w:r>
      <w:r w:rsidRPr="0068632F">
        <w:rPr>
          <w:rFonts w:ascii="Times New Roman" w:hAnsi="Times New Roman" w:cs="Times New Roman"/>
        </w:rPr>
        <w:t xml:space="preserve"> J. Blasi</w:t>
      </w:r>
      <w:r w:rsidRPr="0068632F">
        <w:rPr>
          <w:rFonts w:ascii="Times New Roman" w:hAnsi="Times New Roman" w:cs="Times New Roman"/>
          <w:lang w:val="mk-MK"/>
        </w:rPr>
        <w:t>.</w:t>
      </w:r>
    </w:p>
  </w:footnote>
  <w:footnote w:id="248">
    <w:p w14:paraId="72F4FF52" w14:textId="3BB26BBD"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w:t>
      </w:r>
      <w:r w:rsidR="0029300D" w:rsidRPr="0068632F">
        <w:rPr>
          <w:rFonts w:ascii="Times New Roman" w:hAnsi="Times New Roman" w:cs="Times New Roman"/>
          <w:lang w:val="mk-MK"/>
        </w:rPr>
        <w:t xml:space="preserve"> </w:t>
      </w:r>
      <w:r w:rsidRPr="0068632F">
        <w:rPr>
          <w:rFonts w:ascii="Times New Roman" w:hAnsi="Times New Roman" w:cs="Times New Roman"/>
        </w:rPr>
        <w:t xml:space="preserve">Douglas </w:t>
      </w:r>
      <w:r w:rsidRPr="0068632F">
        <w:rPr>
          <w:rFonts w:ascii="Times New Roman" w:hAnsi="Times New Roman" w:cs="Times New Roman"/>
          <w:lang w:val="en-US"/>
        </w:rPr>
        <w:t>&amp;</w:t>
      </w:r>
      <w:r w:rsidRPr="0068632F">
        <w:rPr>
          <w:rFonts w:ascii="Times New Roman" w:hAnsi="Times New Roman" w:cs="Times New Roman"/>
        </w:rPr>
        <w:t xml:space="preserve"> J. Blasi</w:t>
      </w:r>
      <w:r w:rsidRPr="0068632F">
        <w:rPr>
          <w:rFonts w:ascii="Times New Roman" w:hAnsi="Times New Roman" w:cs="Times New Roman"/>
          <w:lang w:val="mk-MK"/>
        </w:rPr>
        <w:t>.</w:t>
      </w:r>
    </w:p>
  </w:footnote>
  <w:footnote w:id="249">
    <w:p w14:paraId="3BF3F0B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K.Douglas </w:t>
      </w:r>
      <w:r w:rsidRPr="0068632F">
        <w:rPr>
          <w:rFonts w:ascii="Times New Roman" w:hAnsi="Times New Roman" w:cs="Times New Roman"/>
          <w:lang w:val="en-US"/>
        </w:rPr>
        <w:t>&amp;</w:t>
      </w:r>
      <w:r w:rsidRPr="0068632F">
        <w:rPr>
          <w:rFonts w:ascii="Times New Roman" w:hAnsi="Times New Roman" w:cs="Times New Roman"/>
        </w:rPr>
        <w:t xml:space="preserve"> J. Blasi</w:t>
      </w:r>
      <w:r w:rsidRPr="0068632F">
        <w:rPr>
          <w:rFonts w:ascii="Times New Roman" w:hAnsi="Times New Roman" w:cs="Times New Roman"/>
          <w:lang w:val="mk-MK"/>
        </w:rPr>
        <w:t>.</w:t>
      </w:r>
    </w:p>
  </w:footnote>
  <w:footnote w:id="250">
    <w:p w14:paraId="1867578F"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Закони за трговските друштва на Босна и Херцеговина, Словенија, Србија, Хрватска и Црна Гора.  </w:t>
      </w:r>
    </w:p>
  </w:footnote>
  <w:footnote w:id="251">
    <w:p w14:paraId="4F96B4B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Zakon o privrednim društva federacije BiH (“Slžbeneih novine FBiH”, br. 81/2015 и 75/2021).</w:t>
      </w:r>
    </w:p>
  </w:footnote>
  <w:footnote w:id="252">
    <w:p w14:paraId="639F6097" w14:textId="77777777" w:rsidR="00ED2B59" w:rsidRPr="0068632F" w:rsidRDefault="00ED2B59" w:rsidP="00F01453">
      <w:pPr>
        <w:adjustRightInd w:val="0"/>
        <w:jc w:val="both"/>
        <w:rPr>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анализа на регионално ниво во </w:t>
      </w:r>
      <w:r w:rsidRPr="0068632F">
        <w:rPr>
          <w:sz w:val="20"/>
          <w:szCs w:val="20"/>
          <w:lang w:val="en-US"/>
        </w:rPr>
        <w:t>Вукадиновиќ, Р. (2012). Меѓународно деловно право. Крагуевац: Центар за право на Европската унија.</w:t>
      </w:r>
    </w:p>
  </w:footnote>
  <w:footnote w:id="253">
    <w:p w14:paraId="74495CB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68.</w:t>
      </w:r>
    </w:p>
  </w:footnote>
  <w:footnote w:id="254">
    <w:p w14:paraId="3D76CCD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69.</w:t>
      </w:r>
    </w:p>
  </w:footnote>
  <w:footnote w:id="255">
    <w:p w14:paraId="119D57C2"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Davis, Gerald. 2009. Managed by the Market: How Finance Re-Shaped America. Oxford University Press.</w:t>
      </w:r>
    </w:p>
  </w:footnote>
  <w:footnote w:id="256">
    <w:p w14:paraId="5C3C666C"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 xml:space="preserve">Davis, Gerald. 2008. “A New Finance Capitalism? Mutual Funds and Ownership Re-Concentration in the United States.” 5 European Management Review 11. </w:t>
      </w:r>
    </w:p>
  </w:footnote>
  <w:footnote w:id="257">
    <w:p w14:paraId="2C6719AD" w14:textId="12C777FD" w:rsidR="00B24B7F" w:rsidRPr="0068632F" w:rsidRDefault="00B24B7F"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7F5DD9" w:rsidRPr="0068632F">
        <w:rPr>
          <w:sz w:val="20"/>
          <w:szCs w:val="20"/>
          <w:lang w:val="mk-MK"/>
        </w:rPr>
        <w:t xml:space="preserve">На пример, види </w:t>
      </w:r>
      <w:r w:rsidR="007F5DD9" w:rsidRPr="0068632F">
        <w:rPr>
          <w:bCs/>
          <w:sz w:val="20"/>
          <w:szCs w:val="20"/>
          <w:lang w:val="mk-MK"/>
        </w:rPr>
        <w:t xml:space="preserve">Barkema, H. G., Bell, J. H. J., &amp; Pennings, J. M. (1996). Foreign entry, cultural barriers, and learning. Strategic Management Journal, 17(2), 151–166. </w:t>
      </w:r>
    </w:p>
  </w:footnote>
  <w:footnote w:id="258">
    <w:p w14:paraId="143218E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Fey, C. F., &amp; Beamish, P. W. (2001). Organizational climate similarity and performance. Organization Studies, 22(5), 853– 882.</w:t>
      </w:r>
    </w:p>
  </w:footnote>
  <w:footnote w:id="259">
    <w:p w14:paraId="60F10278"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Freeman, Richard, and Edward Lazear. 1995. “An Economic Analysis of Works Councils.” In Works Councils: Consultation, Representation, and Cooperation in Industrial Relations, edited by Joel Rogers and Wolfgang Streeck, 27. University of Chicago Press. </w:t>
      </w:r>
    </w:p>
  </w:footnote>
  <w:footnote w:id="260">
    <w:p w14:paraId="18F89F2C"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На пример, види </w:t>
      </w:r>
      <w:r w:rsidRPr="0068632F">
        <w:rPr>
          <w:bCs/>
          <w:sz w:val="20"/>
          <w:szCs w:val="20"/>
          <w:lang w:val="mk-MK"/>
        </w:rPr>
        <w:t>Dhanaraj, C., Lyles, M. A., &amp; Lai, Y. (2007). Innovation without walls: Alliance management at Eli Lilly and Company Inc. (Case #9B07M015). London, ON, Canada: Ivey Publishing.</w:t>
      </w:r>
    </w:p>
  </w:footnote>
  <w:footnote w:id="261">
    <w:p w14:paraId="14FF0BD7" w14:textId="77777777" w:rsidR="00ED2B59" w:rsidRPr="0068632F" w:rsidRDefault="00ED2B5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 xml:space="preserve">Contractor, F. J., &amp; Lorange, P. (Eds.). (1988). Cooperative strategies in international business. Lexington, MA: Lexington Books. </w:t>
      </w:r>
    </w:p>
  </w:footnote>
  <w:footnote w:id="262">
    <w:p w14:paraId="1775FB11"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Ferreras, Isabelle. 2017. Firms as Political Entities: Saving Democracy through Economic Bicameralism. Cambridge University Press.</w:t>
      </w:r>
    </w:p>
  </w:footnote>
  <w:footnote w:id="263">
    <w:p w14:paraId="242D8B5A"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mk-MK"/>
        </w:rPr>
        <w:t>Hirschman, Albert. 1970. Exit, Voice, and Loyalty: Responses to Decline in Firms, Organizations, and States. Harvard University Press</w:t>
      </w:r>
    </w:p>
  </w:footnote>
  <w:footnote w:id="264">
    <w:p w14:paraId="0247BCD0"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bCs/>
          <w:sz w:val="20"/>
          <w:szCs w:val="20"/>
          <w:lang w:val="mk-MK"/>
        </w:rPr>
        <w:t>Hess, David. 2005. “Protecting and Politicizing Public Pension Fund Assets: Empirical Evidence on the Effects of Governance Structures and Practices.” 39 UC Davis Law Review 187.</w:t>
      </w:r>
    </w:p>
  </w:footnote>
  <w:footnote w:id="265">
    <w:p w14:paraId="1523251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Helfat, C. E., &amp; Lieberman, M. B. (2002). The birth of capabilities: Market entry and the importance of pre-history. Industrial and Corporate Change, 11(4), 725–760.</w:t>
      </w:r>
    </w:p>
  </w:footnote>
  <w:footnote w:id="266">
    <w:p w14:paraId="0053DA87"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Елаборирано во: Davis, Gerald. 2009. Managed by the Market: How Finance Re-Shaped America. Oxford University Press.</w:t>
      </w:r>
    </w:p>
  </w:footnote>
  <w:footnote w:id="267">
    <w:p w14:paraId="2BF3235E"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 xml:space="preserve">Alchian, Armen A., and Harold Demsetz. 1972. “Production, Information Costs, and Economic Organization.” 62 American Economic Review 777. </w:t>
      </w:r>
      <w:hyperlink r:id="rId35" w:history="1">
        <w:r w:rsidRPr="0068632F">
          <w:rPr>
            <w:rStyle w:val="Hyperlink"/>
            <w:bCs/>
            <w:sz w:val="20"/>
            <w:szCs w:val="20"/>
            <w:lang w:val="mk-MK"/>
          </w:rPr>
          <w:t>https://doi.org/10.1109/emr.1975.4306431</w:t>
        </w:r>
      </w:hyperlink>
      <w:r w:rsidRPr="0068632F">
        <w:rPr>
          <w:bCs/>
          <w:sz w:val="20"/>
          <w:szCs w:val="20"/>
          <w:lang w:val="mk-MK"/>
        </w:rPr>
        <w:t xml:space="preserve">.  </w:t>
      </w:r>
    </w:p>
  </w:footnote>
  <w:footnote w:id="268">
    <w:p w14:paraId="29A09B1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mk-MK"/>
        </w:rPr>
        <w:t>Ginglinger, Edith, William Megginson, and Timothee Waxin. 2011. “Employee Ownership, Board Representation, and Corporate Financial Policies.” 17 Journal of Corporate Finance 868.</w:t>
      </w:r>
    </w:p>
  </w:footnote>
  <w:footnote w:id="269">
    <w:p w14:paraId="116A0C89"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 xml:space="preserve">Greenfield, Kent. 2004. “Democracy and the Dominance of Delaware in Corporate Law.” 67 Law and Contemporary Problems 135. </w:t>
      </w:r>
    </w:p>
  </w:footnote>
  <w:footnote w:id="270">
    <w:p w14:paraId="2C6F9513"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Hofstede, G. (1991). Culture and organizations: Software of the mind. Berkshire, England: McGraw-Hill.</w:t>
      </w:r>
    </w:p>
  </w:footnote>
  <w:footnote w:id="271">
    <w:p w14:paraId="4FB6C14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36" w:history="1">
        <w:r w:rsidRPr="0068632F">
          <w:rPr>
            <w:rStyle w:val="Hyperlink"/>
            <w:rFonts w:ascii="Times New Roman" w:hAnsi="Times New Roman" w:cs="Times New Roman"/>
          </w:rPr>
          <w:t>Enron scandal | Summary, Explained, History, &amp; Facts | Britannica</w:t>
        </w:r>
      </w:hyperlink>
      <w:r w:rsidRPr="0068632F">
        <w:rPr>
          <w:rFonts w:ascii="Times New Roman" w:hAnsi="Times New Roman" w:cs="Times New Roman"/>
          <w:lang w:val="mk-MK"/>
        </w:rPr>
        <w:t xml:space="preserve">. </w:t>
      </w:r>
    </w:p>
  </w:footnote>
  <w:footnote w:id="272">
    <w:p w14:paraId="3122D183"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Biondi, Yuri, Arnaldo Canziani, and Thierry Kirat. 2007. The Firm as an Entity. Routledge.</w:t>
      </w:r>
    </w:p>
  </w:footnote>
  <w:footnote w:id="273">
    <w:p w14:paraId="1FCC51F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Закон за трговските друштва („Службен весник на Република Македонија“ бр. 28/04, 84/05, 25/07, 87/08, 42/10, 48/10, 24/11, 166/12, 70/13, 119/13, 120/13, 187/13, 38/14, 41/14, 138/14, 88/15, 192/15, 6/16, 30/16, 61/16, 64/18 и 120/18 и „Службен весник на Република Северна Македонија“ бр. 290/20, 215/21 и 99/22).</w:t>
      </w:r>
    </w:p>
  </w:footnote>
  <w:footnote w:id="274">
    <w:p w14:paraId="7C70BC6D"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bCs/>
          <w:sz w:val="20"/>
          <w:szCs w:val="20"/>
          <w:lang w:val="mk-MK"/>
        </w:rPr>
        <w:t>Нацрт предлог-Закон за трговските друштва (2024).</w:t>
      </w:r>
    </w:p>
  </w:footnote>
  <w:footnote w:id="275">
    <w:p w14:paraId="0BF9AA0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Устав на Република Северна Македонија. </w:t>
      </w:r>
    </w:p>
  </w:footnote>
  <w:footnote w:id="276">
    <w:p w14:paraId="03FD38FF"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70.</w:t>
      </w:r>
    </w:p>
  </w:footnote>
  <w:footnote w:id="277">
    <w:p w14:paraId="24804FAD" w14:textId="77777777" w:rsidR="00ED2B59" w:rsidRPr="0068632F" w:rsidRDefault="00ED2B59" w:rsidP="00F01453">
      <w:pPr>
        <w:adjustRightInd w:val="0"/>
        <w:jc w:val="both"/>
        <w:rPr>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на пример </w:t>
      </w:r>
      <w:r w:rsidRPr="0068632F">
        <w:rPr>
          <w:sz w:val="20"/>
          <w:szCs w:val="20"/>
        </w:rPr>
        <w:t>Honnold, J. O. (1995). Uniform Laws for Internation</w:t>
      </w:r>
      <w:r w:rsidRPr="0068632F">
        <w:rPr>
          <w:sz w:val="20"/>
          <w:szCs w:val="20"/>
          <w:lang w:val="mk-MK"/>
        </w:rPr>
        <w:t>а</w:t>
      </w:r>
      <w:r w:rsidRPr="0068632F">
        <w:rPr>
          <w:sz w:val="20"/>
          <w:szCs w:val="20"/>
        </w:rPr>
        <w:t>l Trade: Early Care and Feeding for Uniform Growth. Int'l Trade &amp; Bus. LJ, 1, 1.</w:t>
      </w:r>
    </w:p>
  </w:footnote>
  <w:footnote w:id="278">
    <w:p w14:paraId="697D6CC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71.</w:t>
      </w:r>
    </w:p>
  </w:footnote>
  <w:footnote w:id="279">
    <w:p w14:paraId="0BC3BCD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Членови 537-д, 537- е, 537-ж, 537-и, 537-љ од ЗТД</w:t>
      </w:r>
    </w:p>
  </w:footnote>
  <w:footnote w:id="280">
    <w:p w14:paraId="6F30E2DD"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Со </w:t>
      </w:r>
      <w:r w:rsidRPr="0068632F">
        <w:rPr>
          <w:rFonts w:ascii="Times New Roman" w:hAnsi="Times New Roman" w:cs="Times New Roman"/>
        </w:rPr>
        <w:t xml:space="preserve">Законот за европско друштво („Службен весник на Република Македонија“ бр. 115/2010) се уредуваат начинот и условите на спроведување на Регулативата на Советот на Европските заедници број 2157/2001 за Статут на европското друштво </w:t>
      </w:r>
      <w:r w:rsidRPr="0068632F">
        <w:rPr>
          <w:rFonts w:ascii="Times New Roman" w:hAnsi="Times New Roman" w:cs="Times New Roman"/>
          <w:lang w:val="mk-MK"/>
        </w:rPr>
        <w:t>„</w:t>
      </w:r>
      <w:r w:rsidRPr="0068632F">
        <w:rPr>
          <w:rFonts w:ascii="Times New Roman" w:hAnsi="Times New Roman" w:cs="Times New Roman"/>
        </w:rPr>
        <w:t>Societas Europaea</w:t>
      </w:r>
      <w:r w:rsidRPr="0068632F">
        <w:rPr>
          <w:rFonts w:ascii="Times New Roman" w:hAnsi="Times New Roman" w:cs="Times New Roman"/>
          <w:lang w:val="mk-MK"/>
        </w:rPr>
        <w:t>“</w:t>
      </w:r>
      <w:r w:rsidRPr="0068632F">
        <w:rPr>
          <w:rFonts w:ascii="Times New Roman" w:hAnsi="Times New Roman" w:cs="Times New Roman"/>
        </w:rPr>
        <w:t xml:space="preserve"> и учеството на вработените во одлучувањето во европското друштво. Во Главата VI (членови 35 – 54), подетално се уредува правото на учество во одлучувањето во европското друштво. Законот ќе се применува по пристапувањето на Република Македонија во Европската унија.</w:t>
      </w:r>
    </w:p>
  </w:footnote>
  <w:footnote w:id="281">
    <w:p w14:paraId="38617434" w14:textId="0FEF3D19" w:rsidR="00963A2B" w:rsidRPr="0068632F" w:rsidRDefault="00963A2B"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За објаснување види </w:t>
      </w:r>
      <w:r w:rsidRPr="0068632F">
        <w:rPr>
          <w:bCs/>
          <w:sz w:val="20"/>
          <w:szCs w:val="20"/>
          <w:lang w:val="en-US"/>
        </w:rPr>
        <w:t xml:space="preserve">Rogers, Joel, and Wolfgang Streeck. 1995. </w:t>
      </w:r>
    </w:p>
  </w:footnote>
  <w:footnote w:id="282">
    <w:p w14:paraId="417C392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71.</w:t>
      </w:r>
    </w:p>
  </w:footnote>
  <w:footnote w:id="283">
    <w:p w14:paraId="55A9C3E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w:t>
      </w:r>
      <w:r w:rsidRPr="0068632F">
        <w:rPr>
          <w:rFonts w:ascii="Times New Roman" w:hAnsi="Times New Roman" w:cs="Times New Roman"/>
        </w:rPr>
        <w:t>лен 246, став (3), точка (1) од ЗТД</w:t>
      </w:r>
      <w:r w:rsidRPr="0068632F">
        <w:rPr>
          <w:rFonts w:ascii="Times New Roman" w:hAnsi="Times New Roman" w:cs="Times New Roman"/>
          <w:lang w:val="mk-MK"/>
        </w:rPr>
        <w:t>.</w:t>
      </w:r>
    </w:p>
  </w:footnote>
  <w:footnote w:id="284">
    <w:p w14:paraId="6CCDE908"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Види: член 28, став (1), точка 8) од Законот за супервизија на осигурувањето, („Службен весник на Република Македонија“ бр. 27/02, 98/02, 79/07, 88/08, 67/10, 44/11, 112/11, 188/13, 30/14, 43/14, 112/14, 153/15, 192/15, 23/16, 83/18, 198/18 и „Службен весник на Република Северна Македонија“ бр. 101/19, 31/20 и 173/22) и член 88, став (2) од Законот за банките, („Службен весник на Република Македонија“ бр. 67/07, 90/09, 67/10, 26/13, 15/15, 153/15. 190/16 и 7/19 и „Службен весник на Република Северна Македонија“ бр.101/19, 122/21).</w:t>
      </w:r>
    </w:p>
  </w:footnote>
  <w:footnote w:id="285">
    <w:p w14:paraId="3271CFDE"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весник на Република Македонија“ бр. 62/05, 106/08, 161/08, 114/09, 130/09, 50/10, 52/10, 124/10, 47/11, 11/12, 39/12, 13/13, 25/13, 170/13, 187/13, 113/14, 20/15, 33/15, 72/15, 129/15, 27/16, 120/18 и „Службен весник на Република Северна Македонија“ бр. 110/19, 267/20, 151/21 и 288/21.</w:t>
      </w:r>
    </w:p>
  </w:footnote>
  <w:footnote w:id="286">
    <w:p w14:paraId="53404A25"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71.</w:t>
      </w:r>
    </w:p>
  </w:footnote>
  <w:footnote w:id="287">
    <w:p w14:paraId="646946C1"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весник на Република Македонија“ бр. 25/07</w:t>
      </w:r>
      <w:r w:rsidRPr="0068632F">
        <w:rPr>
          <w:rFonts w:ascii="Times New Roman" w:hAnsi="Times New Roman" w:cs="Times New Roman"/>
          <w:lang w:val="mk-MK"/>
        </w:rPr>
        <w:t>.</w:t>
      </w:r>
    </w:p>
  </w:footnote>
  <w:footnote w:id="288">
    <w:p w14:paraId="35CC47BC"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Фондот и акциите коишто вработените можат да ги стекнат од фондот, можат да изнесуваат најмногу до една десеттина од основната главнина на акционерското друштво. Со статутот на акционерското друштво се уредува организацијата и управувањето на фондот, како и користењето и начинот на распределбата на средствата наменети за акции на вработените. Фондот може да ги стекнува акциите од сопствените акции на акционерското друштво или од општата резерва и акумулираната добивка на акционерското друштво во согласност со овој закон. Одредбите за фондот од којшто вработените можат да стекнат акции на акционерското друштво е во примена од 1 јануари 2012 година. На линија на можноста за стекнување сопствени акции за распределба на вработените се и членовите 340, став (1), 434, став (1), точка 3) и 486, став (2) од ЗТД.</w:t>
      </w:r>
    </w:p>
  </w:footnote>
  <w:footnote w:id="289">
    <w:p w14:paraId="78E8C72B"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страница број 72.</w:t>
      </w:r>
    </w:p>
  </w:footnote>
  <w:footnote w:id="290">
    <w:p w14:paraId="152DAE97" w14:textId="7ED50C05"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Koevski G., &amp; Spasevski D. (2023</w:t>
      </w:r>
      <w:r w:rsidRPr="0068632F">
        <w:rPr>
          <w:rFonts w:ascii="Times New Roman" w:hAnsi="Times New Roman" w:cs="Times New Roman"/>
          <w:lang w:val="en-US"/>
        </w:rPr>
        <w:t>)</w:t>
      </w:r>
      <w:r w:rsidRPr="0068632F">
        <w:rPr>
          <w:rFonts w:ascii="Times New Roman" w:hAnsi="Times New Roman" w:cs="Times New Roman"/>
          <w:lang w:val="mk-MK"/>
        </w:rPr>
        <w:t>, страниц</w:t>
      </w:r>
      <w:r w:rsidR="00C25E48" w:rsidRPr="0068632F">
        <w:rPr>
          <w:rFonts w:ascii="Times New Roman" w:hAnsi="Times New Roman" w:cs="Times New Roman"/>
          <w:lang w:val="mk-MK"/>
        </w:rPr>
        <w:t xml:space="preserve">и </w:t>
      </w:r>
      <w:r w:rsidRPr="0068632F">
        <w:rPr>
          <w:rFonts w:ascii="Times New Roman" w:hAnsi="Times New Roman" w:cs="Times New Roman"/>
          <w:lang w:val="mk-MK"/>
        </w:rPr>
        <w:t>број 72</w:t>
      </w:r>
      <w:r w:rsidR="00C25E48" w:rsidRPr="0068632F">
        <w:rPr>
          <w:rFonts w:ascii="Times New Roman" w:hAnsi="Times New Roman" w:cs="Times New Roman"/>
          <w:lang w:val="mk-MK"/>
        </w:rPr>
        <w:t>-73</w:t>
      </w:r>
      <w:r w:rsidRPr="0068632F">
        <w:rPr>
          <w:rFonts w:ascii="Times New Roman" w:hAnsi="Times New Roman" w:cs="Times New Roman"/>
          <w:lang w:val="mk-MK"/>
        </w:rPr>
        <w:t>.</w:t>
      </w:r>
    </w:p>
  </w:footnote>
  <w:footnote w:id="291">
    <w:p w14:paraId="7B77BFFF" w14:textId="7CB99EA8" w:rsidR="00652F59" w:rsidRPr="0068632F" w:rsidRDefault="00652F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A4476" w:rsidRPr="0068632F">
        <w:rPr>
          <w:rFonts w:ascii="Times New Roman" w:hAnsi="Times New Roman" w:cs="Times New Roman"/>
          <w:lang w:val="mk-MK"/>
        </w:rPr>
        <w:t xml:space="preserve">Влечејќи од веќе направените наоди од Коевски и Спасовски. </w:t>
      </w:r>
    </w:p>
  </w:footnote>
  <w:footnote w:id="292">
    <w:p w14:paraId="148F94F9" w14:textId="77777777" w:rsidR="00ED2B59" w:rsidRPr="0068632F" w:rsidRDefault="00ED2B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Дел од овие прашање се актуелизирани и во Davies, P. L., &amp; Hopt, K. J. (2013). Corporate boards in Europe—accountability and convergence. The American Journal of Comparative Law, 61(2), 301-376.</w:t>
      </w:r>
    </w:p>
  </w:footnote>
  <w:footnote w:id="293">
    <w:p w14:paraId="27F66FA1" w14:textId="299F152A" w:rsidR="00E24EEE" w:rsidRPr="0068632F" w:rsidRDefault="00E24EE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57D9B" w:rsidRPr="0068632F">
        <w:rPr>
          <w:rFonts w:ascii="Times New Roman" w:hAnsi="Times New Roman" w:cs="Times New Roman"/>
        </w:rPr>
        <w:t>Le, D. N., &amp; Pham, N. K. (2025). Trade, gender equality and institutional quality: Evidence from the gravitational approach. International Journal of Development Issues, 24(1), 106-124.</w:t>
      </w:r>
    </w:p>
  </w:footnote>
  <w:footnote w:id="294">
    <w:p w14:paraId="6352DE2F"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Како на пример </w:t>
      </w:r>
      <w:r w:rsidRPr="0068632F">
        <w:rPr>
          <w:bCs/>
          <w:sz w:val="20"/>
          <w:szCs w:val="20"/>
          <w:lang w:val="en-US"/>
        </w:rPr>
        <w:t xml:space="preserve">Lazonick, William. 2020. “Is the Most Unproductive Firm the Foundation of the Most Efficient Economy? How Penrosian Learning Confronts the Neoclassical Absurdity.” Institute for New Economic Thinking Working Paper No. 111, New York, New York, January 2020. </w:t>
      </w:r>
      <w:hyperlink r:id="rId37" w:history="1">
        <w:r w:rsidRPr="0068632F">
          <w:rPr>
            <w:rStyle w:val="Hyperlink"/>
            <w:bCs/>
            <w:sz w:val="20"/>
            <w:szCs w:val="20"/>
            <w:lang w:val="en-US"/>
          </w:rPr>
          <w:t>https://www.ineteconomics.org/uploads/papers/WP_111-Lazonick-Penrose-Neoclassical-Fallacy.pdf</w:t>
        </w:r>
      </w:hyperlink>
      <w:r w:rsidRPr="0068632F">
        <w:rPr>
          <w:bCs/>
          <w:sz w:val="20"/>
          <w:szCs w:val="20"/>
          <w:lang w:val="en-US"/>
        </w:rPr>
        <w:t xml:space="preserve">.    </w:t>
      </w:r>
    </w:p>
  </w:footnote>
  <w:footnote w:id="295">
    <w:p w14:paraId="7D22A715"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Како што тоа е направено со пристапот во </w:t>
      </w:r>
      <w:r w:rsidRPr="0068632F">
        <w:rPr>
          <w:bCs/>
          <w:sz w:val="20"/>
          <w:szCs w:val="20"/>
          <w:lang w:val="mk-MK"/>
        </w:rPr>
        <w:t>Mowery, D. C. (Ed.). (1988). International collaborative ventures in U.S. manufacturing. Cambridge, MA: Ballinger</w:t>
      </w:r>
      <w:r w:rsidRPr="0068632F">
        <w:rPr>
          <w:bCs/>
          <w:sz w:val="20"/>
          <w:szCs w:val="20"/>
          <w:lang w:val="en-US"/>
        </w:rPr>
        <w:t xml:space="preserve"> </w:t>
      </w:r>
      <w:r w:rsidRPr="0068632F">
        <w:rPr>
          <w:bCs/>
          <w:sz w:val="20"/>
          <w:szCs w:val="20"/>
          <w:lang w:val="mk-MK"/>
        </w:rPr>
        <w:t>Publishing.</w:t>
      </w:r>
    </w:p>
  </w:footnote>
  <w:footnote w:id="296">
    <w:p w14:paraId="3570D40E"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Слично на методите користени во </w:t>
      </w:r>
      <w:r w:rsidRPr="0068632F">
        <w:rPr>
          <w:bCs/>
          <w:sz w:val="20"/>
          <w:szCs w:val="20"/>
          <w:lang w:val="en-US"/>
        </w:rPr>
        <w:t>McGaughey, Ewan. 2019. “Democracy in America at Work: The History of Labor’s Vote in Corporate Governance.” 42 Seattle University Law Review 697.</w:t>
      </w:r>
    </w:p>
  </w:footnote>
  <w:footnote w:id="297">
    <w:p w14:paraId="24BDAD74" w14:textId="3BA36905" w:rsidR="0068613F" w:rsidRPr="0068632F" w:rsidRDefault="0068613F"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6E1B06" w:rsidRPr="0068632F">
        <w:rPr>
          <w:sz w:val="20"/>
          <w:szCs w:val="20"/>
          <w:lang w:val="mk-MK"/>
        </w:rPr>
        <w:t xml:space="preserve">Сличен пристап како во </w:t>
      </w:r>
      <w:r w:rsidR="006E1B06" w:rsidRPr="0068632F">
        <w:rPr>
          <w:bCs/>
          <w:sz w:val="20"/>
          <w:szCs w:val="20"/>
          <w:lang w:val="en-US"/>
        </w:rPr>
        <w:t>Rogers, Joel, and Wolfgang Streeck. 1995. “The Study of Works Councils: Concepts and Problems.” In Works Councils: Consultation, Representation, and Cooperation in Industrial Relations, edited by Joel Rogers and Wolfgang Streeck, 3. University of Chicago Press.</w:t>
      </w:r>
    </w:p>
  </w:footnote>
  <w:footnote w:id="298">
    <w:p w14:paraId="1463FFBD" w14:textId="48CEA193" w:rsidR="0068613F" w:rsidRPr="0068632F" w:rsidRDefault="0068613F"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F74785" w:rsidRPr="0068632F">
        <w:rPr>
          <w:sz w:val="20"/>
          <w:szCs w:val="20"/>
          <w:lang w:val="mk-MK"/>
        </w:rPr>
        <w:t>На пример, одредена паралела може да се направи и со</w:t>
      </w:r>
      <w:r w:rsidR="00EA052B" w:rsidRPr="0068632F">
        <w:rPr>
          <w:sz w:val="20"/>
          <w:szCs w:val="20"/>
          <w:lang w:val="mk-MK"/>
        </w:rPr>
        <w:t xml:space="preserve"> организацијата на пензиските фондови, види</w:t>
      </w:r>
      <w:r w:rsidR="00F74785" w:rsidRPr="0068632F">
        <w:rPr>
          <w:sz w:val="20"/>
          <w:szCs w:val="20"/>
          <w:lang w:val="mk-MK"/>
        </w:rPr>
        <w:t xml:space="preserve"> </w:t>
      </w:r>
      <w:r w:rsidR="00EA052B" w:rsidRPr="0068632F">
        <w:rPr>
          <w:bCs/>
          <w:sz w:val="20"/>
          <w:szCs w:val="20"/>
          <w:lang w:val="mk-MK"/>
        </w:rPr>
        <w:t xml:space="preserve">Hutchinson, James D., and Charles G. Cole. 1980. “Legal Standards Governing Investment of Pension Assets for Social and Political Goals.” 128 University of Pennsylvania Law Review 1340. </w:t>
      </w:r>
      <w:hyperlink r:id="rId38" w:history="1">
        <w:r w:rsidR="00EA052B" w:rsidRPr="0068632F">
          <w:rPr>
            <w:rStyle w:val="Hyperlink"/>
            <w:bCs/>
            <w:sz w:val="20"/>
            <w:szCs w:val="20"/>
            <w:lang w:val="mk-MK"/>
          </w:rPr>
          <w:t>https://doi.org/10.2307/3311682</w:t>
        </w:r>
      </w:hyperlink>
      <w:r w:rsidR="00EA052B" w:rsidRPr="0068632F">
        <w:rPr>
          <w:bCs/>
          <w:sz w:val="20"/>
          <w:szCs w:val="20"/>
          <w:lang w:val="mk-MK"/>
        </w:rPr>
        <w:t xml:space="preserve">. </w:t>
      </w:r>
    </w:p>
  </w:footnote>
  <w:footnote w:id="299">
    <w:p w14:paraId="4483E7A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Види </w:t>
      </w:r>
      <w:r w:rsidRPr="0068632F">
        <w:rPr>
          <w:bCs/>
          <w:sz w:val="20"/>
          <w:szCs w:val="20"/>
          <w:lang w:val="en-US"/>
        </w:rPr>
        <w:t>McKersie, Robert. 2001. “Labor’s Voice at the Strategic Level of the Firm.” 3 European Review of Labor and Research 480.</w:t>
      </w:r>
    </w:p>
  </w:footnote>
  <w:footnote w:id="300">
    <w:p w14:paraId="135A4E28"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Види и</w:t>
      </w:r>
      <w:r w:rsidRPr="0068632F">
        <w:rPr>
          <w:bCs/>
          <w:sz w:val="20"/>
          <w:szCs w:val="20"/>
          <w:lang w:val="mk-MK"/>
        </w:rPr>
        <w:t xml:space="preserve"> Luo, Y. D. (2002a). Capability exploitation and building in a foreign market: Implications for multinational enterprises. Organization Science, 13(1), 48 – 63.</w:t>
      </w:r>
    </w:p>
  </w:footnote>
  <w:footnote w:id="301">
    <w:p w14:paraId="0A750444" w14:textId="77777777" w:rsidR="00ED2B59" w:rsidRPr="0068632F" w:rsidRDefault="00ED2B59"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Pr="0068632F">
        <w:rPr>
          <w:sz w:val="20"/>
          <w:szCs w:val="20"/>
          <w:lang w:val="mk-MK"/>
        </w:rPr>
        <w:t xml:space="preserve">Како на пример во </w:t>
      </w:r>
      <w:r w:rsidRPr="0068632F">
        <w:rPr>
          <w:bCs/>
          <w:sz w:val="20"/>
          <w:szCs w:val="20"/>
          <w:lang w:val="en-US"/>
        </w:rPr>
        <w:t>McGaughey, E. (2016). The codetermination bargains: The history of German corporate and labor law. Colum. J. Eur. L., 23, 135.</w:t>
      </w:r>
    </w:p>
  </w:footnote>
  <w:footnote w:id="302">
    <w:p w14:paraId="5F5D990F" w14:textId="702B891D" w:rsidR="00BC7FFA" w:rsidRPr="0068632F" w:rsidRDefault="00BC7FFA"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137C61" w:rsidRPr="0068632F">
        <w:rPr>
          <w:sz w:val="20"/>
          <w:szCs w:val="20"/>
          <w:lang w:val="mk-MK"/>
        </w:rPr>
        <w:t xml:space="preserve">Пристап преземен од </w:t>
      </w:r>
      <w:r w:rsidR="00137C61" w:rsidRPr="0068632F">
        <w:rPr>
          <w:bCs/>
          <w:sz w:val="20"/>
          <w:szCs w:val="20"/>
          <w:lang w:val="en-US"/>
        </w:rPr>
        <w:t xml:space="preserve">Owens, Christine, Catherine Ruckelshaus, and Laura Padin. 2019. “Comments on RIN 1235-AA26: Joint Employer Status Under the Fair Labor Standards Act.” July 25, 2019. </w:t>
      </w:r>
      <w:hyperlink r:id="rId39" w:history="1">
        <w:r w:rsidR="00137C61" w:rsidRPr="0068632F">
          <w:rPr>
            <w:rStyle w:val="Hyperlink"/>
            <w:bCs/>
            <w:sz w:val="20"/>
            <w:szCs w:val="20"/>
            <w:lang w:val="en-US"/>
          </w:rPr>
          <w:t>https://s27147.pcdn.co/wp-content/uploads/Comments-USDOL-Joint-Employer-Status-FLSA.pdf</w:t>
        </w:r>
      </w:hyperlink>
      <w:r w:rsidR="00137C61" w:rsidRPr="0068632F">
        <w:rPr>
          <w:bCs/>
          <w:sz w:val="20"/>
          <w:szCs w:val="20"/>
          <w:lang w:val="en-US"/>
        </w:rPr>
        <w:t xml:space="preserve">.   </w:t>
      </w:r>
    </w:p>
  </w:footnote>
  <w:footnote w:id="303">
    <w:p w14:paraId="42C4DFD3" w14:textId="67882E84" w:rsidR="00AF2AF2" w:rsidRPr="0068632F" w:rsidRDefault="00AF2AF2"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8E7CFB" w:rsidRPr="0068632F">
        <w:rPr>
          <w:sz w:val="20"/>
          <w:szCs w:val="20"/>
          <w:lang w:val="mk-MK"/>
        </w:rPr>
        <w:t>За сегашната уреденост види интерес</w:t>
      </w:r>
      <w:r w:rsidR="00767CBC" w:rsidRPr="0068632F">
        <w:rPr>
          <w:sz w:val="20"/>
          <w:szCs w:val="20"/>
          <w:lang w:val="mk-MK"/>
        </w:rPr>
        <w:t xml:space="preserve">на перспектива во </w:t>
      </w:r>
      <w:r w:rsidR="00767CBC" w:rsidRPr="0068632F">
        <w:rPr>
          <w:bCs/>
          <w:sz w:val="20"/>
          <w:szCs w:val="20"/>
          <w:lang w:val="en-US"/>
        </w:rPr>
        <w:t>Malcomson, James. 1983. “Trade Unions and Economic Efficiency.” 93 Economic Journal 51.</w:t>
      </w:r>
    </w:p>
  </w:footnote>
  <w:footnote w:id="304">
    <w:p w14:paraId="01F020F1" w14:textId="405F91D5" w:rsidR="00DD505A" w:rsidRPr="0068632F" w:rsidRDefault="00DD50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C5FE2" w:rsidRPr="0068632F">
        <w:rPr>
          <w:rFonts w:ascii="Times New Roman" w:hAnsi="Times New Roman" w:cs="Times New Roman"/>
          <w:lang w:val="mk-MK"/>
        </w:rPr>
        <w:t xml:space="preserve">Види: </w:t>
      </w:r>
      <w:hyperlink r:id="rId40" w:history="1">
        <w:r w:rsidR="005C5FE2" w:rsidRPr="0068632F">
          <w:rPr>
            <w:rStyle w:val="Hyperlink"/>
            <w:rFonts w:ascii="Times New Roman" w:hAnsi="Times New Roman" w:cs="Times New Roman"/>
            <w:lang w:val="bg-BG"/>
          </w:rPr>
          <w:t>Mladi na popis_so finalen tekst_02_so korekcii.pdf</w:t>
        </w:r>
      </w:hyperlink>
      <w:r w:rsidR="005C5FE2" w:rsidRPr="0068632F">
        <w:rPr>
          <w:rFonts w:ascii="Times New Roman" w:hAnsi="Times New Roman" w:cs="Times New Roman"/>
          <w:lang w:val="mk-MK"/>
        </w:rPr>
        <w:t xml:space="preserve">. </w:t>
      </w:r>
    </w:p>
  </w:footnote>
  <w:footnote w:id="305">
    <w:p w14:paraId="359E781B" w14:textId="252BE4DB" w:rsidR="00FB6BAB" w:rsidRPr="0068632F" w:rsidRDefault="00FB6BA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86789" w:rsidRPr="0068632F">
        <w:rPr>
          <w:rFonts w:ascii="Times New Roman" w:hAnsi="Times New Roman" w:cs="Times New Roman"/>
          <w:lang w:val="mk-MK"/>
        </w:rPr>
        <w:t>За актуелноста на темата во светски рамки сведочат секојдневните објави од глобално позиционирани медиуми</w:t>
      </w:r>
      <w:r w:rsidR="00CD694E" w:rsidRPr="0068632F">
        <w:rPr>
          <w:rFonts w:ascii="Times New Roman" w:hAnsi="Times New Roman" w:cs="Times New Roman"/>
          <w:lang w:val="mk-MK"/>
        </w:rPr>
        <w:t xml:space="preserve">, кои привлекуваат сериозно внимание, види на пример: </w:t>
      </w:r>
      <w:hyperlink r:id="rId41" w:history="1">
        <w:r w:rsidR="00CD694E" w:rsidRPr="0068632F">
          <w:rPr>
            <w:rStyle w:val="Hyperlink"/>
            <w:rFonts w:ascii="Times New Roman" w:hAnsi="Times New Roman" w:cs="Times New Roman"/>
            <w:lang w:val="bg-BG"/>
          </w:rPr>
          <w:t>Bill in Congress could reward companies that give employees stock</w:t>
        </w:r>
      </w:hyperlink>
      <w:r w:rsidR="00CD694E" w:rsidRPr="0068632F">
        <w:rPr>
          <w:rFonts w:ascii="Times New Roman" w:hAnsi="Times New Roman" w:cs="Times New Roman"/>
          <w:lang w:val="mk-MK"/>
        </w:rPr>
        <w:t xml:space="preserve">. </w:t>
      </w:r>
    </w:p>
  </w:footnote>
  <w:footnote w:id="306">
    <w:p w14:paraId="4EB7DC19" w14:textId="7C901EDD" w:rsidR="00796816" w:rsidRPr="0068632F" w:rsidRDefault="0079681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i/>
          <w:iCs/>
          <w:lang w:val="bg-BG"/>
        </w:rPr>
        <w:t xml:space="preserve">Freedom of Association </w:t>
      </w:r>
      <w:r w:rsidR="00BE7BB8" w:rsidRPr="0068632F">
        <w:rPr>
          <w:rFonts w:ascii="Times New Roman" w:hAnsi="Times New Roman" w:cs="Times New Roman"/>
          <w:i/>
          <w:iCs/>
          <w:lang w:val="en-US"/>
        </w:rPr>
        <w:t>&amp;</w:t>
      </w:r>
      <w:r w:rsidRPr="0068632F">
        <w:rPr>
          <w:rFonts w:ascii="Times New Roman" w:hAnsi="Times New Roman" w:cs="Times New Roman"/>
          <w:i/>
          <w:iCs/>
          <w:lang w:val="bg-BG"/>
        </w:rPr>
        <w:t xml:space="preserve"> Protection of </w:t>
      </w:r>
      <w:r w:rsidR="00611B13" w:rsidRPr="0068632F">
        <w:rPr>
          <w:rFonts w:ascii="Times New Roman" w:hAnsi="Times New Roman" w:cs="Times New Roman"/>
          <w:i/>
          <w:iCs/>
          <w:lang w:val="en-US"/>
        </w:rPr>
        <w:t xml:space="preserve">the </w:t>
      </w:r>
      <w:r w:rsidRPr="0068632F">
        <w:rPr>
          <w:rFonts w:ascii="Times New Roman" w:hAnsi="Times New Roman" w:cs="Times New Roman"/>
          <w:i/>
          <w:iCs/>
          <w:lang w:val="bg-BG"/>
        </w:rPr>
        <w:t>Right to Organise Convention</w:t>
      </w:r>
      <w:r w:rsidRPr="0068632F">
        <w:rPr>
          <w:rFonts w:ascii="Times New Roman" w:hAnsi="Times New Roman" w:cs="Times New Roman"/>
          <w:lang w:val="bg-BG"/>
        </w:rPr>
        <w:t> (87), July 9, 1948, 68 UNTS. 17.</w:t>
      </w:r>
    </w:p>
  </w:footnote>
  <w:footnote w:id="307">
    <w:p w14:paraId="2E487017" w14:textId="504A6D84" w:rsidR="005F4AD3" w:rsidRPr="0068632F" w:rsidRDefault="005F4AD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OECD (2023), G20/OECD Principles of Corporate Governance 2023, OECD Publishing, Paris</w:t>
      </w:r>
      <w:r w:rsidRPr="0068632F">
        <w:rPr>
          <w:rFonts w:ascii="Times New Roman" w:hAnsi="Times New Roman" w:cs="Times New Roman"/>
          <w:lang w:val="en-US"/>
        </w:rPr>
        <w:t>.</w:t>
      </w:r>
    </w:p>
  </w:footnote>
  <w:footnote w:id="308">
    <w:p w14:paraId="184BD4D9" w14:textId="7CF30DD3" w:rsidR="00926C49" w:rsidRPr="0068632F" w:rsidRDefault="00926C4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United Nations. (2011). Guiding principles on business and human rights. United Nations iLibrary.</w:t>
      </w:r>
    </w:p>
  </w:footnote>
  <w:footnote w:id="309">
    <w:p w14:paraId="32530ED6" w14:textId="7C6E85C4" w:rsidR="0008724E" w:rsidRPr="0068632F" w:rsidRDefault="0008724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International Labour Organization. (1949). Right to organise and collective bargaining convention, 1949 (Convention No. 98).</w:t>
      </w:r>
    </w:p>
  </w:footnote>
  <w:footnote w:id="310">
    <w:p w14:paraId="485EC54A" w14:textId="70B79AF2" w:rsidR="0008724E" w:rsidRPr="0068632F" w:rsidRDefault="0008724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E3C66" w:rsidRPr="0068632F">
        <w:rPr>
          <w:rFonts w:ascii="Times New Roman" w:hAnsi="Times New Roman" w:cs="Times New Roman"/>
        </w:rPr>
        <w:t>European Social Charter Turin, 18.X.1961</w:t>
      </w:r>
      <w:r w:rsidR="005E3C66" w:rsidRPr="0068632F">
        <w:rPr>
          <w:rFonts w:ascii="Times New Roman" w:hAnsi="Times New Roman" w:cs="Times New Roman"/>
          <w:lang w:val="en-US"/>
        </w:rPr>
        <w:t>.</w:t>
      </w:r>
    </w:p>
  </w:footnote>
  <w:footnote w:id="311">
    <w:p w14:paraId="74748914" w14:textId="4C5798B9" w:rsidR="004F3278" w:rsidRPr="0068632F" w:rsidRDefault="004F327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На пример: </w:t>
      </w:r>
      <w:r w:rsidRPr="0068632F">
        <w:rPr>
          <w:rFonts w:ascii="Times New Roman" w:hAnsi="Times New Roman" w:cs="Times New Roman"/>
        </w:rPr>
        <w:t>OECD (2023)</w:t>
      </w:r>
      <w:r w:rsidRPr="0068632F">
        <w:rPr>
          <w:rFonts w:ascii="Times New Roman" w:hAnsi="Times New Roman" w:cs="Times New Roman"/>
          <w:lang w:val="mk-MK"/>
        </w:rPr>
        <w:t>.</w:t>
      </w:r>
    </w:p>
  </w:footnote>
  <w:footnote w:id="312">
    <w:p w14:paraId="052E48BD" w14:textId="37D09A80" w:rsidR="003721C5" w:rsidRPr="0068632F" w:rsidRDefault="003721C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Directive (EU) 2022/2381 of the European Parliament and of the Council of 23 November 2022.</w:t>
      </w:r>
    </w:p>
  </w:footnote>
  <w:footnote w:id="313">
    <w:p w14:paraId="3052B968" w14:textId="2E0F5342" w:rsidR="00C15AE3" w:rsidRPr="0068632F" w:rsidRDefault="00C15AE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Rumelt, R. P. (1995). Inertia and transformation. In Resource-based and evolutionary theories of the firm: Towards a synthesis (pp. 101-132). Boston, MA: Springer US.</w:t>
      </w:r>
    </w:p>
  </w:footnote>
  <w:footnote w:id="314">
    <w:p w14:paraId="133DBDAD" w14:textId="26A0C57E" w:rsidR="003C6106" w:rsidRPr="0068632F" w:rsidRDefault="003C61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07171" w:rsidRPr="0068632F">
        <w:rPr>
          <w:rFonts w:ascii="Times New Roman" w:hAnsi="Times New Roman" w:cs="Times New Roman"/>
          <w:lang w:val="mk-MK"/>
        </w:rPr>
        <w:t xml:space="preserve">Види </w:t>
      </w:r>
      <w:r w:rsidR="00023E4F" w:rsidRPr="0068632F">
        <w:rPr>
          <w:rFonts w:ascii="Times New Roman" w:hAnsi="Times New Roman" w:cs="Times New Roman"/>
          <w:lang w:val="mk-MK"/>
        </w:rPr>
        <w:t xml:space="preserve">ги заклучоците на страниците 20-21. </w:t>
      </w:r>
      <w:hyperlink r:id="rId42" w:history="1">
        <w:r w:rsidR="00023E4F" w:rsidRPr="0068632F">
          <w:rPr>
            <w:rStyle w:val="Hyperlink"/>
            <w:rFonts w:ascii="Times New Roman" w:hAnsi="Times New Roman" w:cs="Times New Roman"/>
            <w:lang w:val="bg-BG"/>
          </w:rPr>
          <w:t>CRPM_EWCNationalReport.pdf</w:t>
        </w:r>
      </w:hyperlink>
      <w:r w:rsidR="00023E4F" w:rsidRPr="0068632F">
        <w:rPr>
          <w:rFonts w:ascii="Times New Roman" w:hAnsi="Times New Roman" w:cs="Times New Roman"/>
          <w:lang w:val="mk-MK"/>
        </w:rPr>
        <w:t xml:space="preserve">. </w:t>
      </w:r>
    </w:p>
  </w:footnote>
  <w:footnote w:id="315">
    <w:p w14:paraId="4AD9551B" w14:textId="269E3366" w:rsidR="00D34914" w:rsidRPr="0068632F" w:rsidRDefault="00D3491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621C" w:rsidRPr="0068632F">
        <w:rPr>
          <w:rFonts w:ascii="Times New Roman" w:hAnsi="Times New Roman" w:cs="Times New Roman"/>
          <w:lang w:val="mk-MK"/>
        </w:rPr>
        <w:t xml:space="preserve">Види повеќе во </w:t>
      </w:r>
      <w:r w:rsidR="00EB621C" w:rsidRPr="0068632F">
        <w:rPr>
          <w:rFonts w:ascii="Times New Roman" w:hAnsi="Times New Roman" w:cs="Times New Roman"/>
        </w:rPr>
        <w:t>Lubetsky, M. H. (2008). Cultural difference and corporate governance. Transnat'l L. &amp; Contemp. Probs., 17, 187.</w:t>
      </w:r>
    </w:p>
  </w:footnote>
  <w:footnote w:id="316">
    <w:p w14:paraId="513E1734" w14:textId="30235A76" w:rsidR="00E63EF9" w:rsidRPr="0068632F" w:rsidRDefault="00E63EF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E5299" w:rsidRPr="0068632F">
        <w:rPr>
          <w:rFonts w:ascii="Times New Roman" w:hAnsi="Times New Roman" w:cs="Times New Roman"/>
          <w:lang w:val="en-US"/>
        </w:rPr>
        <w:t>Gelev, D. (2012).</w:t>
      </w:r>
    </w:p>
  </w:footnote>
  <w:footnote w:id="317">
    <w:p w14:paraId="4A3D1D38" w14:textId="56AFB40F" w:rsidR="00BF04E4" w:rsidRPr="0068632F" w:rsidRDefault="00BF04E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Lubetsky, M. H. (2008).</w:t>
      </w:r>
    </w:p>
  </w:footnote>
  <w:footnote w:id="318">
    <w:p w14:paraId="466AB132" w14:textId="3396F83A" w:rsidR="00C04C6A" w:rsidRPr="0068632F" w:rsidRDefault="00C04C6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Rumelt, R. P. (1995).</w:t>
      </w:r>
    </w:p>
  </w:footnote>
  <w:footnote w:id="319">
    <w:p w14:paraId="488AD27D" w14:textId="53B41CD0" w:rsidR="002B35A7" w:rsidRPr="0068632F" w:rsidRDefault="002B35A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E000E" w:rsidRPr="0068632F">
        <w:rPr>
          <w:rFonts w:ascii="Times New Roman" w:hAnsi="Times New Roman" w:cs="Times New Roman"/>
          <w:lang w:val="mk-MK"/>
        </w:rPr>
        <w:t>Види Challoumis, C. (2022). Structure of the economy. Actual Problems of Economics, 247(1).</w:t>
      </w:r>
    </w:p>
  </w:footnote>
  <w:footnote w:id="320">
    <w:p w14:paraId="70C93D35" w14:textId="22AD889D" w:rsidR="00357072" w:rsidRPr="0068632F" w:rsidRDefault="00357072"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Graeber, D. (2015). The Utopia of Rules: On Technology, Stupidity, and the Secret Joys of Bureaucracy. New York: Melville House Publishing</w:t>
      </w:r>
      <w:r w:rsidR="00286731" w:rsidRPr="0068632F">
        <w:rPr>
          <w:rFonts w:ascii="Times New Roman" w:hAnsi="Times New Roman" w:cs="Times New Roman"/>
          <w:lang w:val="en-US"/>
        </w:rPr>
        <w:t>.</w:t>
      </w:r>
    </w:p>
  </w:footnote>
  <w:footnote w:id="321">
    <w:p w14:paraId="4DE50383" w14:textId="604F9997" w:rsidR="00016D5C" w:rsidRPr="0068632F" w:rsidRDefault="00016D5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Djelic, M. L., &amp; Sahlin-Andersson, K. (Eds.). (2006). Transnational governance: Institutional dynamics of regulation. Cambridge University Press.</w:t>
      </w:r>
    </w:p>
  </w:footnote>
  <w:footnote w:id="322">
    <w:p w14:paraId="654DE94B" w14:textId="45A5EB6B" w:rsidR="000D7CF1" w:rsidRPr="0068632F" w:rsidRDefault="000D7CF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66C7C" w:rsidRPr="0068632F">
        <w:rPr>
          <w:rFonts w:ascii="Times New Roman" w:hAnsi="Times New Roman" w:cs="Times New Roman"/>
        </w:rPr>
        <w:t>Ruggie, J. G. (2013). Business and human rights. DQ, 168.</w:t>
      </w:r>
    </w:p>
  </w:footnote>
  <w:footnote w:id="323">
    <w:p w14:paraId="7615DB15" w14:textId="08710273" w:rsidR="00967248" w:rsidRPr="0068632F" w:rsidRDefault="0096724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Rumelt, R. P. (1995).</w:t>
      </w:r>
    </w:p>
  </w:footnote>
  <w:footnote w:id="324">
    <w:p w14:paraId="0CD31448" w14:textId="1D7FEFAE" w:rsidR="00D11AEB" w:rsidRPr="0068632F" w:rsidRDefault="00D11AE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Gelev, D. (2012).</w:t>
      </w:r>
    </w:p>
  </w:footnote>
  <w:footnote w:id="325">
    <w:p w14:paraId="15069D8D" w14:textId="45B1F783" w:rsidR="003836D7" w:rsidRPr="0068632F" w:rsidRDefault="003836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D2BAC" w:rsidRPr="0068632F">
        <w:rPr>
          <w:rFonts w:ascii="Times New Roman" w:hAnsi="Times New Roman" w:cs="Times New Roman"/>
        </w:rPr>
        <w:t>Grabbe, H. (2001). How does Europeanization affect CEE governance? Conditionality, diffusion and diversity. Journal of European public policy, 8(6), 1013-1031.</w:t>
      </w:r>
    </w:p>
  </w:footnote>
  <w:footnote w:id="326">
    <w:p w14:paraId="15C94C3B" w14:textId="4D6A7D36" w:rsidR="00C865D6" w:rsidRPr="0068632F" w:rsidRDefault="00C865D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Sedelmeier, T. (2011). Tafeln und Verwundbarkeit. In Transformation der Tafeln in Deutschland: Aktuelle Diskussionsbeiträge aus Theorie und Praxis der Tafelbewegung (pp. 67-80). Wiesbaden: VS Verlag für Sozialwissenschaften.</w:t>
      </w:r>
    </w:p>
  </w:footnote>
  <w:footnote w:id="327">
    <w:p w14:paraId="66D7BF7D" w14:textId="42118A20" w:rsidR="00F75570" w:rsidRPr="0068632F" w:rsidRDefault="00F7557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на пример</w:t>
      </w:r>
      <w:r w:rsidR="005A3111" w:rsidRPr="0068632F">
        <w:rPr>
          <w:rFonts w:ascii="Times New Roman" w:hAnsi="Times New Roman" w:cs="Times New Roman"/>
          <w:lang w:val="mk-MK"/>
        </w:rPr>
        <w:t xml:space="preserve"> </w:t>
      </w:r>
      <w:r w:rsidR="005A3111" w:rsidRPr="0068632F">
        <w:rPr>
          <w:rFonts w:ascii="Times New Roman" w:hAnsi="Times New Roman" w:cs="Times New Roman"/>
          <w:lang w:val="en-US"/>
        </w:rPr>
        <w:t>Gelev, D. (2012).</w:t>
      </w:r>
    </w:p>
  </w:footnote>
  <w:footnote w:id="328">
    <w:p w14:paraId="260D70D5" w14:textId="5567EBAD" w:rsidR="00DF5FBB" w:rsidRPr="0068632F" w:rsidRDefault="00DF5FB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Како што видовме погоре, во Македонија досега тоа е направено само во два случаи</w:t>
      </w:r>
      <w:r w:rsidR="00FC495D" w:rsidRPr="0068632F">
        <w:rPr>
          <w:rFonts w:ascii="Times New Roman" w:hAnsi="Times New Roman" w:cs="Times New Roman"/>
          <w:lang w:val="mk-MK"/>
        </w:rPr>
        <w:t xml:space="preserve">. </w:t>
      </w:r>
    </w:p>
  </w:footnote>
  <w:footnote w:id="329">
    <w:p w14:paraId="571F8DE3" w14:textId="0010C3DA" w:rsidR="008373C7" w:rsidRPr="0068632F" w:rsidRDefault="008373C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37197" w:rsidRPr="0068632F">
        <w:rPr>
          <w:rFonts w:ascii="Times New Roman" w:hAnsi="Times New Roman" w:cs="Times New Roman"/>
        </w:rPr>
        <w:t>Gelev, Dimitar. (2015). About Legal Notion of Possession. SSRN Electronic Journal. 10.2139/ssrn.2623793.</w:t>
      </w:r>
    </w:p>
  </w:footnote>
  <w:footnote w:id="330">
    <w:p w14:paraId="27E1D063" w14:textId="5BA42130" w:rsidR="008A0522" w:rsidRPr="0068632F" w:rsidRDefault="008A052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910A7" w:rsidRPr="0068632F">
        <w:rPr>
          <w:rFonts w:ascii="Times New Roman" w:hAnsi="Times New Roman" w:cs="Times New Roman"/>
          <w:lang w:val="mk-MK"/>
        </w:rPr>
        <w:t>На пример, види European Parliament (2025) 2023 Communication on EU Enlargement Policy (COM(2023)0690) accompanied by the Commission staff working document North Macedonia 2023 Report (SWD(2023)0693).</w:t>
      </w:r>
    </w:p>
  </w:footnote>
  <w:footnote w:id="331">
    <w:p w14:paraId="47DD3689" w14:textId="58D52B4E" w:rsidR="00D76A53" w:rsidRPr="0068632F" w:rsidRDefault="00D76A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rPr>
        <w:t>Sedelmeier, T. (2011).</w:t>
      </w:r>
    </w:p>
  </w:footnote>
  <w:footnote w:id="332">
    <w:p w14:paraId="4E93467D" w14:textId="5B852395" w:rsidR="00317F64" w:rsidRPr="0068632F" w:rsidRDefault="00317F6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International Labour Organization (ILO), Constitution of the</w:t>
      </w:r>
      <w:r w:rsidR="0042121E" w:rsidRPr="0068632F">
        <w:rPr>
          <w:rFonts w:ascii="Times New Roman" w:hAnsi="Times New Roman" w:cs="Times New Roman"/>
          <w:lang w:val="en-US"/>
        </w:rPr>
        <w:t xml:space="preserve"> </w:t>
      </w:r>
      <w:r w:rsidRPr="0068632F">
        <w:rPr>
          <w:rFonts w:ascii="Times New Roman" w:hAnsi="Times New Roman" w:cs="Times New Roman"/>
        </w:rPr>
        <w:t>ILO, 1</w:t>
      </w:r>
      <w:r w:rsidR="0042121E" w:rsidRPr="0068632F">
        <w:rPr>
          <w:rFonts w:ascii="Times New Roman" w:hAnsi="Times New Roman" w:cs="Times New Roman"/>
          <w:lang w:val="en-US"/>
        </w:rPr>
        <w:t xml:space="preserve"> April </w:t>
      </w:r>
      <w:r w:rsidRPr="0068632F">
        <w:rPr>
          <w:rFonts w:ascii="Times New Roman" w:hAnsi="Times New Roman" w:cs="Times New Roman"/>
        </w:rPr>
        <w:t>1919</w:t>
      </w:r>
      <w:r w:rsidR="0042121E" w:rsidRPr="0068632F">
        <w:rPr>
          <w:rFonts w:ascii="Times New Roman" w:hAnsi="Times New Roman" w:cs="Times New Roman"/>
          <w:lang w:val="en-US"/>
        </w:rPr>
        <w:t>.</w:t>
      </w:r>
    </w:p>
  </w:footnote>
  <w:footnote w:id="333">
    <w:p w14:paraId="20DA227F" w14:textId="45E8EC5A" w:rsidR="00FD6097" w:rsidRPr="0068632F" w:rsidRDefault="00FD609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w:t>
      </w:r>
      <w:r w:rsidRPr="0068632F">
        <w:rPr>
          <w:rFonts w:ascii="Times New Roman" w:hAnsi="Times New Roman" w:cs="Times New Roman"/>
        </w:rPr>
        <w:t>ористејќи конвенции и препораки</w:t>
      </w:r>
      <w:r w:rsidRPr="0068632F">
        <w:rPr>
          <w:rFonts w:ascii="Times New Roman" w:hAnsi="Times New Roman" w:cs="Times New Roman"/>
          <w:lang w:val="mk-MK"/>
        </w:rPr>
        <w:t>.</w:t>
      </w:r>
    </w:p>
  </w:footnote>
  <w:footnote w:id="334">
    <w:p w14:paraId="65AD4644" w14:textId="24B638E8" w:rsidR="00A716DA" w:rsidRPr="0068632F" w:rsidRDefault="00A716D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International Labour Office. 2010. ILO Declaration on Fundamental Principles and Rights at Work and Its Follow-Up. 2nd ed. Geneva</w:t>
      </w:r>
      <w:r w:rsidRPr="0068632F">
        <w:rPr>
          <w:rFonts w:ascii="Times New Roman" w:hAnsi="Times New Roman" w:cs="Times New Roman"/>
          <w:lang w:val="mk-MK"/>
        </w:rPr>
        <w:t>.</w:t>
      </w:r>
    </w:p>
  </w:footnote>
  <w:footnote w:id="335">
    <w:p w14:paraId="58444328" w14:textId="0E2747FB" w:rsidR="00323490" w:rsidRPr="0068632F" w:rsidRDefault="0032349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8600F" w:rsidRPr="0068632F">
        <w:rPr>
          <w:rFonts w:ascii="Times New Roman" w:hAnsi="Times New Roman" w:cs="Times New Roman"/>
        </w:rPr>
        <w:t>Rantanen J, Muchiri F, Lehtinen S. Decent Work, ILO's Response to the Globalization of Working Life: Basic Concepts and Global Implementation with Special Reference to Occupational Health. Int J Environ Res Public Health. 2020 May 12;17(10):3351. doi: 10.3390/ijerph17103351. PMID: 32408597; PMCID: PMC7277660.</w:t>
      </w:r>
      <w:r w:rsidR="00C8600F" w:rsidRPr="0068632F">
        <w:rPr>
          <w:rFonts w:ascii="Times New Roman" w:hAnsi="Times New Roman" w:cs="Times New Roman"/>
          <w:lang w:val="en-US"/>
        </w:rPr>
        <w:t xml:space="preserve"> </w:t>
      </w:r>
    </w:p>
  </w:footnote>
  <w:footnote w:id="336">
    <w:p w14:paraId="7B8BCC80" w14:textId="2E647FC6" w:rsidR="00415846" w:rsidRPr="0068632F" w:rsidRDefault="0041584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F221C" w:rsidRPr="0068632F">
        <w:rPr>
          <w:rFonts w:ascii="Times New Roman" w:hAnsi="Times New Roman" w:cs="Times New Roman"/>
        </w:rPr>
        <w:t>Graeber, D. (2012). Debt: The first 5,000 years. Melville House.</w:t>
      </w:r>
    </w:p>
  </w:footnote>
  <w:footnote w:id="337">
    <w:p w14:paraId="4942144E" w14:textId="43D481DD" w:rsidR="001C2771" w:rsidRPr="0068632F" w:rsidRDefault="001C277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F6CB3" w:rsidRPr="0068632F">
        <w:rPr>
          <w:rFonts w:ascii="Times New Roman" w:hAnsi="Times New Roman" w:cs="Times New Roman"/>
        </w:rPr>
        <w:t>Graeber, D. (201</w:t>
      </w:r>
      <w:r w:rsidR="00AF6CB3" w:rsidRPr="0068632F">
        <w:rPr>
          <w:rFonts w:ascii="Times New Roman" w:hAnsi="Times New Roman" w:cs="Times New Roman"/>
          <w:lang w:val="mk-MK"/>
        </w:rPr>
        <w:t>5</w:t>
      </w:r>
      <w:r w:rsidR="00AF6CB3" w:rsidRPr="0068632F">
        <w:rPr>
          <w:rFonts w:ascii="Times New Roman" w:hAnsi="Times New Roman" w:cs="Times New Roman"/>
        </w:rPr>
        <w:t>).</w:t>
      </w:r>
    </w:p>
  </w:footnote>
  <w:footnote w:id="338">
    <w:p w14:paraId="10DDAC8A" w14:textId="7FE0B1B6" w:rsidR="002F1166" w:rsidRPr="0068632F" w:rsidRDefault="002F116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A4197" w:rsidRPr="0068632F">
        <w:rPr>
          <w:rFonts w:ascii="Times New Roman" w:hAnsi="Times New Roman" w:cs="Times New Roman"/>
          <w:lang w:val="mk-MK"/>
        </w:rPr>
        <w:t>На пример, види Standing, G. (2008). The ILO: An agency for globalization?. Development and change, 39(3), 355-384.</w:t>
      </w:r>
    </w:p>
  </w:footnote>
  <w:footnote w:id="339">
    <w:p w14:paraId="69CD5FD6" w14:textId="2F7998C3" w:rsidR="00F24F6B" w:rsidRPr="0068632F" w:rsidRDefault="00F24F6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C0F6A" w:rsidRPr="0068632F">
        <w:rPr>
          <w:rFonts w:ascii="Times New Roman" w:hAnsi="Times New Roman" w:cs="Times New Roman"/>
        </w:rPr>
        <w:t>ILO C87, 1948</w:t>
      </w:r>
      <w:r w:rsidR="005C0F6A" w:rsidRPr="0068632F">
        <w:rPr>
          <w:rFonts w:ascii="Times New Roman" w:hAnsi="Times New Roman" w:cs="Times New Roman"/>
          <w:lang w:val="mk-MK"/>
        </w:rPr>
        <w:t>.</w:t>
      </w:r>
    </w:p>
  </w:footnote>
  <w:footnote w:id="340">
    <w:p w14:paraId="03F959DA" w14:textId="2B172025" w:rsidR="00A01FF7" w:rsidRPr="0068632F" w:rsidRDefault="00A01FF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ILO C98, 1949.</w:t>
      </w:r>
    </w:p>
  </w:footnote>
  <w:footnote w:id="341">
    <w:p w14:paraId="620B481C" w14:textId="67B7C972" w:rsidR="008C21C7" w:rsidRPr="0068632F" w:rsidRDefault="008C21C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7070E" w:rsidRPr="0068632F">
        <w:rPr>
          <w:rFonts w:ascii="Times New Roman" w:hAnsi="Times New Roman" w:cs="Times New Roman"/>
        </w:rPr>
        <w:t>ILO C135, 1971</w:t>
      </w:r>
      <w:r w:rsidR="00A7070E" w:rsidRPr="0068632F">
        <w:rPr>
          <w:rFonts w:ascii="Times New Roman" w:hAnsi="Times New Roman" w:cs="Times New Roman"/>
          <w:lang w:val="mk-MK"/>
        </w:rPr>
        <w:t>.</w:t>
      </w:r>
    </w:p>
  </w:footnote>
  <w:footnote w:id="342">
    <w:p w14:paraId="2DC1AA0E" w14:textId="7C07FD09" w:rsidR="00B461FD" w:rsidRPr="0068632F" w:rsidRDefault="00B461F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ILO C154; R163</w:t>
      </w:r>
      <w:r w:rsidRPr="0068632F">
        <w:rPr>
          <w:rFonts w:ascii="Times New Roman" w:hAnsi="Times New Roman" w:cs="Times New Roman"/>
          <w:lang w:val="mk-MK"/>
        </w:rPr>
        <w:t>.</w:t>
      </w:r>
    </w:p>
  </w:footnote>
  <w:footnote w:id="343">
    <w:p w14:paraId="7BA96F11" w14:textId="375C6A9B" w:rsidR="0097436E" w:rsidRPr="0068632F" w:rsidRDefault="0097436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5FAB" w:rsidRPr="0068632F">
        <w:rPr>
          <w:rFonts w:ascii="Times New Roman" w:hAnsi="Times New Roman" w:cs="Times New Roman"/>
        </w:rPr>
        <w:t>ILO R94</w:t>
      </w:r>
      <w:r w:rsidR="00EB5FAB" w:rsidRPr="0068632F">
        <w:rPr>
          <w:rFonts w:ascii="Times New Roman" w:hAnsi="Times New Roman" w:cs="Times New Roman"/>
          <w:lang w:val="mk-MK"/>
        </w:rPr>
        <w:t>.</w:t>
      </w:r>
    </w:p>
  </w:footnote>
  <w:footnote w:id="344">
    <w:p w14:paraId="36D87D6E" w14:textId="5560681A" w:rsidR="00E05219" w:rsidRPr="0068632F" w:rsidRDefault="00E0521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Sedelmeier, T. (2011).</w:t>
      </w:r>
    </w:p>
  </w:footnote>
  <w:footnote w:id="345">
    <w:p w14:paraId="05593A19" w14:textId="0D56B482" w:rsidR="00CF0C21" w:rsidRPr="0068632F" w:rsidRDefault="00CF0C2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24B35" w:rsidRPr="0068632F">
        <w:rPr>
          <w:rFonts w:ascii="Times New Roman" w:hAnsi="Times New Roman" w:cs="Times New Roman"/>
          <w:lang w:val="mk-MK"/>
        </w:rPr>
        <w:t xml:space="preserve">Провери на: </w:t>
      </w:r>
      <w:hyperlink r:id="rId43" w:history="1">
        <w:r w:rsidR="00724B35" w:rsidRPr="0068632F">
          <w:rPr>
            <w:rStyle w:val="Hyperlink"/>
            <w:rFonts w:ascii="Times New Roman" w:hAnsi="Times New Roman" w:cs="Times New Roman"/>
            <w:lang w:val="bg-BG"/>
          </w:rPr>
          <w:t>Ratifications of ILO conventions: Ratifications for North Macedonia</w:t>
        </w:r>
      </w:hyperlink>
      <w:r w:rsidR="00724B35" w:rsidRPr="0068632F">
        <w:rPr>
          <w:rFonts w:ascii="Times New Roman" w:hAnsi="Times New Roman" w:cs="Times New Roman"/>
          <w:lang w:val="mk-MK"/>
        </w:rPr>
        <w:t xml:space="preserve">. </w:t>
      </w:r>
    </w:p>
  </w:footnote>
  <w:footnote w:id="346">
    <w:p w14:paraId="162D94BA" w14:textId="42219E65" w:rsidR="006C5667" w:rsidRPr="0068632F" w:rsidRDefault="006C566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46FCC" w:rsidRPr="0068632F">
        <w:rPr>
          <w:rFonts w:ascii="Times New Roman" w:hAnsi="Times New Roman" w:cs="Times New Roman"/>
        </w:rPr>
        <w:t>Committee of Experts on the Application of Conventions and Recommendations (CEACR). 2013. General Survey. ILO</w:t>
      </w:r>
      <w:r w:rsidR="00F34B36" w:rsidRPr="0068632F">
        <w:rPr>
          <w:rFonts w:ascii="Times New Roman" w:hAnsi="Times New Roman" w:cs="Times New Roman"/>
          <w:lang w:val="mk-MK"/>
        </w:rPr>
        <w:t>.</w:t>
      </w:r>
    </w:p>
  </w:footnote>
  <w:footnote w:id="347">
    <w:p w14:paraId="10A1AA82" w14:textId="69D5E9D2" w:rsidR="005F26E4" w:rsidRPr="0068632F" w:rsidRDefault="005F26E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Committee of Experts on the Application of Conventions and Recommendations</w:t>
      </w:r>
      <w:r w:rsidRPr="0068632F">
        <w:rPr>
          <w:rFonts w:ascii="Times New Roman" w:hAnsi="Times New Roman" w:cs="Times New Roman"/>
          <w:lang w:val="en-US"/>
        </w:rPr>
        <w:t xml:space="preserve">, ILO. </w:t>
      </w:r>
    </w:p>
  </w:footnote>
  <w:footnote w:id="348">
    <w:p w14:paraId="5DCEC98E" w14:textId="5F6ED1F8" w:rsidR="007C2DC0" w:rsidRPr="0068632F" w:rsidRDefault="007C2DC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Sedelmeier, T. (2011).</w:t>
      </w:r>
    </w:p>
  </w:footnote>
  <w:footnote w:id="349">
    <w:p w14:paraId="7AC8EE90" w14:textId="68473FC8" w:rsidR="008934B4" w:rsidRPr="0068632F" w:rsidRDefault="008934B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65BEF" w:rsidRPr="0068632F">
        <w:rPr>
          <w:rFonts w:ascii="Times New Roman" w:hAnsi="Times New Roman" w:cs="Times New Roman"/>
        </w:rPr>
        <w:t>Fabbrini, F. (2014). Fundamental rights in Europe. Oxford University Press (UK).</w:t>
      </w:r>
    </w:p>
  </w:footnote>
  <w:footnote w:id="350">
    <w:p w14:paraId="1E7EA728" w14:textId="60372115" w:rsidR="00D66937" w:rsidRPr="0068632F" w:rsidRDefault="00D6693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24266" w:rsidRPr="0068632F">
        <w:rPr>
          <w:rFonts w:ascii="Times New Roman" w:hAnsi="Times New Roman" w:cs="Times New Roman"/>
        </w:rPr>
        <w:t>ILO C87, 1948</w:t>
      </w:r>
      <w:r w:rsidR="00F24266" w:rsidRPr="0068632F">
        <w:rPr>
          <w:rFonts w:ascii="Times New Roman" w:hAnsi="Times New Roman" w:cs="Times New Roman"/>
          <w:lang w:val="mk-MK"/>
        </w:rPr>
        <w:t>.</w:t>
      </w:r>
    </w:p>
  </w:footnote>
  <w:footnote w:id="351">
    <w:p w14:paraId="62218930" w14:textId="516F91EC" w:rsidR="00A33F64" w:rsidRPr="0068632F" w:rsidRDefault="00A33F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„П</w:t>
      </w:r>
      <w:r w:rsidRPr="0068632F">
        <w:rPr>
          <w:rFonts w:ascii="Times New Roman" w:hAnsi="Times New Roman" w:cs="Times New Roman"/>
        </w:rPr>
        <w:t>раво да не ме спречуваат</w:t>
      </w:r>
      <w:r w:rsidRPr="0068632F">
        <w:rPr>
          <w:rFonts w:ascii="Times New Roman" w:hAnsi="Times New Roman" w:cs="Times New Roman"/>
          <w:lang w:val="mk-MK"/>
        </w:rPr>
        <w:t>“.</w:t>
      </w:r>
    </w:p>
  </w:footnote>
  <w:footnote w:id="352">
    <w:p w14:paraId="03B0D06D" w14:textId="7B52697C" w:rsidR="00F256D3" w:rsidRPr="0068632F" w:rsidRDefault="00F256D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w:t>
      </w:r>
      <w:r w:rsidRPr="0068632F">
        <w:rPr>
          <w:rFonts w:ascii="Times New Roman" w:hAnsi="Times New Roman" w:cs="Times New Roman"/>
        </w:rPr>
        <w:t xml:space="preserve">оешто државата го има </w:t>
      </w:r>
      <w:r w:rsidRPr="0068632F">
        <w:rPr>
          <w:rFonts w:ascii="Times New Roman" w:hAnsi="Times New Roman" w:cs="Times New Roman"/>
          <w:lang w:val="mk-MK"/>
        </w:rPr>
        <w:t>направено.</w:t>
      </w:r>
    </w:p>
  </w:footnote>
  <w:footnote w:id="353">
    <w:p w14:paraId="21184914" w14:textId="17959017" w:rsidR="00F32993" w:rsidRPr="0068632F" w:rsidRDefault="00F3299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Fabbrini, F. (2014).</w:t>
      </w:r>
    </w:p>
  </w:footnote>
  <w:footnote w:id="354">
    <w:p w14:paraId="19BB41E9" w14:textId="42727CBC" w:rsidR="00532532" w:rsidRPr="0068632F" w:rsidRDefault="0053253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1 од ILO C98, 1949.</w:t>
      </w:r>
    </w:p>
  </w:footnote>
  <w:footnote w:id="355">
    <w:p w14:paraId="68DDB8F4" w14:textId="0FEEF7EA" w:rsidR="005F2E36" w:rsidRPr="0068632F" w:rsidRDefault="005F2E3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2 став 2 од ILO C98, 1949.</w:t>
      </w:r>
    </w:p>
  </w:footnote>
  <w:footnote w:id="356">
    <w:p w14:paraId="215C9CE0" w14:textId="2B977184" w:rsidR="008C568D" w:rsidRPr="0068632F" w:rsidRDefault="008C568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Алудирајќи тука на Советот на Европа, Европската социјална повелба и </w:t>
      </w:r>
      <w:r w:rsidRPr="0068632F">
        <w:rPr>
          <w:rFonts w:ascii="Times New Roman" w:hAnsi="Times New Roman" w:cs="Times New Roman"/>
          <w:i/>
          <w:iCs/>
          <w:lang w:val="mk-MK"/>
        </w:rPr>
        <w:t>acquis communautaire</w:t>
      </w:r>
      <w:r w:rsidRPr="0068632F">
        <w:rPr>
          <w:rFonts w:ascii="Times New Roman" w:hAnsi="Times New Roman" w:cs="Times New Roman"/>
          <w:lang w:val="mk-MK"/>
        </w:rPr>
        <w:t xml:space="preserve"> на ЕУ.</w:t>
      </w:r>
    </w:p>
  </w:footnote>
  <w:footnote w:id="357">
    <w:p w14:paraId="3856B8A6" w14:textId="04616548" w:rsidR="00C24733" w:rsidRPr="0068632F" w:rsidRDefault="00C2473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61201" w:rsidRPr="0068632F">
        <w:rPr>
          <w:rFonts w:ascii="Times New Roman" w:hAnsi="Times New Roman" w:cs="Times New Roman"/>
          <w:lang w:val="mk-MK"/>
        </w:rPr>
        <w:t xml:space="preserve">Види го целиот текст на: </w:t>
      </w:r>
      <w:hyperlink r:id="rId44" w:history="1">
        <w:r w:rsidR="00C61201" w:rsidRPr="0068632F">
          <w:rPr>
            <w:rStyle w:val="Hyperlink"/>
            <w:rFonts w:ascii="Times New Roman" w:hAnsi="Times New Roman" w:cs="Times New Roman"/>
            <w:lang w:val="bg-BG"/>
          </w:rPr>
          <w:t>Convention C135 - Workers' Representatives Convention, 1971 (No. 135)</w:t>
        </w:r>
      </w:hyperlink>
      <w:r w:rsidR="00C61201" w:rsidRPr="0068632F">
        <w:rPr>
          <w:rFonts w:ascii="Times New Roman" w:hAnsi="Times New Roman" w:cs="Times New Roman"/>
          <w:lang w:val="en-US"/>
        </w:rPr>
        <w:t xml:space="preserve">. </w:t>
      </w:r>
    </w:p>
  </w:footnote>
  <w:footnote w:id="358">
    <w:p w14:paraId="19D7533F" w14:textId="03711834" w:rsidR="00B06346" w:rsidRPr="0068632F" w:rsidRDefault="00B0634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E5C40" w:rsidRPr="0068632F">
        <w:rPr>
          <w:rFonts w:ascii="Times New Roman" w:hAnsi="Times New Roman" w:cs="Times New Roman"/>
        </w:rPr>
        <w:t>Sedelmeier, T. (2011).</w:t>
      </w:r>
    </w:p>
  </w:footnote>
  <w:footnote w:id="359">
    <w:p w14:paraId="7768152C" w14:textId="028930E0" w:rsidR="00BC68AC" w:rsidRPr="0068632F" w:rsidRDefault="00BC68A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Fabbrini, F. (2014).</w:t>
      </w:r>
    </w:p>
  </w:footnote>
  <w:footnote w:id="360">
    <w:p w14:paraId="2F5D8CA4" w14:textId="43EA32E3" w:rsidR="00B06346" w:rsidRPr="0068632F" w:rsidRDefault="00B0634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Gelev, D. (2012).</w:t>
      </w:r>
    </w:p>
  </w:footnote>
  <w:footnote w:id="361">
    <w:p w14:paraId="363DA744" w14:textId="6F896DDA" w:rsidR="00C06CAD" w:rsidRPr="0068632F" w:rsidRDefault="00C06CA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Djelic, M. L., &amp; Sahlin-Andersson, K. (Eds.). (2006).</w:t>
      </w:r>
    </w:p>
  </w:footnote>
  <w:footnote w:id="362">
    <w:p w14:paraId="60315CF3" w14:textId="14202059" w:rsidR="003D5200" w:rsidRPr="0068632F" w:rsidRDefault="003D520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Подолу во поглавјето се прават и директни линкови помеѓу различните меѓународни стандарди. </w:t>
      </w:r>
    </w:p>
  </w:footnote>
  <w:footnote w:id="363">
    <w:p w14:paraId="0F9193F0" w14:textId="6B7EA118" w:rsidR="00830F8E" w:rsidRPr="0068632F" w:rsidRDefault="00830F8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Како на пример во </w:t>
      </w:r>
      <w:r w:rsidRPr="0068632F">
        <w:rPr>
          <w:rFonts w:ascii="Times New Roman" w:hAnsi="Times New Roman" w:cs="Times New Roman"/>
          <w:i/>
          <w:iCs/>
          <w:lang w:val="mk-MK"/>
        </w:rPr>
        <w:t>Demir and Baykara</w:t>
      </w:r>
      <w:r w:rsidRPr="0068632F">
        <w:rPr>
          <w:rFonts w:ascii="Times New Roman" w:hAnsi="Times New Roman" w:cs="Times New Roman"/>
          <w:lang w:val="mk-MK"/>
        </w:rPr>
        <w:t>.</w:t>
      </w:r>
    </w:p>
  </w:footnote>
  <w:footnote w:id="364">
    <w:p w14:paraId="32998CD1" w14:textId="429871B8" w:rsidR="00EE77CC" w:rsidRPr="0068632F" w:rsidRDefault="00EE77C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45" w:history="1">
        <w:r w:rsidRPr="0068632F">
          <w:rPr>
            <w:rStyle w:val="Hyperlink"/>
            <w:rFonts w:ascii="Times New Roman" w:hAnsi="Times New Roman" w:cs="Times New Roman"/>
            <w:lang w:val="bg-BG"/>
          </w:rPr>
          <w:t>Convention C135 - Workers' Representatives Convention, 1971 (No. 135)</w:t>
        </w:r>
      </w:hyperlink>
      <w:r w:rsidRPr="0068632F">
        <w:rPr>
          <w:rFonts w:ascii="Times New Roman" w:hAnsi="Times New Roman" w:cs="Times New Roman"/>
          <w:lang w:val="en-US"/>
        </w:rPr>
        <w:t>.</w:t>
      </w:r>
    </w:p>
  </w:footnote>
  <w:footnote w:id="365">
    <w:p w14:paraId="5EAFA7F2" w14:textId="454FC09F" w:rsidR="002B382B" w:rsidRPr="0068632F" w:rsidRDefault="002B382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62910" w:rsidRPr="0068632F">
        <w:rPr>
          <w:rFonts w:ascii="Times New Roman" w:hAnsi="Times New Roman" w:cs="Times New Roman"/>
          <w:lang w:val="mk-MK"/>
        </w:rPr>
        <w:t xml:space="preserve">Целиот текст е достапен на македонски на: </w:t>
      </w:r>
      <w:hyperlink r:id="rId46" w:history="1">
        <w:r w:rsidR="00F62910" w:rsidRPr="0068632F">
          <w:rPr>
            <w:rStyle w:val="Hyperlink"/>
            <w:rFonts w:ascii="Times New Roman" w:hAnsi="Times New Roman" w:cs="Times New Roman"/>
            <w:lang w:val="bg-BG"/>
          </w:rPr>
          <w:t>konvencija_br._154_za_kolektivno_dogovaranje.pdf</w:t>
        </w:r>
      </w:hyperlink>
      <w:r w:rsidR="00F62910" w:rsidRPr="0068632F">
        <w:rPr>
          <w:rFonts w:ascii="Times New Roman" w:hAnsi="Times New Roman" w:cs="Times New Roman"/>
          <w:lang w:val="mk-MK"/>
        </w:rPr>
        <w:t xml:space="preserve">. </w:t>
      </w:r>
    </w:p>
  </w:footnote>
  <w:footnote w:id="366">
    <w:p w14:paraId="42253A2C" w14:textId="34ABC951" w:rsidR="000935D3" w:rsidRPr="0068632F" w:rsidRDefault="000935D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Член 5 од </w:t>
      </w:r>
      <w:r w:rsidR="00A95D95" w:rsidRPr="0068632F">
        <w:rPr>
          <w:rFonts w:ascii="Times New Roman" w:hAnsi="Times New Roman" w:cs="Times New Roman"/>
          <w:lang w:val="mk-MK"/>
        </w:rPr>
        <w:t>Конвенцијата број 154 на МОТ од 1981 година.</w:t>
      </w:r>
    </w:p>
  </w:footnote>
  <w:footnote w:id="367">
    <w:p w14:paraId="05DD8BEC" w14:textId="57AFDD4A" w:rsidR="00074E4E" w:rsidRPr="0068632F" w:rsidRDefault="00074E4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Како што можат да се сублимираат дел од авторите на темата. </w:t>
      </w:r>
    </w:p>
  </w:footnote>
  <w:footnote w:id="368">
    <w:p w14:paraId="45B4EFDB" w14:textId="1F28B3DB" w:rsidR="00F1673C" w:rsidRPr="0068632F" w:rsidRDefault="00F1673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D283C" w:rsidRPr="0068632F">
        <w:rPr>
          <w:rFonts w:ascii="Times New Roman" w:hAnsi="Times New Roman" w:cs="Times New Roman"/>
          <w:lang w:val="mk-MK"/>
        </w:rPr>
        <w:t>Види го ц</w:t>
      </w:r>
      <w:r w:rsidRPr="0068632F">
        <w:rPr>
          <w:rFonts w:ascii="Times New Roman" w:hAnsi="Times New Roman" w:cs="Times New Roman"/>
          <w:lang w:val="mk-MK"/>
        </w:rPr>
        <w:t xml:space="preserve">елиот текст на: </w:t>
      </w:r>
      <w:hyperlink r:id="rId47" w:history="1">
        <w:r w:rsidRPr="0068632F">
          <w:rPr>
            <w:rStyle w:val="Hyperlink"/>
            <w:rFonts w:ascii="Times New Roman" w:hAnsi="Times New Roman" w:cs="Times New Roman"/>
            <w:lang w:val="bg-BG"/>
          </w:rPr>
          <w:t>Recommendation R163 - Collective Bargaining Recommendation, 1981 (No. 163)</w:t>
        </w:r>
      </w:hyperlink>
      <w:r w:rsidR="00CD283C" w:rsidRPr="0068632F">
        <w:rPr>
          <w:rFonts w:ascii="Times New Roman" w:hAnsi="Times New Roman" w:cs="Times New Roman"/>
          <w:lang w:val="mk-MK"/>
        </w:rPr>
        <w:t>.</w:t>
      </w:r>
    </w:p>
  </w:footnote>
  <w:footnote w:id="369">
    <w:p w14:paraId="492759E6" w14:textId="2F20DC37" w:rsidR="0088687E" w:rsidRPr="0068632F" w:rsidRDefault="0088687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E254E" w:rsidRPr="0068632F">
        <w:rPr>
          <w:rFonts w:ascii="Times New Roman" w:hAnsi="Times New Roman" w:cs="Times New Roman"/>
        </w:rPr>
        <w:t>ILO R</w:t>
      </w:r>
      <w:r w:rsidR="00D1133A" w:rsidRPr="0068632F">
        <w:rPr>
          <w:rFonts w:ascii="Times New Roman" w:hAnsi="Times New Roman" w:cs="Times New Roman"/>
          <w:lang w:val="en-US"/>
        </w:rPr>
        <w:t>163</w:t>
      </w:r>
      <w:r w:rsidR="00EE254E" w:rsidRPr="0068632F">
        <w:rPr>
          <w:rFonts w:ascii="Times New Roman" w:hAnsi="Times New Roman" w:cs="Times New Roman"/>
          <w:lang w:val="mk-MK"/>
        </w:rPr>
        <w:t>.</w:t>
      </w:r>
    </w:p>
  </w:footnote>
  <w:footnote w:id="370">
    <w:p w14:paraId="643CA958" w14:textId="4099BC36" w:rsidR="00D1133A" w:rsidRPr="0068632F" w:rsidRDefault="00D1133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С</w:t>
      </w:r>
      <w:r w:rsidRPr="0068632F">
        <w:rPr>
          <w:rFonts w:ascii="Times New Roman" w:hAnsi="Times New Roman" w:cs="Times New Roman"/>
        </w:rPr>
        <w:t>пецијализирани телa за медијација, помирување, арбитража</w:t>
      </w:r>
    </w:p>
  </w:footnote>
  <w:footnote w:id="371">
    <w:p w14:paraId="6304DDF9" w14:textId="31029A12" w:rsidR="000F2733" w:rsidRPr="0068632F" w:rsidRDefault="000F273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П</w:t>
      </w:r>
      <w:r w:rsidRPr="0068632F">
        <w:rPr>
          <w:rFonts w:ascii="Times New Roman" w:hAnsi="Times New Roman" w:cs="Times New Roman"/>
        </w:rPr>
        <w:t>реку техничка, организациска и образовна поддршка</w:t>
      </w:r>
      <w:r w:rsidRPr="0068632F">
        <w:rPr>
          <w:rFonts w:ascii="Times New Roman" w:hAnsi="Times New Roman" w:cs="Times New Roman"/>
          <w:lang w:val="mk-MK"/>
        </w:rPr>
        <w:t>.</w:t>
      </w:r>
    </w:p>
  </w:footnote>
  <w:footnote w:id="372">
    <w:p w14:paraId="378D711A" w14:textId="4FDD71AE" w:rsidR="000C2011" w:rsidRPr="0068632F" w:rsidRDefault="000C201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Спротивно на ад-хок договори и привремени решенија.</w:t>
      </w:r>
    </w:p>
  </w:footnote>
  <w:footnote w:id="373">
    <w:p w14:paraId="72461956" w14:textId="7D374722" w:rsidR="000C2011" w:rsidRPr="0068632F" w:rsidRDefault="000C201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F6C91" w:rsidRPr="0068632F">
        <w:rPr>
          <w:rFonts w:ascii="Times New Roman" w:hAnsi="Times New Roman" w:cs="Times New Roman"/>
          <w:lang w:val="mk-MK"/>
        </w:rPr>
        <w:t xml:space="preserve">На пример, ниво на работодавач, гранка, струка и оддел. </w:t>
      </w:r>
    </w:p>
  </w:footnote>
  <w:footnote w:id="374">
    <w:p w14:paraId="468A9483" w14:textId="27E33CB5" w:rsidR="00EC0C36" w:rsidRPr="0068632F" w:rsidRDefault="00EC0C3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Целиот текст е достапен на: </w:t>
      </w:r>
      <w:hyperlink r:id="rId48" w:history="1">
        <w:r w:rsidRPr="0068632F">
          <w:rPr>
            <w:rStyle w:val="Hyperlink"/>
            <w:rFonts w:ascii="Times New Roman" w:hAnsi="Times New Roman" w:cs="Times New Roman"/>
            <w:lang w:val="bg-BG"/>
          </w:rPr>
          <w:t>Recommendation R094 - Co-operation at the Level of the Undertaking Recommendation, 1952 (No. 94)</w:t>
        </w:r>
      </w:hyperlink>
      <w:r w:rsidRPr="0068632F">
        <w:rPr>
          <w:rFonts w:ascii="Times New Roman" w:hAnsi="Times New Roman" w:cs="Times New Roman"/>
          <w:lang w:val="mk-MK"/>
        </w:rPr>
        <w:t xml:space="preserve">. </w:t>
      </w:r>
    </w:p>
  </w:footnote>
  <w:footnote w:id="375">
    <w:p w14:paraId="22B23BED" w14:textId="1BA5C772" w:rsidR="00894EB3" w:rsidRPr="0068632F" w:rsidRDefault="00894EB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11B33" w:rsidRPr="0068632F">
        <w:rPr>
          <w:rFonts w:ascii="Times New Roman" w:hAnsi="Times New Roman" w:cs="Times New Roman"/>
          <w:lang w:val="mk-MK"/>
        </w:rPr>
        <w:t xml:space="preserve">Види на пример член 2 став 2 од Препораката број 94 на МОТ. </w:t>
      </w:r>
    </w:p>
  </w:footnote>
  <w:footnote w:id="376">
    <w:p w14:paraId="7DE45967" w14:textId="49540422" w:rsidR="00C45B7E" w:rsidRPr="0068632F" w:rsidRDefault="00C45B7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67993" w:rsidRPr="0068632F">
        <w:rPr>
          <w:rFonts w:ascii="Times New Roman" w:hAnsi="Times New Roman" w:cs="Times New Roman"/>
          <w:lang w:val="mk-MK"/>
        </w:rPr>
        <w:t xml:space="preserve">Види </w:t>
      </w:r>
      <w:hyperlink r:id="rId49" w:history="1">
        <w:r w:rsidR="00367993" w:rsidRPr="0068632F">
          <w:rPr>
            <w:rStyle w:val="Hyperlink"/>
            <w:rFonts w:ascii="Times New Roman" w:hAnsi="Times New Roman" w:cs="Times New Roman"/>
            <w:lang w:val="bg-BG"/>
          </w:rPr>
          <w:t>International Labour Standards | International Labour Organization</w:t>
        </w:r>
      </w:hyperlink>
      <w:r w:rsidR="00367993" w:rsidRPr="0068632F">
        <w:rPr>
          <w:rFonts w:ascii="Times New Roman" w:hAnsi="Times New Roman" w:cs="Times New Roman"/>
          <w:lang w:val="mk-MK"/>
        </w:rPr>
        <w:t xml:space="preserve">. </w:t>
      </w:r>
    </w:p>
  </w:footnote>
  <w:footnote w:id="377">
    <w:p w14:paraId="0583076F" w14:textId="768F0C81" w:rsidR="001B3F41" w:rsidRPr="0068632F" w:rsidRDefault="001B3F4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Van Daele, J. (2008). The International Labour Organization (ILO) in past and present research. International Review of Social History, 53(3), 485-511.</w:t>
      </w:r>
    </w:p>
  </w:footnote>
  <w:footnote w:id="378">
    <w:p w14:paraId="1F7D205B" w14:textId="3FFCCB8E" w:rsidR="001B3F41" w:rsidRPr="0068632F" w:rsidRDefault="001B3F4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Van Daele, J. (2008).</w:t>
      </w:r>
    </w:p>
  </w:footnote>
  <w:footnote w:id="379">
    <w:p w14:paraId="5FA9B9D0" w14:textId="5E8E174C" w:rsidR="00593A39" w:rsidRPr="0068632F" w:rsidRDefault="00593A3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F4319" w:rsidRPr="0068632F">
        <w:rPr>
          <w:rFonts w:ascii="Times New Roman" w:hAnsi="Times New Roman" w:cs="Times New Roman"/>
        </w:rPr>
        <w:t>Piper, N. (2023). The global governance of labour mobility: the role of the International Labour Organization. In Research handbook on the institutions of global migration governance (pp. 63-75). Edward Elgar Publishing.</w:t>
      </w:r>
    </w:p>
  </w:footnote>
  <w:footnote w:id="380">
    <w:p w14:paraId="5CBE4E9E" w14:textId="728C1067" w:rsidR="00F34B36" w:rsidRPr="0068632F" w:rsidRDefault="00F34B3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CEACR). 2013. General Survey. ILO</w:t>
      </w:r>
      <w:r w:rsidRPr="0068632F">
        <w:rPr>
          <w:rFonts w:ascii="Times New Roman" w:hAnsi="Times New Roman" w:cs="Times New Roman"/>
          <w:lang w:val="mk-MK"/>
        </w:rPr>
        <w:t>.</w:t>
      </w:r>
    </w:p>
  </w:footnote>
  <w:footnote w:id="381">
    <w:p w14:paraId="4141133F" w14:textId="51BB78E3" w:rsidR="006B373D" w:rsidRPr="0068632F" w:rsidRDefault="006B373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E297A" w:rsidRPr="0068632F">
        <w:rPr>
          <w:rFonts w:ascii="Times New Roman" w:hAnsi="Times New Roman" w:cs="Times New Roman"/>
          <w:lang w:val="mk-MK"/>
        </w:rPr>
        <w:t>Commission staff working document North Macedonia 2023 Report (SWD(2023)0693)</w:t>
      </w:r>
      <w:r w:rsidR="00F77CFD" w:rsidRPr="0068632F">
        <w:rPr>
          <w:rFonts w:ascii="Times New Roman" w:hAnsi="Times New Roman" w:cs="Times New Roman"/>
          <w:lang w:val="mk-MK"/>
        </w:rPr>
        <w:t>.</w:t>
      </w:r>
    </w:p>
  </w:footnote>
  <w:footnote w:id="382">
    <w:p w14:paraId="7CB0A446" w14:textId="588DD5F8" w:rsidR="005D6184" w:rsidRPr="0068632F" w:rsidRDefault="005D618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84612" w:rsidRPr="0068632F">
        <w:rPr>
          <w:rFonts w:ascii="Times New Roman" w:hAnsi="Times New Roman" w:cs="Times New Roman"/>
          <w:lang w:val="mk-MK"/>
        </w:rPr>
        <w:t xml:space="preserve">За повеќе информации види на: </w:t>
      </w:r>
      <w:hyperlink r:id="rId50" w:history="1">
        <w:r w:rsidR="003E03DF" w:rsidRPr="0068632F">
          <w:rPr>
            <w:rStyle w:val="Hyperlink"/>
            <w:rFonts w:ascii="Times New Roman" w:hAnsi="Times New Roman" w:cs="Times New Roman"/>
            <w:lang w:val="bg-BG"/>
          </w:rPr>
          <w:t>North Macedonia (Republic of) | International Labour Organization</w:t>
        </w:r>
      </w:hyperlink>
      <w:r w:rsidR="003E03DF" w:rsidRPr="0068632F">
        <w:rPr>
          <w:rFonts w:ascii="Times New Roman" w:hAnsi="Times New Roman" w:cs="Times New Roman"/>
          <w:lang w:val="mk-MK"/>
        </w:rPr>
        <w:t>.</w:t>
      </w:r>
    </w:p>
  </w:footnote>
  <w:footnote w:id="383">
    <w:p w14:paraId="4A442E19" w14:textId="6CBC4BF7" w:rsidR="00384B98" w:rsidRPr="0068632F" w:rsidRDefault="00384B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D37FC" w:rsidRPr="0068632F">
        <w:rPr>
          <w:rFonts w:ascii="Times New Roman" w:hAnsi="Times New Roman" w:cs="Times New Roman"/>
          <w:lang w:val="mk-MK"/>
        </w:rPr>
        <w:t xml:space="preserve">Види повеќе на: </w:t>
      </w:r>
      <w:hyperlink r:id="rId51" w:history="1">
        <w:r w:rsidR="00BD37FC" w:rsidRPr="0068632F">
          <w:rPr>
            <w:rStyle w:val="Hyperlink"/>
            <w:rFonts w:ascii="Times New Roman" w:hAnsi="Times New Roman" w:cs="Times New Roman"/>
            <w:lang w:val="bg-BG"/>
          </w:rPr>
          <w:t>registar na sindikati 1</w:t>
        </w:r>
      </w:hyperlink>
      <w:r w:rsidR="00BD37FC" w:rsidRPr="0068632F">
        <w:rPr>
          <w:rFonts w:ascii="Times New Roman" w:hAnsi="Times New Roman" w:cs="Times New Roman"/>
          <w:lang w:val="mk-MK"/>
        </w:rPr>
        <w:t xml:space="preserve">. </w:t>
      </w:r>
    </w:p>
  </w:footnote>
  <w:footnote w:id="384">
    <w:p w14:paraId="3F91571C" w14:textId="19F1D542" w:rsidR="00CD1A0F" w:rsidRPr="0068632F" w:rsidRDefault="00CD1A0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2" w:history="1">
        <w:r w:rsidRPr="0068632F">
          <w:rPr>
            <w:rStyle w:val="Hyperlink"/>
            <w:rFonts w:ascii="Times New Roman" w:hAnsi="Times New Roman" w:cs="Times New Roman"/>
            <w:lang w:val="bg-BG"/>
          </w:rPr>
          <w:t>PERHOUSE-National-Report-Macedonia.pdf</w:t>
        </w:r>
      </w:hyperlink>
      <w:r w:rsidRPr="0068632F">
        <w:rPr>
          <w:rFonts w:ascii="Times New Roman" w:hAnsi="Times New Roman" w:cs="Times New Roman"/>
          <w:lang w:val="mk-MK"/>
        </w:rPr>
        <w:t>.</w:t>
      </w:r>
    </w:p>
  </w:footnote>
  <w:footnote w:id="385">
    <w:p w14:paraId="450534D2" w14:textId="5D35C3F5" w:rsidR="002D58D7" w:rsidRPr="0068632F" w:rsidRDefault="002D58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3" w:history="1">
        <w:r w:rsidRPr="0068632F">
          <w:rPr>
            <w:rStyle w:val="Hyperlink"/>
            <w:rFonts w:ascii="Times New Roman" w:hAnsi="Times New Roman" w:cs="Times New Roman"/>
            <w:lang w:val="bg-BG"/>
          </w:rPr>
          <w:t>North-Macedonia-Country-Study-2021.pdf</w:t>
        </w:r>
      </w:hyperlink>
      <w:r w:rsidRPr="0068632F">
        <w:rPr>
          <w:rFonts w:ascii="Times New Roman" w:hAnsi="Times New Roman" w:cs="Times New Roman"/>
          <w:lang w:val="mk-MK"/>
        </w:rPr>
        <w:t xml:space="preserve">. </w:t>
      </w:r>
    </w:p>
  </w:footnote>
  <w:footnote w:id="386">
    <w:p w14:paraId="22CF35B2" w14:textId="13C953C1" w:rsidR="002A0961" w:rsidRPr="0068632F" w:rsidRDefault="002A096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4" w:history="1">
        <w:r w:rsidRPr="0068632F">
          <w:rPr>
            <w:rStyle w:val="Hyperlink"/>
            <w:rFonts w:ascii="Times New Roman" w:hAnsi="Times New Roman" w:cs="Times New Roman"/>
            <w:lang w:val="bg-BG"/>
          </w:rPr>
          <w:t>Full Report: Membership of unions and employers' organisations, and bargaining coverage | OECD</w:t>
        </w:r>
      </w:hyperlink>
      <w:r w:rsidRPr="0068632F">
        <w:rPr>
          <w:rFonts w:ascii="Times New Roman" w:hAnsi="Times New Roman" w:cs="Times New Roman"/>
          <w:lang w:val="mk-MK"/>
        </w:rPr>
        <w:t>.</w:t>
      </w:r>
    </w:p>
  </w:footnote>
  <w:footnote w:id="387">
    <w:p w14:paraId="1BBECBD1" w14:textId="4A3B4611" w:rsidR="00405FA3" w:rsidRPr="0068632F" w:rsidRDefault="00405FA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Н</w:t>
      </w:r>
      <w:r w:rsidRPr="0068632F">
        <w:rPr>
          <w:rFonts w:ascii="Times New Roman" w:hAnsi="Times New Roman" w:cs="Times New Roman"/>
        </w:rPr>
        <w:t>а пример, некои африкански држави</w:t>
      </w:r>
      <w:r w:rsidRPr="0068632F">
        <w:rPr>
          <w:rFonts w:ascii="Times New Roman" w:hAnsi="Times New Roman" w:cs="Times New Roman"/>
          <w:lang w:val="mk-MK"/>
        </w:rPr>
        <w:t>.</w:t>
      </w:r>
    </w:p>
  </w:footnote>
  <w:footnote w:id="388">
    <w:p w14:paraId="0255B3E7" w14:textId="4DD6D448" w:rsidR="00D27998" w:rsidRPr="0068632F" w:rsidRDefault="00D279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5" w:history="1">
        <w:r w:rsidRPr="0068632F">
          <w:rPr>
            <w:rStyle w:val="Hyperlink"/>
            <w:rFonts w:ascii="Times New Roman" w:hAnsi="Times New Roman" w:cs="Times New Roman"/>
            <w:lang w:val="bg-BG"/>
          </w:rPr>
          <w:t>PERHOUSE-National-Report-Macedonia.pdf</w:t>
        </w:r>
      </w:hyperlink>
      <w:r w:rsidRPr="0068632F">
        <w:rPr>
          <w:rFonts w:ascii="Times New Roman" w:hAnsi="Times New Roman" w:cs="Times New Roman"/>
          <w:lang w:val="mk-MK"/>
        </w:rPr>
        <w:t>.</w:t>
      </w:r>
    </w:p>
  </w:footnote>
  <w:footnote w:id="389">
    <w:p w14:paraId="33667765" w14:textId="2FE9B9FE" w:rsidR="00F54E7E" w:rsidRPr="0068632F" w:rsidRDefault="00F54E7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w:t>
      </w:r>
      <w:r w:rsidRPr="0068632F">
        <w:rPr>
          <w:rFonts w:ascii="Times New Roman" w:hAnsi="Times New Roman" w:cs="Times New Roman"/>
        </w:rPr>
        <w:t>ако работнички совети</w:t>
      </w:r>
      <w:r w:rsidRPr="0068632F">
        <w:rPr>
          <w:rFonts w:ascii="Times New Roman" w:hAnsi="Times New Roman" w:cs="Times New Roman"/>
          <w:lang w:val="mk-MK"/>
        </w:rPr>
        <w:t xml:space="preserve"> и</w:t>
      </w:r>
      <w:r w:rsidRPr="0068632F">
        <w:rPr>
          <w:rFonts w:ascii="Times New Roman" w:hAnsi="Times New Roman" w:cs="Times New Roman"/>
        </w:rPr>
        <w:t xml:space="preserve"> синдикално застапување</w:t>
      </w:r>
      <w:r w:rsidRPr="0068632F">
        <w:rPr>
          <w:rFonts w:ascii="Times New Roman" w:hAnsi="Times New Roman" w:cs="Times New Roman"/>
          <w:lang w:val="mk-MK"/>
        </w:rPr>
        <w:t>.</w:t>
      </w:r>
    </w:p>
  </w:footnote>
  <w:footnote w:id="390">
    <w:p w14:paraId="328C0AB5" w14:textId="59A455AA" w:rsidR="00FD27B1" w:rsidRPr="0068632F" w:rsidRDefault="00FD27B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Многу грански синдикати и различни федерации.</w:t>
      </w:r>
    </w:p>
  </w:footnote>
  <w:footnote w:id="391">
    <w:p w14:paraId="1EFD543F" w14:textId="174BEA0B" w:rsidR="003E3003" w:rsidRPr="0068632F" w:rsidRDefault="003E300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56" w:history="1">
        <w:r w:rsidRPr="0068632F">
          <w:rPr>
            <w:rStyle w:val="Hyperlink"/>
            <w:rFonts w:ascii="Times New Roman" w:hAnsi="Times New Roman" w:cs="Times New Roman"/>
            <w:lang w:val="bg-BG"/>
          </w:rPr>
          <w:t>CollectiveAgreements 13.03.2024.pdf</w:t>
        </w:r>
      </w:hyperlink>
      <w:r w:rsidRPr="0068632F">
        <w:rPr>
          <w:rFonts w:ascii="Times New Roman" w:hAnsi="Times New Roman" w:cs="Times New Roman"/>
          <w:lang w:val="mk-MK"/>
        </w:rPr>
        <w:t>.</w:t>
      </w:r>
    </w:p>
  </w:footnote>
  <w:footnote w:id="392">
    <w:p w14:paraId="6E4691D8" w14:textId="512E981B" w:rsidR="004B647E" w:rsidRPr="0068632F" w:rsidRDefault="004B647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w:t>
      </w:r>
      <w:r w:rsidRPr="0068632F">
        <w:rPr>
          <w:rFonts w:ascii="Times New Roman" w:hAnsi="Times New Roman" w:cs="Times New Roman"/>
        </w:rPr>
        <w:t>бласт стопанство</w:t>
      </w:r>
      <w:r w:rsidRPr="0068632F">
        <w:rPr>
          <w:rFonts w:ascii="Times New Roman" w:hAnsi="Times New Roman" w:cs="Times New Roman"/>
          <w:lang w:val="mk-MK"/>
        </w:rPr>
        <w:t>.</w:t>
      </w:r>
    </w:p>
  </w:footnote>
  <w:footnote w:id="393">
    <w:p w14:paraId="5EBD5968" w14:textId="72DE615C" w:rsidR="00162169" w:rsidRPr="0068632F" w:rsidRDefault="0016216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A57F5" w:rsidRPr="0068632F">
        <w:rPr>
          <w:rFonts w:ascii="Times New Roman" w:hAnsi="Times New Roman" w:cs="Times New Roman"/>
          <w:lang w:val="mk-MK"/>
        </w:rPr>
        <w:t xml:space="preserve">Види: </w:t>
      </w:r>
      <w:hyperlink r:id="rId57" w:history="1">
        <w:r w:rsidR="00FA57F5" w:rsidRPr="0068632F">
          <w:rPr>
            <w:rStyle w:val="Hyperlink"/>
            <w:rFonts w:ascii="Times New Roman" w:hAnsi="Times New Roman" w:cs="Times New Roman"/>
            <w:lang w:val="bg-BG"/>
          </w:rPr>
          <w:t>SWD_2023_693 North Macedonia report.pdf</w:t>
        </w:r>
      </w:hyperlink>
      <w:r w:rsidR="00FA57F5" w:rsidRPr="0068632F">
        <w:rPr>
          <w:rFonts w:ascii="Times New Roman" w:hAnsi="Times New Roman" w:cs="Times New Roman"/>
          <w:lang w:val="mk-MK"/>
        </w:rPr>
        <w:t xml:space="preserve">. </w:t>
      </w:r>
    </w:p>
  </w:footnote>
  <w:footnote w:id="394">
    <w:p w14:paraId="3A038645" w14:textId="5C68DDC6" w:rsidR="007962C1" w:rsidRPr="0068632F" w:rsidRDefault="007962C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Провокативна размена на оваа тема може да се види во Graeber, D. (2018). Bullshit jobs: A theory. Simon &amp; Schuster.</w:t>
      </w:r>
    </w:p>
  </w:footnote>
  <w:footnote w:id="395">
    <w:p w14:paraId="7661DB01" w14:textId="51C4A581" w:rsidR="00B029B3" w:rsidRPr="0068632F" w:rsidRDefault="00B029B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B76C5" w:rsidRPr="0068632F">
        <w:rPr>
          <w:rFonts w:ascii="Times New Roman" w:hAnsi="Times New Roman" w:cs="Times New Roman"/>
          <w:lang w:val="mk-MK"/>
        </w:rPr>
        <w:t>Т</w:t>
      </w:r>
      <w:r w:rsidR="002B76C5" w:rsidRPr="0068632F">
        <w:rPr>
          <w:rFonts w:ascii="Times New Roman" w:hAnsi="Times New Roman" w:cs="Times New Roman"/>
        </w:rPr>
        <w:t xml:space="preserve">ехничка, јавна диференцијација на </w:t>
      </w:r>
      <w:r w:rsidR="00012164" w:rsidRPr="0068632F">
        <w:rPr>
          <w:rFonts w:ascii="Times New Roman" w:hAnsi="Times New Roman" w:cs="Times New Roman"/>
          <w:lang w:val="mk-MK"/>
        </w:rPr>
        <w:t>усогласеност и/или</w:t>
      </w:r>
      <w:r w:rsidR="002B76C5" w:rsidRPr="0068632F">
        <w:rPr>
          <w:rFonts w:ascii="Times New Roman" w:hAnsi="Times New Roman" w:cs="Times New Roman"/>
        </w:rPr>
        <w:t xml:space="preserve"> „naming and shaming“ поврзан со финансиска и трговска политика</w:t>
      </w:r>
      <w:r w:rsidR="00012164" w:rsidRPr="0068632F">
        <w:rPr>
          <w:rFonts w:ascii="Times New Roman" w:hAnsi="Times New Roman" w:cs="Times New Roman"/>
          <w:lang w:val="mk-MK"/>
        </w:rPr>
        <w:t>.</w:t>
      </w:r>
    </w:p>
  </w:footnote>
  <w:footnote w:id="396">
    <w:p w14:paraId="4A28417B" w14:textId="646DF27B" w:rsidR="00A6595C" w:rsidRPr="0068632F" w:rsidRDefault="00A6595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E1262" w:rsidRPr="0068632F">
        <w:rPr>
          <w:rFonts w:ascii="Times New Roman" w:hAnsi="Times New Roman" w:cs="Times New Roman"/>
        </w:rPr>
        <w:t>OECD (2023), G20/OECD Principles of Corporate Governance 2023, OECD Publishing, Paris</w:t>
      </w:r>
      <w:r w:rsidR="00363EB0" w:rsidRPr="0068632F">
        <w:rPr>
          <w:rFonts w:ascii="Times New Roman" w:hAnsi="Times New Roman" w:cs="Times New Roman"/>
          <w:lang w:val="en-US"/>
        </w:rPr>
        <w:t>.</w:t>
      </w:r>
    </w:p>
  </w:footnote>
  <w:footnote w:id="397">
    <w:p w14:paraId="45A83089" w14:textId="3D3D5343" w:rsidR="00C86B1F" w:rsidRPr="0068632F" w:rsidRDefault="00C86B1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Bartosch, J., Nicklich, M., &amp; Jackson, G. (2025). Employee voice and corporate governance: power and engagement for the environment. ILR Review, 00197939251351678.</w:t>
      </w:r>
    </w:p>
  </w:footnote>
  <w:footnote w:id="398">
    <w:p w14:paraId="4AD691A8" w14:textId="4F2AF114" w:rsidR="00D21056" w:rsidRPr="0068632F" w:rsidRDefault="00D2105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повеќе на: </w:t>
      </w:r>
      <w:hyperlink r:id="rId58" w:history="1">
        <w:r w:rsidRPr="0068632F">
          <w:rPr>
            <w:rStyle w:val="Hyperlink"/>
            <w:rFonts w:ascii="Times New Roman" w:hAnsi="Times New Roman" w:cs="Times New Roman"/>
            <w:lang w:val="bg-BG"/>
          </w:rPr>
          <w:t>G20/OECD Principles of Corporate Governance 2023 (EN)</w:t>
        </w:r>
      </w:hyperlink>
      <w:r w:rsidRPr="0068632F">
        <w:rPr>
          <w:rFonts w:ascii="Times New Roman" w:hAnsi="Times New Roman" w:cs="Times New Roman"/>
          <w:lang w:val="mk-MK"/>
        </w:rPr>
        <w:t xml:space="preserve">. </w:t>
      </w:r>
    </w:p>
  </w:footnote>
  <w:footnote w:id="399">
    <w:p w14:paraId="6CFC2306" w14:textId="733881AE" w:rsidR="002E1DDF" w:rsidRPr="0068632F" w:rsidRDefault="002E1DD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D481D" w:rsidRPr="0068632F">
        <w:rPr>
          <w:rFonts w:ascii="Times New Roman" w:hAnsi="Times New Roman" w:cs="Times New Roman"/>
        </w:rPr>
        <w:t>UK Companies Act 2006, c. 46, s. 172(1)(d)</w:t>
      </w:r>
      <w:r w:rsidR="004D481D" w:rsidRPr="0068632F">
        <w:rPr>
          <w:rFonts w:ascii="Times New Roman" w:hAnsi="Times New Roman" w:cs="Times New Roman"/>
          <w:lang w:val="en-US"/>
        </w:rPr>
        <w:t xml:space="preserve"> &amp; </w:t>
      </w:r>
      <w:r w:rsidRPr="0068632F">
        <w:rPr>
          <w:rFonts w:ascii="Times New Roman" w:hAnsi="Times New Roman" w:cs="Times New Roman"/>
        </w:rPr>
        <w:t>US Securities and Exchange Commission (SEC) Enhancement and Standardization of Climate-Related Disclosures for Investors 89 Fed. Reg. 21,668 (Mar. 28, 2024) (to be codified at 17 C.F.R. pts. 210, 229, 230, 232, 239, and 249).</w:t>
      </w:r>
    </w:p>
  </w:footnote>
  <w:footnote w:id="400">
    <w:p w14:paraId="1C3A6E16" w14:textId="1F3BB416" w:rsidR="00031A7C" w:rsidRPr="0068632F" w:rsidRDefault="00031A7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261A7" w:rsidRPr="0068632F">
        <w:rPr>
          <w:rFonts w:ascii="Times New Roman" w:hAnsi="Times New Roman" w:cs="Times New Roman"/>
          <w:lang w:val="mk-MK"/>
        </w:rPr>
        <w:t xml:space="preserve">Види го целиот текст на: </w:t>
      </w:r>
      <w:hyperlink r:id="rId59" w:history="1">
        <w:r w:rsidR="005261A7" w:rsidRPr="0068632F">
          <w:rPr>
            <w:rStyle w:val="Hyperlink"/>
            <w:rFonts w:ascii="Times New Roman" w:hAnsi="Times New Roman" w:cs="Times New Roman"/>
            <w:lang w:val="bg-BG"/>
          </w:rPr>
          <w:t>G20/OECD Principles of Corporate Governance 2023 (EN)</w:t>
        </w:r>
      </w:hyperlink>
      <w:r w:rsidR="005261A7" w:rsidRPr="0068632F">
        <w:rPr>
          <w:rFonts w:ascii="Times New Roman" w:hAnsi="Times New Roman" w:cs="Times New Roman"/>
          <w:lang w:val="mk-MK"/>
        </w:rPr>
        <w:t xml:space="preserve">. </w:t>
      </w:r>
    </w:p>
  </w:footnote>
  <w:footnote w:id="401">
    <w:p w14:paraId="245145AC" w14:textId="1890CEF1" w:rsidR="00E86579" w:rsidRPr="0068632F" w:rsidRDefault="00E8657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Б</w:t>
      </w:r>
      <w:r w:rsidRPr="0068632F">
        <w:rPr>
          <w:rFonts w:ascii="Times New Roman" w:hAnsi="Times New Roman" w:cs="Times New Roman"/>
        </w:rPr>
        <w:t>иланс, приходи, расходи, обврски</w:t>
      </w:r>
      <w:r w:rsidRPr="0068632F">
        <w:rPr>
          <w:rFonts w:ascii="Times New Roman" w:hAnsi="Times New Roman" w:cs="Times New Roman"/>
          <w:lang w:val="mk-MK"/>
        </w:rPr>
        <w:t xml:space="preserve"> и</w:t>
      </w:r>
      <w:r w:rsidRPr="0068632F">
        <w:rPr>
          <w:rFonts w:ascii="Times New Roman" w:hAnsi="Times New Roman" w:cs="Times New Roman"/>
        </w:rPr>
        <w:t xml:space="preserve"> ризици</w:t>
      </w:r>
      <w:r w:rsidRPr="0068632F">
        <w:rPr>
          <w:rFonts w:ascii="Times New Roman" w:hAnsi="Times New Roman" w:cs="Times New Roman"/>
          <w:lang w:val="mk-MK"/>
        </w:rPr>
        <w:t>.</w:t>
      </w:r>
    </w:p>
  </w:footnote>
  <w:footnote w:id="402">
    <w:p w14:paraId="486326CB" w14:textId="71263628" w:rsidR="003052EF" w:rsidRPr="0068632F" w:rsidRDefault="003052E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OECD (2023), G20/OECD Principles of Corporate Governance 2023, OECD Publishing, Paris, </w:t>
      </w:r>
      <w:hyperlink r:id="rId60" w:history="1">
        <w:r w:rsidRPr="0068632F">
          <w:rPr>
            <w:rStyle w:val="Hyperlink"/>
            <w:rFonts w:ascii="Times New Roman" w:hAnsi="Times New Roman" w:cs="Times New Roman"/>
          </w:rPr>
          <w:t>https://doi.org/10.1787/ed750b30-en</w:t>
        </w:r>
      </w:hyperlink>
      <w:r w:rsidRPr="0068632F">
        <w:rPr>
          <w:rFonts w:ascii="Times New Roman" w:hAnsi="Times New Roman" w:cs="Times New Roman"/>
          <w:lang w:val="mk-MK"/>
        </w:rPr>
        <w:t xml:space="preserve">, страница 27.  </w:t>
      </w:r>
    </w:p>
  </w:footnote>
  <w:footnote w:id="403">
    <w:p w14:paraId="3E7BFD66" w14:textId="2A7B267D" w:rsidR="00B1327B" w:rsidRPr="0068632F" w:rsidRDefault="00B1327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30D25" w:rsidRPr="0068632F">
        <w:rPr>
          <w:rFonts w:ascii="Times New Roman" w:hAnsi="Times New Roman" w:cs="Times New Roman"/>
          <w:lang w:val="mk-MK"/>
        </w:rPr>
        <w:t xml:space="preserve">Особено видливо во текстот на OECD (2023), G20/OECD, страница 28. </w:t>
      </w:r>
    </w:p>
  </w:footnote>
  <w:footnote w:id="404">
    <w:p w14:paraId="1B290E49" w14:textId="548E5BBA" w:rsidR="00CA597F" w:rsidRPr="0068632F" w:rsidRDefault="00CA597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75EA9" w:rsidRPr="0068632F">
        <w:rPr>
          <w:rFonts w:ascii="Times New Roman" w:hAnsi="Times New Roman" w:cs="Times New Roman"/>
          <w:lang w:val="mk-MK"/>
        </w:rPr>
        <w:t>О</w:t>
      </w:r>
      <w:r w:rsidR="00775EA9" w:rsidRPr="0068632F">
        <w:rPr>
          <w:rFonts w:ascii="Times New Roman" w:hAnsi="Times New Roman" w:cs="Times New Roman"/>
        </w:rPr>
        <w:t>собено во 2015 и 2023 година</w:t>
      </w:r>
      <w:r w:rsidR="00775EA9" w:rsidRPr="0068632F">
        <w:rPr>
          <w:rFonts w:ascii="Times New Roman" w:hAnsi="Times New Roman" w:cs="Times New Roman"/>
          <w:lang w:val="mk-MK"/>
        </w:rPr>
        <w:t>.</w:t>
      </w:r>
    </w:p>
  </w:footnote>
  <w:footnote w:id="405">
    <w:p w14:paraId="6ECF0102" w14:textId="04F93696" w:rsidR="006A2A9B" w:rsidRPr="0068632F" w:rsidRDefault="006A2A9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24CAB" w:rsidRPr="0068632F">
        <w:rPr>
          <w:rFonts w:ascii="Times New Roman" w:hAnsi="Times New Roman" w:cs="Times New Roman"/>
        </w:rPr>
        <w:t>OECD (2023), G20/OECD Principles of Corporate Governance 2023, OECD Publishing, Paris,</w:t>
      </w:r>
      <w:r w:rsidR="00F24CAB" w:rsidRPr="0068632F">
        <w:rPr>
          <w:rFonts w:ascii="Times New Roman" w:hAnsi="Times New Roman" w:cs="Times New Roman"/>
          <w:lang w:val="mk-MK"/>
        </w:rPr>
        <w:t xml:space="preserve"> страници 29-30. </w:t>
      </w:r>
    </w:p>
  </w:footnote>
  <w:footnote w:id="406">
    <w:p w14:paraId="3C31899D" w14:textId="53F68867" w:rsidR="00262769" w:rsidRPr="0068632F" w:rsidRDefault="0026276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Bartosch, J., Nicklich, M., &amp; Jackson, G. (2025).</w:t>
      </w:r>
    </w:p>
  </w:footnote>
  <w:footnote w:id="407">
    <w:p w14:paraId="4A7B8DBF" w14:textId="4D0B2ED8" w:rsidR="002977E2" w:rsidRPr="0068632F" w:rsidRDefault="002977E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73DFC" w:rsidRPr="0068632F">
        <w:rPr>
          <w:rFonts w:ascii="Times New Roman" w:hAnsi="Times New Roman" w:cs="Times New Roman"/>
        </w:rPr>
        <w:t>Puije, N. V. D., &amp; Satzinger, F. (2025). Decolonising international development evaluation: rethinking OECD DAC evaluation criteria from a decolonial perspective. Development in Practice, 1-15.</w:t>
      </w:r>
    </w:p>
  </w:footnote>
  <w:footnote w:id="408">
    <w:p w14:paraId="44D1D8FF" w14:textId="7D926A98" w:rsidR="00673DFC" w:rsidRPr="0068632F" w:rsidRDefault="00673DF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Puije, N. V. D., &amp; Satzinger, F. (2025).</w:t>
      </w:r>
    </w:p>
  </w:footnote>
  <w:footnote w:id="409">
    <w:p w14:paraId="0F55595D" w14:textId="16813D80" w:rsidR="007A3F08" w:rsidRPr="0068632F" w:rsidRDefault="007A3F0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OECD (2023), G20/OECD Principles of Corporate Governance 2023, OECD Publishing, Paris,</w:t>
      </w:r>
      <w:r w:rsidRPr="0068632F">
        <w:rPr>
          <w:rFonts w:ascii="Times New Roman" w:hAnsi="Times New Roman" w:cs="Times New Roman"/>
          <w:lang w:val="mk-MK"/>
        </w:rPr>
        <w:t xml:space="preserve"> стр</w:t>
      </w:r>
      <w:r w:rsidR="003678FC" w:rsidRPr="0068632F">
        <w:rPr>
          <w:rFonts w:ascii="Times New Roman" w:hAnsi="Times New Roman" w:cs="Times New Roman"/>
          <w:lang w:val="mk-MK"/>
        </w:rPr>
        <w:t>.</w:t>
      </w:r>
      <w:r w:rsidRPr="0068632F">
        <w:rPr>
          <w:rFonts w:ascii="Times New Roman" w:hAnsi="Times New Roman" w:cs="Times New Roman"/>
          <w:lang w:val="mk-MK"/>
        </w:rPr>
        <w:t xml:space="preserve"> 34-35</w:t>
      </w:r>
      <w:r w:rsidR="003678FC" w:rsidRPr="0068632F">
        <w:rPr>
          <w:rFonts w:ascii="Times New Roman" w:hAnsi="Times New Roman" w:cs="Times New Roman"/>
          <w:lang w:val="mk-MK"/>
        </w:rPr>
        <w:t>.</w:t>
      </w:r>
    </w:p>
  </w:footnote>
  <w:footnote w:id="410">
    <w:p w14:paraId="3D0C7084" w14:textId="77777777" w:rsidR="00A777E7" w:rsidRPr="0068632F" w:rsidRDefault="00A777E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OECD (2023), G20/OECD, страници 34-43. </w:t>
      </w:r>
    </w:p>
  </w:footnote>
  <w:footnote w:id="411">
    <w:p w14:paraId="41D1133C" w14:textId="43533D4B" w:rsidR="007A140F" w:rsidRPr="0068632F" w:rsidRDefault="007A140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rPr>
        <w:t>Bartosch, J., Nicklich, M., &amp; Jackson, G. (2025).</w:t>
      </w:r>
    </w:p>
  </w:footnote>
  <w:footnote w:id="412">
    <w:p w14:paraId="295B514D" w14:textId="5DE7DAF2" w:rsidR="006852AE" w:rsidRPr="0068632F" w:rsidRDefault="006852A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30B3D" w:rsidRPr="0068632F">
        <w:rPr>
          <w:rFonts w:ascii="Times New Roman" w:hAnsi="Times New Roman" w:cs="Times New Roman"/>
        </w:rPr>
        <w:t>Fiduciary duties се правни и етички обврски што ги има едно лице кое управува со туѓ интерес, ресурси или имот, со цел да постапува исклучиво и искрено во најдобар интерес на тој што му ги доверил овластувањата. Во корпоративното управување, тоа обично се однесува на обврските на членовите на управниот одбор и високиот менаџмент кон корпорацијата и акционерите. Овие должности произлегуваат од фидуцијарната врска, односно однос на доверба, каде една страна е duty-bearer (одговорна страна), а другата е beneficiary (корисник).</w:t>
      </w:r>
    </w:p>
  </w:footnote>
  <w:footnote w:id="413">
    <w:p w14:paraId="607CEB95" w14:textId="3499A3AC" w:rsidR="003678FC" w:rsidRPr="0068632F" w:rsidRDefault="003678F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OECD (2023), G20/OECD, страници </w:t>
      </w:r>
      <w:r w:rsidR="00EA6225" w:rsidRPr="0068632F">
        <w:rPr>
          <w:rFonts w:ascii="Times New Roman" w:hAnsi="Times New Roman" w:cs="Times New Roman"/>
          <w:lang w:val="mk-MK"/>
        </w:rPr>
        <w:t>44-45</w:t>
      </w:r>
      <w:r w:rsidRPr="0068632F">
        <w:rPr>
          <w:rFonts w:ascii="Times New Roman" w:hAnsi="Times New Roman" w:cs="Times New Roman"/>
          <w:lang w:val="mk-MK"/>
        </w:rPr>
        <w:t>.</w:t>
      </w:r>
    </w:p>
  </w:footnote>
  <w:footnote w:id="414">
    <w:p w14:paraId="25703C0E" w14:textId="65B7E91F" w:rsidR="00B72B67" w:rsidRPr="0068632F" w:rsidRDefault="00B72B6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OECD (2023), G20/OECD, страници 46-48.</w:t>
      </w:r>
    </w:p>
  </w:footnote>
  <w:footnote w:id="415">
    <w:p w14:paraId="132154CD" w14:textId="4B9A9DFA" w:rsidR="003B2E97" w:rsidRPr="0068632F" w:rsidRDefault="003B2E9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41C77" w:rsidRPr="0068632F">
        <w:rPr>
          <w:rFonts w:ascii="Times New Roman" w:hAnsi="Times New Roman" w:cs="Times New Roman"/>
        </w:rPr>
        <w:t>Aguilera, R. V., &amp; Cuervo‐Cazurra, A. (2009). Codes of good governance. Corporate governance: an international review, 17(3), 376-387.</w:t>
      </w:r>
    </w:p>
  </w:footnote>
  <w:footnote w:id="416">
    <w:p w14:paraId="2BF65BB3" w14:textId="66CDF916" w:rsidR="007C1342" w:rsidRPr="0068632F" w:rsidRDefault="007C134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706F2" w:rsidRPr="0068632F">
        <w:rPr>
          <w:rFonts w:ascii="Times New Roman" w:hAnsi="Times New Roman" w:cs="Times New Roman"/>
          <w:lang w:val="mk-MK"/>
        </w:rPr>
        <w:t xml:space="preserve">Види </w:t>
      </w:r>
      <w:hyperlink r:id="rId61" w:history="1">
        <w:r w:rsidR="000706F2" w:rsidRPr="0068632F">
          <w:rPr>
            <w:rStyle w:val="Hyperlink"/>
            <w:rFonts w:ascii="Times New Roman" w:hAnsi="Times New Roman" w:cs="Times New Roman"/>
            <w:lang w:val="bg-BG"/>
          </w:rPr>
          <w:t>Companies Act 2006</w:t>
        </w:r>
      </w:hyperlink>
      <w:r w:rsidR="000706F2" w:rsidRPr="0068632F">
        <w:rPr>
          <w:rFonts w:ascii="Times New Roman" w:hAnsi="Times New Roman" w:cs="Times New Roman"/>
          <w:lang w:val="mk-MK"/>
        </w:rPr>
        <w:t>.</w:t>
      </w:r>
    </w:p>
  </w:footnote>
  <w:footnote w:id="417">
    <w:p w14:paraId="2F3E2274" w14:textId="0F4D9931" w:rsidR="00A25939" w:rsidRPr="0068632F" w:rsidRDefault="00A2593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52069" w:rsidRPr="0068632F">
        <w:rPr>
          <w:rFonts w:ascii="Times New Roman" w:hAnsi="Times New Roman" w:cs="Times New Roman"/>
          <w:lang w:val="mk-MK"/>
        </w:rPr>
        <w:t>Види детална анализа во Mallin, C. A. (2019). Corporate governance. Oxford university press.</w:t>
      </w:r>
    </w:p>
  </w:footnote>
  <w:footnote w:id="418">
    <w:p w14:paraId="1E9696F8" w14:textId="34EBA228" w:rsidR="0028583A" w:rsidRPr="0068632F" w:rsidRDefault="0028583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0439B" w:rsidRPr="0068632F">
        <w:rPr>
          <w:rFonts w:ascii="Times New Roman" w:hAnsi="Times New Roman" w:cs="Times New Roman"/>
          <w:lang w:val="en-US"/>
        </w:rPr>
        <w:t>ESG-</w:t>
      </w:r>
      <w:r w:rsidR="00D0439B" w:rsidRPr="0068632F">
        <w:rPr>
          <w:rFonts w:ascii="Times New Roman" w:hAnsi="Times New Roman" w:cs="Times New Roman"/>
        </w:rPr>
        <w:t>Environmental, Social and Governance</w:t>
      </w:r>
      <w:r w:rsidR="00D0439B" w:rsidRPr="0068632F">
        <w:rPr>
          <w:rFonts w:ascii="Times New Roman" w:hAnsi="Times New Roman" w:cs="Times New Roman"/>
          <w:lang w:val="mk-MK"/>
        </w:rPr>
        <w:t>.</w:t>
      </w:r>
    </w:p>
  </w:footnote>
  <w:footnote w:id="419">
    <w:p w14:paraId="1CD97869" w14:textId="29A6FA74" w:rsidR="0081643D" w:rsidRPr="0068632F" w:rsidRDefault="0081643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B7830" w:rsidRPr="0068632F">
        <w:rPr>
          <w:rFonts w:ascii="Times New Roman" w:hAnsi="Times New Roman" w:cs="Times New Roman"/>
        </w:rPr>
        <w:t>Cioffi, J. W., &amp; Höpner, M. (2006). Das parteipolitische Paradox des Finanzmarktkapitalismus. Aktionärsorientierte Reformen in Deutschland, Frankreich, Italien und den USA. Politische Vierteljahresschrift, 47(3), 419-440.</w:t>
      </w:r>
    </w:p>
  </w:footnote>
  <w:footnote w:id="420">
    <w:p w14:paraId="0BCA2F7D" w14:textId="51CA6D3C" w:rsidR="00981783" w:rsidRPr="0068632F" w:rsidRDefault="0098178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Knudsen, J. S. (2018). Government Regulation of Corporate Social Responsibility. Corporate governance in contention, 280.</w:t>
      </w:r>
    </w:p>
  </w:footnote>
  <w:footnote w:id="421">
    <w:p w14:paraId="391BF1AB" w14:textId="681B39C7" w:rsidR="0069339D" w:rsidRPr="0068632F" w:rsidRDefault="0069339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Knudsen, J. S. (2018). </w:t>
      </w:r>
    </w:p>
  </w:footnote>
  <w:footnote w:id="422">
    <w:p w14:paraId="02433199" w14:textId="00BBDA20" w:rsidR="00B51611" w:rsidRPr="0068632F" w:rsidRDefault="00B5161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Од 2006 година, ревидиран во 2014 година.</w:t>
      </w:r>
    </w:p>
  </w:footnote>
  <w:footnote w:id="423">
    <w:p w14:paraId="7D7C933D" w14:textId="77777777" w:rsidR="006B4790" w:rsidRPr="0068632F" w:rsidRDefault="006B479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Како на пример: EBRD, World Bank и EU IPA. </w:t>
      </w:r>
    </w:p>
  </w:footnote>
  <w:footnote w:id="424">
    <w:p w14:paraId="04A37FBE" w14:textId="2879539F" w:rsidR="00CD4418" w:rsidRPr="0068632F" w:rsidRDefault="00CD441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9210D" w:rsidRPr="0068632F">
        <w:rPr>
          <w:rFonts w:ascii="Times New Roman" w:hAnsi="Times New Roman" w:cs="Times New Roman"/>
          <w:lang w:val="mk-MK"/>
        </w:rPr>
        <w:t xml:space="preserve">Види на пример страници 9 и 10, </w:t>
      </w:r>
      <w:hyperlink r:id="rId62" w:history="1">
        <w:r w:rsidR="0089210D" w:rsidRPr="0068632F">
          <w:rPr>
            <w:rStyle w:val="Hyperlink"/>
            <w:rFonts w:ascii="Times New Roman" w:hAnsi="Times New Roman" w:cs="Times New Roman"/>
            <w:lang w:val="bg-BG"/>
          </w:rPr>
          <w:t>KKU final - Copy 1.pdf</w:t>
        </w:r>
      </w:hyperlink>
      <w:r w:rsidR="0089210D" w:rsidRPr="0068632F">
        <w:rPr>
          <w:rFonts w:ascii="Times New Roman" w:hAnsi="Times New Roman" w:cs="Times New Roman"/>
          <w:lang w:val="mk-MK"/>
        </w:rPr>
        <w:t xml:space="preserve">. </w:t>
      </w:r>
    </w:p>
  </w:footnote>
  <w:footnote w:id="425">
    <w:p w14:paraId="6504E4C4" w14:textId="78A4D794" w:rsidR="00A23286" w:rsidRPr="0068632F" w:rsidRDefault="00A2328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Statute of the Council of Europe, May 5, 1949, ETS No. 1.</w:t>
      </w:r>
    </w:p>
  </w:footnote>
  <w:footnote w:id="426">
    <w:p w14:paraId="36DC25B4" w14:textId="3A10EF5E" w:rsidR="003904F4" w:rsidRPr="0068632F" w:rsidRDefault="003904F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72F05" w:rsidRPr="0068632F">
        <w:rPr>
          <w:rFonts w:ascii="Times New Roman" w:hAnsi="Times New Roman" w:cs="Times New Roman"/>
          <w:lang w:val="mk-MK"/>
        </w:rPr>
        <w:t xml:space="preserve">Види на пример: </w:t>
      </w:r>
      <w:hyperlink r:id="rId63" w:history="1">
        <w:r w:rsidR="00372F05" w:rsidRPr="0068632F">
          <w:rPr>
            <w:rStyle w:val="Hyperlink"/>
            <w:rFonts w:ascii="Times New Roman" w:hAnsi="Times New Roman" w:cs="Times New Roman"/>
            <w:lang w:val="bg-BG"/>
          </w:rPr>
          <w:t>12 Principles of Good Democratic Governance - Centre of Expertise for Multilevel Governance</w:t>
        </w:r>
      </w:hyperlink>
      <w:r w:rsidR="00475BF6" w:rsidRPr="0068632F">
        <w:rPr>
          <w:rFonts w:ascii="Times New Roman" w:hAnsi="Times New Roman" w:cs="Times New Roman"/>
          <w:lang w:val="mk-MK"/>
        </w:rPr>
        <w:t xml:space="preserve">. </w:t>
      </w:r>
    </w:p>
  </w:footnote>
  <w:footnote w:id="427">
    <w:p w14:paraId="0385C649" w14:textId="243F3A21" w:rsidR="00106CAF" w:rsidRPr="0068632F" w:rsidRDefault="00106CA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64253" w:rsidRPr="0068632F">
        <w:rPr>
          <w:rFonts w:ascii="Times New Roman" w:hAnsi="Times New Roman" w:cs="Times New Roman"/>
        </w:rPr>
        <w:t>Keller, H., &amp; Sweet, A. S. (Eds.). (2008). A Europe of rights: the impact of the ECHR on national legal systems. Oxford University Press.</w:t>
      </w:r>
    </w:p>
  </w:footnote>
  <w:footnote w:id="428">
    <w:p w14:paraId="3F4B5F65" w14:textId="67319906" w:rsidR="000F73B0" w:rsidRPr="0068632F" w:rsidRDefault="0094033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F73B0" w:rsidRPr="0068632F">
        <w:rPr>
          <w:rFonts w:ascii="Times New Roman" w:hAnsi="Times New Roman" w:cs="Times New Roman"/>
          <w:lang w:val="mk-MK"/>
        </w:rPr>
        <w:t>Член 2 од ЕКЧП.</w:t>
      </w:r>
    </w:p>
  </w:footnote>
  <w:footnote w:id="429">
    <w:p w14:paraId="6196CCBF" w14:textId="1FBB2C63" w:rsidR="00940339" w:rsidRPr="0068632F" w:rsidRDefault="0094033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F73B0" w:rsidRPr="0068632F">
        <w:rPr>
          <w:rFonts w:ascii="Times New Roman" w:hAnsi="Times New Roman" w:cs="Times New Roman"/>
          <w:lang w:val="mk-MK"/>
        </w:rPr>
        <w:t xml:space="preserve">Член 3 од ЕКЧП. </w:t>
      </w:r>
    </w:p>
  </w:footnote>
  <w:footnote w:id="430">
    <w:p w14:paraId="7A643502" w14:textId="5E32262B" w:rsidR="000F73B0" w:rsidRPr="0068632F" w:rsidRDefault="000F73B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5 од ЕКЧП.</w:t>
      </w:r>
    </w:p>
  </w:footnote>
  <w:footnote w:id="431">
    <w:p w14:paraId="0A95C99D" w14:textId="217463FB" w:rsidR="000F73B0" w:rsidRPr="0068632F" w:rsidRDefault="000F73B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Член </w:t>
      </w:r>
      <w:r w:rsidR="001D570E" w:rsidRPr="0068632F">
        <w:rPr>
          <w:rFonts w:ascii="Times New Roman" w:hAnsi="Times New Roman" w:cs="Times New Roman"/>
          <w:lang w:val="mk-MK"/>
        </w:rPr>
        <w:t>11</w:t>
      </w:r>
      <w:r w:rsidRPr="0068632F">
        <w:rPr>
          <w:rFonts w:ascii="Times New Roman" w:hAnsi="Times New Roman" w:cs="Times New Roman"/>
          <w:lang w:val="mk-MK"/>
        </w:rPr>
        <w:t xml:space="preserve"> од ЕКЧП.</w:t>
      </w:r>
    </w:p>
  </w:footnote>
  <w:footnote w:id="432">
    <w:p w14:paraId="041C00AE" w14:textId="28D1AA22" w:rsidR="001D570E" w:rsidRPr="0068632F" w:rsidRDefault="001D570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6 од ЕКЧП.</w:t>
      </w:r>
    </w:p>
  </w:footnote>
  <w:footnote w:id="433">
    <w:p w14:paraId="2A568466" w14:textId="665DBBB8" w:rsidR="00745CF2" w:rsidRPr="0068632F" w:rsidRDefault="00745CF2"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34">
    <w:p w14:paraId="31FFDF72" w14:textId="77777777" w:rsidR="00904782" w:rsidRPr="0068632F" w:rsidRDefault="0090478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Како на пример во National &amp; Provincial Building Society v. the United Kingdom (21319/93) [1997] ECHR 1466 (23 October 1997).</w:t>
      </w:r>
    </w:p>
  </w:footnote>
  <w:footnote w:id="435">
    <w:p w14:paraId="6F42DA06" w14:textId="7F3E6424" w:rsidR="001E4035" w:rsidRPr="0068632F" w:rsidRDefault="001E403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870CF" w:rsidRPr="0068632F">
        <w:rPr>
          <w:rFonts w:ascii="Times New Roman" w:hAnsi="Times New Roman" w:cs="Times New Roman"/>
        </w:rPr>
        <w:t>Член 11 се однесува на слободата на здружување вклучувајќи право на синдикално организирање и колективно договарање. Член 10 ја опфаќа слободата на изразување во контекст на транспарентност и консултативни права на работниците. Член 6 го штити правото на правично судење и е применлив врз постапки кои се однесуваат на работничко застапување и правна заштита на претставниците. Член 1 од Протокол 1 ја гарантира заштитата на сопственоста и во одредени случаи бил применет за правата на акционери и синдикални фондови.</w:t>
      </w:r>
    </w:p>
  </w:footnote>
  <w:footnote w:id="436">
    <w:p w14:paraId="0A737D5F" w14:textId="4256F8D6" w:rsidR="00D96BA0" w:rsidRPr="0068632F" w:rsidRDefault="00D96BA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37">
    <w:p w14:paraId="7979A206" w14:textId="1774DB73" w:rsidR="00A01CEE" w:rsidRPr="0068632F" w:rsidRDefault="00A01CE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F6D7D" w:rsidRPr="0068632F">
        <w:rPr>
          <w:rFonts w:ascii="Times New Roman" w:hAnsi="Times New Roman" w:cs="Times New Roman"/>
          <w:lang w:val="en-US"/>
        </w:rPr>
        <w:t xml:space="preserve">Gelev, D. (2024. </w:t>
      </w:r>
    </w:p>
  </w:footnote>
  <w:footnote w:id="438">
    <w:p w14:paraId="4B30FC6A" w14:textId="25B94969" w:rsidR="00EA6CE2" w:rsidRPr="0068632F" w:rsidRDefault="00EA6CE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94F1F" w:rsidRPr="0068632F">
        <w:rPr>
          <w:rFonts w:ascii="Times New Roman" w:hAnsi="Times New Roman" w:cs="Times New Roman"/>
          <w:lang w:val="mk-MK"/>
        </w:rPr>
        <w:t xml:space="preserve">Види </w:t>
      </w:r>
      <w:hyperlink r:id="rId64" w:history="1">
        <w:r w:rsidR="00B94F1F" w:rsidRPr="0068632F">
          <w:rPr>
            <w:rStyle w:val="Hyperlink"/>
            <w:rFonts w:ascii="Times New Roman" w:hAnsi="Times New Roman" w:cs="Times New Roman"/>
            <w:lang w:val="bg-BG"/>
          </w:rPr>
          <w:t>Guide on Article 6 : Right to a fair trial (civil limb)</w:t>
        </w:r>
      </w:hyperlink>
      <w:r w:rsidR="00B94F1F" w:rsidRPr="0068632F">
        <w:rPr>
          <w:rFonts w:ascii="Times New Roman" w:hAnsi="Times New Roman" w:cs="Times New Roman"/>
          <w:lang w:val="mk-MK"/>
        </w:rPr>
        <w:t xml:space="preserve">. </w:t>
      </w:r>
    </w:p>
  </w:footnote>
  <w:footnote w:id="439">
    <w:p w14:paraId="782BD15C" w14:textId="04314FB3" w:rsidR="00C8603E" w:rsidRPr="0068632F" w:rsidRDefault="00C8603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65" w:history="1">
        <w:r w:rsidRPr="0068632F">
          <w:rPr>
            <w:rStyle w:val="Hyperlink"/>
            <w:rFonts w:ascii="Times New Roman" w:hAnsi="Times New Roman" w:cs="Times New Roman"/>
            <w:lang w:val="bg-BG"/>
          </w:rPr>
          <w:t>Guide on Article 6 : Right to a fair trial (civil limb)</w:t>
        </w:r>
      </w:hyperlink>
      <w:r w:rsidR="007222E5" w:rsidRPr="0068632F">
        <w:rPr>
          <w:rFonts w:ascii="Times New Roman" w:hAnsi="Times New Roman" w:cs="Times New Roman"/>
          <w:lang w:val="mk-MK"/>
        </w:rPr>
        <w:t xml:space="preserve">, страници 10-11. </w:t>
      </w:r>
    </w:p>
  </w:footnote>
  <w:footnote w:id="440">
    <w:p w14:paraId="7523B964" w14:textId="51E3DED9" w:rsidR="00612AEA" w:rsidRPr="0068632F" w:rsidRDefault="00612AE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41">
    <w:p w14:paraId="4A37A295" w14:textId="6F114569" w:rsidR="004A6529" w:rsidRPr="0068632F" w:rsidRDefault="004A652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66" w:history="1">
        <w:r w:rsidRPr="0068632F">
          <w:rPr>
            <w:rStyle w:val="Hyperlink"/>
            <w:rFonts w:ascii="Times New Roman" w:hAnsi="Times New Roman" w:cs="Times New Roman"/>
            <w:lang w:val="bg-BG"/>
          </w:rPr>
          <w:t>Guide on Article 11 of the Convention – Freedom of assembly and association</w:t>
        </w:r>
      </w:hyperlink>
      <w:r w:rsidRPr="0068632F">
        <w:rPr>
          <w:rFonts w:ascii="Times New Roman" w:hAnsi="Times New Roman" w:cs="Times New Roman"/>
          <w:lang w:val="mk-MK"/>
        </w:rPr>
        <w:t xml:space="preserve">. </w:t>
      </w:r>
    </w:p>
  </w:footnote>
  <w:footnote w:id="442">
    <w:p w14:paraId="01AB3B2D" w14:textId="155E129E" w:rsidR="00514DE2" w:rsidRPr="0068632F" w:rsidRDefault="00514DE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Доколку такво нешто е возможно да постои. </w:t>
      </w:r>
    </w:p>
  </w:footnote>
  <w:footnote w:id="443">
    <w:p w14:paraId="5BF63634" w14:textId="247F894D" w:rsidR="000D4ADE" w:rsidRPr="0068632F" w:rsidRDefault="000D4AD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44">
    <w:p w14:paraId="4AB015DE" w14:textId="318713C2" w:rsidR="00486C42" w:rsidRPr="0068632F" w:rsidRDefault="00486C4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67" w:history="1">
        <w:r w:rsidRPr="0068632F">
          <w:rPr>
            <w:rStyle w:val="Hyperlink"/>
            <w:rFonts w:ascii="Times New Roman" w:hAnsi="Times New Roman" w:cs="Times New Roman"/>
            <w:lang w:val="bg-BG"/>
          </w:rPr>
          <w:t>Guide on Article 14 of the Convention (prohibition of discrimination)</w:t>
        </w:r>
      </w:hyperlink>
      <w:r w:rsidRPr="0068632F">
        <w:rPr>
          <w:rFonts w:ascii="Times New Roman" w:hAnsi="Times New Roman" w:cs="Times New Roman"/>
          <w:lang w:val="mk-MK"/>
        </w:rPr>
        <w:t xml:space="preserve">. </w:t>
      </w:r>
    </w:p>
  </w:footnote>
  <w:footnote w:id="445">
    <w:p w14:paraId="3769C348" w14:textId="6CA310B9" w:rsidR="00F20685" w:rsidRPr="0068632F" w:rsidRDefault="00F2068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Дефинирано во член 11 од ЕКЧП. </w:t>
      </w:r>
    </w:p>
  </w:footnote>
  <w:footnote w:id="446">
    <w:p w14:paraId="4669DF2B" w14:textId="2DB1BC8F" w:rsidR="00013A54" w:rsidRPr="0068632F" w:rsidRDefault="00013A5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47">
    <w:p w14:paraId="27699843" w14:textId="09C97ECF" w:rsidR="00F8391C" w:rsidRPr="0068632F" w:rsidRDefault="00F8391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68" w:history="1">
        <w:r w:rsidRPr="0068632F">
          <w:rPr>
            <w:rStyle w:val="Hyperlink"/>
            <w:rFonts w:ascii="Times New Roman" w:hAnsi="Times New Roman" w:cs="Times New Roman"/>
            <w:lang w:val="bg-BG"/>
          </w:rPr>
          <w:t>Guide on Article 14 of the Convention (prohibition of discrimination)</w:t>
        </w:r>
      </w:hyperlink>
      <w:r w:rsidR="006649E4" w:rsidRPr="0068632F">
        <w:rPr>
          <w:rFonts w:ascii="Times New Roman" w:hAnsi="Times New Roman" w:cs="Times New Roman"/>
          <w:lang w:val="en-US"/>
        </w:rPr>
        <w:t xml:space="preserve">, </w:t>
      </w:r>
      <w:r w:rsidR="006649E4" w:rsidRPr="0068632F">
        <w:rPr>
          <w:rFonts w:ascii="Times New Roman" w:hAnsi="Times New Roman" w:cs="Times New Roman"/>
          <w:lang w:val="mk-MK"/>
        </w:rPr>
        <w:t xml:space="preserve">страници 29-30. </w:t>
      </w:r>
      <w:r w:rsidRPr="0068632F">
        <w:rPr>
          <w:rFonts w:ascii="Times New Roman" w:hAnsi="Times New Roman" w:cs="Times New Roman"/>
          <w:lang w:val="mk-MK"/>
        </w:rPr>
        <w:t xml:space="preserve"> </w:t>
      </w:r>
    </w:p>
  </w:footnote>
  <w:footnote w:id="448">
    <w:p w14:paraId="4AB994A7" w14:textId="316AE7E4" w:rsidR="00ED04E8" w:rsidRPr="0068632F" w:rsidRDefault="00ED04E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50E9A" w:rsidRPr="0068632F">
        <w:rPr>
          <w:rFonts w:ascii="Times New Roman" w:hAnsi="Times New Roman" w:cs="Times New Roman"/>
          <w:lang w:val="mk-MK"/>
        </w:rPr>
        <w:t>Како на пример во Andrejeva v. Latvia, App. No. 55707/00 (Eur. Ct. H.R. 2009), Apostolakis v. Greece, App. No. 33333/09 (Eur. Ct. H.R. 2009) и D.H. and Others v. Czech Republic, App. No. 57325/00 (Eur. Ct. H.R. 2007).</w:t>
      </w:r>
      <w:r w:rsidR="0093028C" w:rsidRPr="0068632F">
        <w:rPr>
          <w:rFonts w:ascii="Times New Roman" w:hAnsi="Times New Roman" w:cs="Times New Roman"/>
          <w:lang w:val="mk-MK"/>
        </w:rPr>
        <w:t xml:space="preserve"> Исто, погледни и Enerji Yapı-Yol Sen v. Turkey, App. No. 68959/01 (Eur. Ct. H.R. 2009), Schuler-Zgraggen v. Switzerland, App. No. 14537/89 (Eur. Ct. H.R. 1993), Stec and Others v. United Kingdom, App. No. 65731/01 (Eur. Ct. H.R. 2006), Wilson, National Union of Journalists and Others v. United Kingdom, App. No. 30668/96 (Eur. Ct. H.R. 2002), Zarb Adami v. Malta, App. No. 17209/02 (Eur. Ct. H.R. 2006)</w:t>
      </w:r>
      <w:r w:rsidR="00DF6F28" w:rsidRPr="0068632F">
        <w:rPr>
          <w:rFonts w:ascii="Times New Roman" w:hAnsi="Times New Roman" w:cs="Times New Roman"/>
          <w:lang w:val="mk-MK"/>
        </w:rPr>
        <w:t>,</w:t>
      </w:r>
      <w:r w:rsidR="0093028C" w:rsidRPr="0068632F">
        <w:rPr>
          <w:rFonts w:ascii="Times New Roman" w:hAnsi="Times New Roman" w:cs="Times New Roman"/>
          <w:lang w:val="mk-MK"/>
        </w:rPr>
        <w:t xml:space="preserve"> Zolotas v. Greece, App. No. 23549/09</w:t>
      </w:r>
      <w:r w:rsidR="00320C4C" w:rsidRPr="0068632F">
        <w:rPr>
          <w:rFonts w:ascii="Times New Roman" w:hAnsi="Times New Roman" w:cs="Times New Roman"/>
          <w:lang w:val="en-US"/>
        </w:rPr>
        <w:t>.</w:t>
      </w:r>
    </w:p>
  </w:footnote>
  <w:footnote w:id="449">
    <w:p w14:paraId="160CE49F" w14:textId="6C2BE116" w:rsidR="009A54B7" w:rsidRPr="0068632F" w:rsidRDefault="009A54B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50">
    <w:p w14:paraId="058DD5B2" w14:textId="7A090BF4" w:rsidR="00DC62C4" w:rsidRPr="0068632F" w:rsidRDefault="00DC62C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4D92" w:rsidRPr="0068632F">
        <w:rPr>
          <w:rFonts w:ascii="Times New Roman" w:hAnsi="Times New Roman" w:cs="Times New Roman"/>
          <w:lang w:val="mk-MK"/>
        </w:rPr>
        <w:t>На пример п</w:t>
      </w:r>
      <w:r w:rsidR="00EB4D92" w:rsidRPr="0068632F">
        <w:rPr>
          <w:rFonts w:ascii="Times New Roman" w:hAnsi="Times New Roman" w:cs="Times New Roman"/>
        </w:rPr>
        <w:t>ензиски права, компензација, одредени договорни бенефиции</w:t>
      </w:r>
      <w:r w:rsidR="00EB4D92" w:rsidRPr="0068632F">
        <w:rPr>
          <w:rFonts w:ascii="Times New Roman" w:hAnsi="Times New Roman" w:cs="Times New Roman"/>
          <w:lang w:val="mk-MK"/>
        </w:rPr>
        <w:t>.</w:t>
      </w:r>
    </w:p>
  </w:footnote>
  <w:footnote w:id="451">
    <w:p w14:paraId="06F74DCD" w14:textId="300B5509" w:rsidR="000A2AE8" w:rsidRPr="0068632F" w:rsidRDefault="000A2AE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Keller, H., &amp; Sweet, A. S. (Eds.). (2008).</w:t>
      </w:r>
    </w:p>
  </w:footnote>
  <w:footnote w:id="452">
    <w:p w14:paraId="300B64AF" w14:textId="23331CB0" w:rsidR="00307ED2" w:rsidRPr="0068632F" w:rsidRDefault="00307ED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на пример Demir and Baykara v. Turkey</w:t>
      </w:r>
      <w:r w:rsidR="00FB37FD" w:rsidRPr="0068632F">
        <w:rPr>
          <w:rFonts w:ascii="Times New Roman" w:hAnsi="Times New Roman" w:cs="Times New Roman"/>
          <w:lang w:val="mk-MK"/>
        </w:rPr>
        <w:t>, каде судот</w:t>
      </w:r>
      <w:r w:rsidRPr="0068632F">
        <w:rPr>
          <w:rFonts w:ascii="Times New Roman" w:hAnsi="Times New Roman" w:cs="Times New Roman"/>
          <w:lang w:val="mk-MK"/>
        </w:rPr>
        <w:t xml:space="preserve"> вели дека член 11 мора да се толкува „во светлина на денешните услови“ и дека синдикалните права се суштински за „демократското општество“.</w:t>
      </w:r>
    </w:p>
  </w:footnote>
  <w:footnote w:id="453">
    <w:p w14:paraId="1FF3EC29" w14:textId="02B28B85" w:rsidR="00EF3B0B" w:rsidRPr="0068632F" w:rsidRDefault="00EF3B0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62E06" w:rsidRPr="0068632F">
        <w:rPr>
          <w:rFonts w:ascii="Times New Roman" w:hAnsi="Times New Roman" w:cs="Times New Roman"/>
        </w:rPr>
        <w:t>Demir and Baykara v Turkey, Merits and just satisfaction, App no 34503/97, (2009) 48 EHRR 54, IHRL 3281</w:t>
      </w:r>
      <w:r w:rsidR="00732176" w:rsidRPr="0068632F">
        <w:rPr>
          <w:rFonts w:ascii="Times New Roman" w:hAnsi="Times New Roman" w:cs="Times New Roman"/>
          <w:lang w:val="en-US"/>
        </w:rPr>
        <w:t>.</w:t>
      </w:r>
    </w:p>
  </w:footnote>
  <w:footnote w:id="454">
    <w:p w14:paraId="33419088" w14:textId="77777777" w:rsidR="00EF3B0B" w:rsidRPr="0068632F" w:rsidRDefault="00EF3B0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Со тоа ЕСЧП, преку еволутивно толкување, го постави концептот на учество на работниците како интегрален дел од демократското општество.</w:t>
      </w:r>
    </w:p>
  </w:footnote>
  <w:footnote w:id="455">
    <w:p w14:paraId="7552828D" w14:textId="5A4DB51D" w:rsidR="00EF3B0B" w:rsidRPr="0068632F" w:rsidRDefault="00EF3B0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E6FC7" w:rsidRPr="0068632F">
        <w:rPr>
          <w:rFonts w:ascii="Times New Roman" w:hAnsi="Times New Roman" w:cs="Times New Roman"/>
          <w:lang w:val="mk-MK"/>
        </w:rPr>
        <w:t xml:space="preserve">Случајот </w:t>
      </w:r>
      <w:r w:rsidR="000E6FC7" w:rsidRPr="0068632F">
        <w:rPr>
          <w:rFonts w:ascii="Times New Roman" w:hAnsi="Times New Roman" w:cs="Times New Roman"/>
          <w:i/>
          <w:iCs/>
          <w:lang w:val="mk-MK"/>
        </w:rPr>
        <w:t xml:space="preserve">Wilson, National Union of Journalists and Others </w:t>
      </w:r>
      <w:r w:rsidR="000E6FC7" w:rsidRPr="0068632F">
        <w:rPr>
          <w:rFonts w:ascii="Times New Roman" w:hAnsi="Times New Roman" w:cs="Times New Roman"/>
          <w:lang w:val="mk-MK"/>
        </w:rPr>
        <w:t xml:space="preserve">од 2002 година се однесува на нарушување на слободата на здружување и правото на синдикално организирање загарантирани со членот 11 од </w:t>
      </w:r>
      <w:r w:rsidR="00E12966" w:rsidRPr="0068632F">
        <w:rPr>
          <w:rFonts w:ascii="Times New Roman" w:hAnsi="Times New Roman" w:cs="Times New Roman"/>
          <w:lang w:val="mk-MK"/>
        </w:rPr>
        <w:t>ЕКЧП</w:t>
      </w:r>
      <w:r w:rsidR="000E6FC7" w:rsidRPr="0068632F">
        <w:rPr>
          <w:rFonts w:ascii="Times New Roman" w:hAnsi="Times New Roman" w:cs="Times New Roman"/>
          <w:lang w:val="mk-MK"/>
        </w:rPr>
        <w:t>. Во овој предмет работодавачите им понудиле на работниците индивидуални договори со подобри услови, доколку тие се откажат од претставување</w:t>
      </w:r>
      <w:r w:rsidR="00F86713" w:rsidRPr="0068632F">
        <w:rPr>
          <w:rFonts w:ascii="Times New Roman" w:hAnsi="Times New Roman" w:cs="Times New Roman"/>
          <w:lang w:val="mk-MK"/>
        </w:rPr>
        <w:t>то</w:t>
      </w:r>
      <w:r w:rsidR="000E6FC7" w:rsidRPr="0068632F">
        <w:rPr>
          <w:rFonts w:ascii="Times New Roman" w:hAnsi="Times New Roman" w:cs="Times New Roman"/>
          <w:lang w:val="mk-MK"/>
        </w:rPr>
        <w:t xml:space="preserve"> преку синдикат. Со тоа</w:t>
      </w:r>
      <w:r w:rsidR="00F86713" w:rsidRPr="0068632F">
        <w:rPr>
          <w:rFonts w:ascii="Times New Roman" w:hAnsi="Times New Roman" w:cs="Times New Roman"/>
          <w:lang w:val="mk-MK"/>
        </w:rPr>
        <w:t>,</w:t>
      </w:r>
      <w:r w:rsidR="000E6FC7" w:rsidRPr="0068632F">
        <w:rPr>
          <w:rFonts w:ascii="Times New Roman" w:hAnsi="Times New Roman" w:cs="Times New Roman"/>
          <w:lang w:val="mk-MK"/>
        </w:rPr>
        <w:t xml:space="preserve"> британската законска рамка дозволила работодавачите индиректно да ги санкционираат или обесхрабрат работниците кои сакаат колективно да се застапуваат преку својот синдикат. Европскиот суд за човекови права утврди</w:t>
      </w:r>
      <w:r w:rsidR="00526000" w:rsidRPr="0068632F">
        <w:rPr>
          <w:rFonts w:ascii="Times New Roman" w:hAnsi="Times New Roman" w:cs="Times New Roman"/>
          <w:lang w:val="mk-MK"/>
        </w:rPr>
        <w:t>л</w:t>
      </w:r>
      <w:r w:rsidR="000E6FC7" w:rsidRPr="0068632F">
        <w:rPr>
          <w:rFonts w:ascii="Times New Roman" w:hAnsi="Times New Roman" w:cs="Times New Roman"/>
          <w:lang w:val="mk-MK"/>
        </w:rPr>
        <w:t xml:space="preserve"> дека таквата практика претставува повреда на членот 11, истакнувајќи дека слободата на здружување не се состои само од правото да се формира или да се биде член на синдикат, туку и од правото синдикатите ефективно да ги застапуваат своите членови. Судот нагласи</w:t>
      </w:r>
      <w:r w:rsidR="00526000" w:rsidRPr="0068632F">
        <w:rPr>
          <w:rFonts w:ascii="Times New Roman" w:hAnsi="Times New Roman" w:cs="Times New Roman"/>
          <w:lang w:val="mk-MK"/>
        </w:rPr>
        <w:t>л</w:t>
      </w:r>
      <w:r w:rsidR="000E6FC7" w:rsidRPr="0068632F">
        <w:rPr>
          <w:rFonts w:ascii="Times New Roman" w:hAnsi="Times New Roman" w:cs="Times New Roman"/>
          <w:lang w:val="mk-MK"/>
        </w:rPr>
        <w:t xml:space="preserve"> дека државите имаат позитивна обврска да создадат регулаторна рамка што ги штити синдикатите од мешања кои ја подриваат нивната функција. Со ова, пресудата ја зацврст</w:t>
      </w:r>
      <w:r w:rsidR="00682FF3" w:rsidRPr="0068632F">
        <w:rPr>
          <w:rFonts w:ascii="Times New Roman" w:hAnsi="Times New Roman" w:cs="Times New Roman"/>
          <w:lang w:val="mk-MK"/>
        </w:rPr>
        <w:t>ува</w:t>
      </w:r>
      <w:r w:rsidR="000E6FC7" w:rsidRPr="0068632F">
        <w:rPr>
          <w:rFonts w:ascii="Times New Roman" w:hAnsi="Times New Roman" w:cs="Times New Roman"/>
          <w:lang w:val="mk-MK"/>
        </w:rPr>
        <w:t xml:space="preserve"> идејата дека корпоративните односи и индивидуалните договори не смеат да се користат за поткопување на колективните права, што ја прави оваа одлука клучна за разбирање на европската заштита на синдикалниот плурализам и колективното преговарање.</w:t>
      </w:r>
    </w:p>
  </w:footnote>
  <w:footnote w:id="456">
    <w:p w14:paraId="57F19420" w14:textId="77777777" w:rsidR="00EF3B0B" w:rsidRPr="0068632F" w:rsidRDefault="00EF3B0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w:t>
      </w:r>
      <w:r w:rsidRPr="0068632F">
        <w:rPr>
          <w:rFonts w:ascii="Times New Roman" w:hAnsi="Times New Roman" w:cs="Times New Roman"/>
        </w:rPr>
        <w:t>собено во контекст на отпуштања, реструктуирања и приватизации</w:t>
      </w:r>
      <w:r w:rsidRPr="0068632F">
        <w:rPr>
          <w:rFonts w:ascii="Times New Roman" w:hAnsi="Times New Roman" w:cs="Times New Roman"/>
          <w:lang w:val="mk-MK"/>
        </w:rPr>
        <w:t>, види ECHR, 2019.</w:t>
      </w:r>
    </w:p>
  </w:footnote>
  <w:footnote w:id="457">
    <w:p w14:paraId="0262FDBC" w14:textId="00FCF8B2" w:rsidR="00545661" w:rsidRPr="0068632F" w:rsidRDefault="0054566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E31D5" w:rsidRPr="0068632F">
        <w:rPr>
          <w:rFonts w:ascii="Times New Roman" w:hAnsi="Times New Roman" w:cs="Times New Roman"/>
          <w:i/>
          <w:iCs/>
        </w:rPr>
        <w:t>Păstorul cel Bun v. Romania</w:t>
      </w:r>
      <w:r w:rsidR="00DE31D5" w:rsidRPr="0068632F">
        <w:rPr>
          <w:rFonts w:ascii="Times New Roman" w:hAnsi="Times New Roman" w:cs="Times New Roman"/>
        </w:rPr>
        <w:t xml:space="preserve"> (2013) [ECtHR no. 2330/09].</w:t>
      </w:r>
    </w:p>
  </w:footnote>
  <w:footnote w:id="458">
    <w:p w14:paraId="1009C9CC" w14:textId="2FF57F95" w:rsidR="00D24FAF" w:rsidRPr="0068632F" w:rsidRDefault="00D24FA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i/>
          <w:iCs/>
        </w:rPr>
        <w:t xml:space="preserve">Păstorul cel Bun </w:t>
      </w:r>
      <w:hyperlink r:id="rId69" w:anchor="{%22itemid%22:[%22001-122763%22]}" w:history="1">
        <w:r w:rsidRPr="0068632F">
          <w:rPr>
            <w:rStyle w:val="Hyperlink"/>
            <w:rFonts w:ascii="Times New Roman" w:hAnsi="Times New Roman" w:cs="Times New Roman"/>
            <w:lang w:val="bg-BG"/>
          </w:rPr>
          <w:t>SINDICATUL "PĂSTORUL CEL BUN" v. ROMANIA</w:t>
        </w:r>
      </w:hyperlink>
      <w:r w:rsidRPr="0068632F">
        <w:rPr>
          <w:rFonts w:ascii="Times New Roman" w:hAnsi="Times New Roman" w:cs="Times New Roman"/>
          <w:lang w:val="en-US"/>
        </w:rPr>
        <w:t xml:space="preserve">, </w:t>
      </w:r>
      <w:r w:rsidRPr="0068632F">
        <w:rPr>
          <w:rFonts w:ascii="Times New Roman" w:hAnsi="Times New Roman" w:cs="Times New Roman"/>
          <w:lang w:val="mk-MK"/>
        </w:rPr>
        <w:t>параграфи 165-173.</w:t>
      </w:r>
    </w:p>
  </w:footnote>
  <w:footnote w:id="459">
    <w:p w14:paraId="0E1529C4" w14:textId="04A8A411" w:rsidR="00F77397" w:rsidRPr="0068632F" w:rsidRDefault="00F7739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Enerji Yapı-Yol Sen v. Turkey, No. 68959/01, ECHR 2009.</w:t>
      </w:r>
    </w:p>
  </w:footnote>
  <w:footnote w:id="460">
    <w:p w14:paraId="7CE143FB" w14:textId="641997C2" w:rsidR="00DA2D76" w:rsidRPr="0068632F" w:rsidRDefault="00DA2D7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Enerji Yapı-Yol Sen v. Turkey</w:t>
      </w:r>
      <w:r w:rsidRPr="0068632F">
        <w:rPr>
          <w:rFonts w:ascii="Times New Roman" w:hAnsi="Times New Roman" w:cs="Times New Roman"/>
          <w:lang w:val="mk-MK"/>
        </w:rPr>
        <w:t>,</w:t>
      </w:r>
      <w:r w:rsidRPr="0068632F">
        <w:rPr>
          <w:rFonts w:ascii="Times New Roman" w:hAnsi="Times New Roman" w:cs="Times New Roman"/>
          <w:lang w:val="bg-BG"/>
        </w:rPr>
        <w:t xml:space="preserve"> </w:t>
      </w:r>
      <w:hyperlink r:id="rId70" w:anchor="{%22itemid%22:[%22001-92266%22]}" w:history="1">
        <w:r w:rsidRPr="0068632F">
          <w:rPr>
            <w:rStyle w:val="Hyperlink"/>
            <w:rFonts w:ascii="Times New Roman" w:hAnsi="Times New Roman" w:cs="Times New Roman"/>
            <w:lang w:val="bg-BG"/>
          </w:rPr>
          <w:t>ENERJI YAPI-YOL SEN c. TURQUIE</w:t>
        </w:r>
      </w:hyperlink>
      <w:r w:rsidRPr="0068632F">
        <w:rPr>
          <w:rFonts w:ascii="Times New Roman" w:hAnsi="Times New Roman" w:cs="Times New Roman"/>
          <w:lang w:val="mk-MK"/>
        </w:rPr>
        <w:t xml:space="preserve">, параграфи </w:t>
      </w:r>
      <w:r w:rsidR="001A6941" w:rsidRPr="0068632F">
        <w:rPr>
          <w:rFonts w:ascii="Times New Roman" w:hAnsi="Times New Roman" w:cs="Times New Roman"/>
          <w:lang w:val="mk-MK"/>
        </w:rPr>
        <w:t>3</w:t>
      </w:r>
      <w:r w:rsidRPr="0068632F">
        <w:rPr>
          <w:rFonts w:ascii="Times New Roman" w:hAnsi="Times New Roman" w:cs="Times New Roman"/>
          <w:lang w:val="mk-MK"/>
        </w:rPr>
        <w:t>5-</w:t>
      </w:r>
      <w:r w:rsidR="001A6941" w:rsidRPr="0068632F">
        <w:rPr>
          <w:rFonts w:ascii="Times New Roman" w:hAnsi="Times New Roman" w:cs="Times New Roman"/>
          <w:lang w:val="mk-MK"/>
        </w:rPr>
        <w:t>41.</w:t>
      </w:r>
    </w:p>
  </w:footnote>
  <w:footnote w:id="461">
    <w:p w14:paraId="1E4C33B6" w14:textId="5C759B96" w:rsidR="00C81550" w:rsidRPr="0068632F" w:rsidRDefault="00C8155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Association of Citizens Radko &amp; Paunkovski v. the Former Yugoslav Republic of Macedonia, no. 74651/01, ECHR 2009-I. The judgment was delivered on January 15, 2009</w:t>
      </w:r>
      <w:r w:rsidRPr="0068632F">
        <w:rPr>
          <w:rFonts w:ascii="Times New Roman" w:hAnsi="Times New Roman" w:cs="Times New Roman"/>
          <w:lang w:val="mk-MK"/>
        </w:rPr>
        <w:t xml:space="preserve">. </w:t>
      </w:r>
    </w:p>
  </w:footnote>
  <w:footnote w:id="462">
    <w:p w14:paraId="2FDFE341" w14:textId="7C810872" w:rsidR="00090F90" w:rsidRPr="0068632F" w:rsidRDefault="00090F9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93081" w:rsidRPr="0068632F">
        <w:rPr>
          <w:rFonts w:ascii="Times New Roman" w:hAnsi="Times New Roman" w:cs="Times New Roman"/>
          <w:lang w:val="mk-MK"/>
        </w:rPr>
        <w:t xml:space="preserve">Види </w:t>
      </w:r>
      <w:hyperlink r:id="rId71" w:history="1">
        <w:r w:rsidR="00093081" w:rsidRPr="0068632F">
          <w:rPr>
            <w:rStyle w:val="Hyperlink"/>
            <w:rFonts w:ascii="Times New Roman" w:hAnsi="Times New Roman" w:cs="Times New Roman"/>
            <w:lang w:val="bg-BG"/>
          </w:rPr>
          <w:t>Guide on Article 11 of the Convention – Freedom of assembly and association</w:t>
        </w:r>
      </w:hyperlink>
      <w:r w:rsidR="00093081" w:rsidRPr="0068632F">
        <w:rPr>
          <w:rFonts w:ascii="Times New Roman" w:hAnsi="Times New Roman" w:cs="Times New Roman"/>
          <w:lang w:val="mk-MK"/>
        </w:rPr>
        <w:t>.</w:t>
      </w:r>
    </w:p>
  </w:footnote>
  <w:footnote w:id="463">
    <w:p w14:paraId="18E57EA7" w14:textId="77777777" w:rsidR="008A3C3B" w:rsidRPr="0068632F" w:rsidRDefault="008A3C3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Council of Europe, European Social Charter, ETS 35, 18 October 1961</w:t>
      </w:r>
      <w:r w:rsidRPr="0068632F">
        <w:rPr>
          <w:rFonts w:ascii="Times New Roman" w:hAnsi="Times New Roman" w:cs="Times New Roman"/>
          <w:lang w:val="en-US"/>
        </w:rPr>
        <w:t>.</w:t>
      </w:r>
    </w:p>
  </w:footnote>
  <w:footnote w:id="464">
    <w:p w14:paraId="75DD8373" w14:textId="0489268F" w:rsidR="00335EF8" w:rsidRPr="0068632F" w:rsidRDefault="00335EF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голем број држави првично одбив</w:t>
      </w:r>
      <w:r w:rsidRPr="0068632F">
        <w:rPr>
          <w:rFonts w:ascii="Times New Roman" w:hAnsi="Times New Roman" w:cs="Times New Roman"/>
          <w:lang w:val="mk-MK"/>
        </w:rPr>
        <w:t>ле</w:t>
      </w:r>
      <w:r w:rsidRPr="0068632F">
        <w:rPr>
          <w:rFonts w:ascii="Times New Roman" w:hAnsi="Times New Roman" w:cs="Times New Roman"/>
        </w:rPr>
        <w:t xml:space="preserve"> да ја ратификуваат</w:t>
      </w:r>
      <w:r w:rsidRPr="0068632F">
        <w:rPr>
          <w:rFonts w:ascii="Times New Roman" w:hAnsi="Times New Roman" w:cs="Times New Roman"/>
          <w:lang w:val="mk-MK"/>
        </w:rPr>
        <w:t xml:space="preserve"> Повелбата</w:t>
      </w:r>
      <w:r w:rsidRPr="0068632F">
        <w:rPr>
          <w:rFonts w:ascii="Times New Roman" w:hAnsi="Times New Roman" w:cs="Times New Roman"/>
        </w:rPr>
        <w:t xml:space="preserve"> стравувајќи дека социјалните права ќе станат судски извршливи на начин сличен на Конвенцијата, што дове</w:t>
      </w:r>
      <w:r w:rsidR="009A3204" w:rsidRPr="0068632F">
        <w:rPr>
          <w:rFonts w:ascii="Times New Roman" w:hAnsi="Times New Roman" w:cs="Times New Roman"/>
          <w:lang w:val="mk-MK"/>
        </w:rPr>
        <w:t>ло</w:t>
      </w:r>
      <w:r w:rsidRPr="0068632F">
        <w:rPr>
          <w:rFonts w:ascii="Times New Roman" w:hAnsi="Times New Roman" w:cs="Times New Roman"/>
        </w:rPr>
        <w:t xml:space="preserve"> до создавање специфичен, поконсенз</w:t>
      </w:r>
      <w:r w:rsidR="009A3204" w:rsidRPr="0068632F">
        <w:rPr>
          <w:rFonts w:ascii="Times New Roman" w:hAnsi="Times New Roman" w:cs="Times New Roman"/>
          <w:lang w:val="mk-MK"/>
        </w:rPr>
        <w:t>уален</w:t>
      </w:r>
      <w:r w:rsidRPr="0068632F">
        <w:rPr>
          <w:rFonts w:ascii="Times New Roman" w:hAnsi="Times New Roman" w:cs="Times New Roman"/>
        </w:rPr>
        <w:t xml:space="preserve"> и постепен механизам на мониторинг наместо суд</w:t>
      </w:r>
      <w:r w:rsidR="009A3204" w:rsidRPr="0068632F">
        <w:rPr>
          <w:rFonts w:ascii="Times New Roman" w:hAnsi="Times New Roman" w:cs="Times New Roman"/>
          <w:lang w:val="mk-MK"/>
        </w:rPr>
        <w:t>.</w:t>
      </w:r>
    </w:p>
  </w:footnote>
  <w:footnote w:id="465">
    <w:p w14:paraId="726A8724" w14:textId="4761DBF1" w:rsidR="00550FD5" w:rsidRPr="0068632F" w:rsidRDefault="00550FD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на пример Rocca, M. (2022). The European Social Charter and the European Union. In The European Social Charter: A Commentary (pp. 375-401). Brill Nijhoff.</w:t>
      </w:r>
    </w:p>
  </w:footnote>
  <w:footnote w:id="466">
    <w:p w14:paraId="63F18568" w14:textId="70050777" w:rsidR="0028497B" w:rsidRPr="0068632F" w:rsidRDefault="0028497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Rocca, M. (2022).</w:t>
      </w:r>
    </w:p>
  </w:footnote>
  <w:footnote w:id="467">
    <w:p w14:paraId="003337CA" w14:textId="77777777" w:rsidR="007C2203" w:rsidRPr="0068632F" w:rsidRDefault="007C220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Bruun, N., Lörcher, K., Schömann, I., &amp; Clauwaert, S. (Eds.). (2017). The European Social Charter and the employment relation. Bloomsbury Publishing.</w:t>
      </w:r>
    </w:p>
  </w:footnote>
  <w:footnote w:id="468">
    <w:p w14:paraId="47EFEE04" w14:textId="77777777" w:rsidR="007C2203" w:rsidRPr="0068632F" w:rsidRDefault="007C220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European Committee on Social Rights, Conclusions 2018</w:t>
      </w:r>
      <w:r w:rsidRPr="0068632F">
        <w:rPr>
          <w:rFonts w:ascii="Times New Roman" w:hAnsi="Times New Roman" w:cs="Times New Roman"/>
          <w:lang w:val="en-US"/>
        </w:rPr>
        <w:t>.</w:t>
      </w:r>
    </w:p>
  </w:footnote>
  <w:footnote w:id="469">
    <w:p w14:paraId="10B863A8" w14:textId="00FB494C" w:rsidR="009A3204" w:rsidRPr="0068632F" w:rsidRDefault="009A320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547A9" w:rsidRPr="0068632F">
        <w:rPr>
          <w:rFonts w:ascii="Times New Roman" w:hAnsi="Times New Roman" w:cs="Times New Roman"/>
          <w:lang w:val="mk-MK"/>
        </w:rPr>
        <w:t xml:space="preserve">Види </w:t>
      </w:r>
      <w:r w:rsidR="008547A9" w:rsidRPr="0068632F">
        <w:rPr>
          <w:rFonts w:ascii="Times New Roman" w:hAnsi="Times New Roman" w:cs="Times New Roman"/>
        </w:rPr>
        <w:t>Bruun, N., Lörcher, K., Schömann, I., &amp; Clauwaert, S. (Eds.). (2017).</w:t>
      </w:r>
    </w:p>
  </w:footnote>
  <w:footnote w:id="470">
    <w:p w14:paraId="1572D4D2" w14:textId="0382D7BB" w:rsidR="00D1243A" w:rsidRPr="0068632F" w:rsidRDefault="00D1243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72" w:history="1">
        <w:r w:rsidRPr="0068632F">
          <w:rPr>
            <w:rStyle w:val="Hyperlink"/>
            <w:rFonts w:ascii="Times New Roman" w:hAnsi="Times New Roman" w:cs="Times New Roman"/>
            <w:lang w:val="bg-BG"/>
          </w:rPr>
          <w:t>Conclusions, Findings and Reviews - Social Rights</w:t>
        </w:r>
      </w:hyperlink>
      <w:r w:rsidRPr="0068632F">
        <w:rPr>
          <w:rFonts w:ascii="Times New Roman" w:hAnsi="Times New Roman" w:cs="Times New Roman"/>
          <w:lang w:val="mk-MK"/>
        </w:rPr>
        <w:t xml:space="preserve">. </w:t>
      </w:r>
    </w:p>
  </w:footnote>
  <w:footnote w:id="471">
    <w:p w14:paraId="7EBB822D" w14:textId="1D022011" w:rsidR="00A71AF2" w:rsidRPr="0068632F" w:rsidRDefault="00A71AF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F532A" w:rsidRPr="0068632F">
        <w:rPr>
          <w:rFonts w:ascii="Times New Roman" w:hAnsi="Times New Roman" w:cs="Times New Roman"/>
          <w:lang w:val="mk-MK"/>
        </w:rPr>
        <w:t xml:space="preserve">Види </w:t>
      </w:r>
      <w:r w:rsidR="00DF532A" w:rsidRPr="0068632F">
        <w:rPr>
          <w:rFonts w:ascii="Times New Roman" w:hAnsi="Times New Roman" w:cs="Times New Roman"/>
          <w:lang w:val="bg-BG"/>
        </w:rPr>
        <w:t>De Schutter, O., &amp; Sant'Ana, M. (2012). The European Committee of Social Rights (the ECSR). In </w:t>
      </w:r>
      <w:r w:rsidR="00DF532A" w:rsidRPr="0068632F">
        <w:rPr>
          <w:rFonts w:ascii="Times New Roman" w:hAnsi="Times New Roman" w:cs="Times New Roman"/>
          <w:i/>
          <w:iCs/>
          <w:lang w:val="bg-BG"/>
        </w:rPr>
        <w:t>Human Rights Monitoring Mechanisms of the Council of Europe</w:t>
      </w:r>
      <w:r w:rsidR="00DF532A" w:rsidRPr="0068632F">
        <w:rPr>
          <w:rFonts w:ascii="Times New Roman" w:hAnsi="Times New Roman" w:cs="Times New Roman"/>
          <w:lang w:val="bg-BG"/>
        </w:rPr>
        <w:t> (pp. 71-99). Routledge.</w:t>
      </w:r>
    </w:p>
  </w:footnote>
  <w:footnote w:id="472">
    <w:p w14:paraId="7C11DD31" w14:textId="4D312AD3" w:rsidR="00127452" w:rsidRPr="0068632F" w:rsidRDefault="0012745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bg-BG"/>
        </w:rPr>
        <w:t>De Schutter, O., &amp; Sant'Ana, M. (2012).</w:t>
      </w:r>
    </w:p>
  </w:footnote>
  <w:footnote w:id="473">
    <w:p w14:paraId="3B37B47F" w14:textId="207BAF62" w:rsidR="005B68C1" w:rsidRPr="0068632F" w:rsidRDefault="005B68C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73" w:history="1">
        <w:r w:rsidRPr="0068632F">
          <w:rPr>
            <w:rStyle w:val="Hyperlink"/>
            <w:rFonts w:ascii="Times New Roman" w:hAnsi="Times New Roman" w:cs="Times New Roman"/>
            <w:lang w:val="bg-BG"/>
          </w:rPr>
          <w:t>European Committee of Social Rights - Social Rights</w:t>
        </w:r>
      </w:hyperlink>
      <w:r w:rsidRPr="0068632F">
        <w:rPr>
          <w:rFonts w:ascii="Times New Roman" w:hAnsi="Times New Roman" w:cs="Times New Roman"/>
          <w:lang w:val="mk-MK"/>
        </w:rPr>
        <w:t xml:space="preserve">. </w:t>
      </w:r>
    </w:p>
  </w:footnote>
  <w:footnote w:id="474">
    <w:p w14:paraId="29CD4CB7" w14:textId="6F102449" w:rsidR="000F6717" w:rsidRPr="0068632F" w:rsidRDefault="000F671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rPr>
        <w:t>Bruun, N., Lörcher, K., Schömann, I., &amp; Clauwaert, S. (Eds.). (2017).</w:t>
      </w:r>
    </w:p>
  </w:footnote>
  <w:footnote w:id="475">
    <w:p w14:paraId="41500EAA" w14:textId="13175A68" w:rsidR="00952DC2" w:rsidRPr="0068632F" w:rsidRDefault="00952DC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C058D" w:rsidRPr="0068632F">
        <w:rPr>
          <w:rFonts w:ascii="Times New Roman" w:hAnsi="Times New Roman" w:cs="Times New Roman"/>
          <w:lang w:val="mk-MK"/>
        </w:rPr>
        <w:t>Види Rocca, M. (2022).</w:t>
      </w:r>
    </w:p>
  </w:footnote>
  <w:footnote w:id="476">
    <w:p w14:paraId="15228119" w14:textId="7E75F445" w:rsidR="00ED5BE4" w:rsidRPr="0068632F" w:rsidRDefault="00ED5BE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bg-BG"/>
        </w:rPr>
        <w:t>De Schutter, O., &amp; Sant'Ana, M. (2012).</w:t>
      </w:r>
    </w:p>
  </w:footnote>
  <w:footnote w:id="477">
    <w:p w14:paraId="7017A0D1" w14:textId="3F563C3A" w:rsidR="0016450E" w:rsidRPr="0068632F" w:rsidRDefault="0016450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Особено во однос на </w:t>
      </w:r>
      <w:r w:rsidR="00A865F1" w:rsidRPr="0068632F">
        <w:rPr>
          <w:rFonts w:ascii="Times New Roman" w:hAnsi="Times New Roman" w:cs="Times New Roman"/>
          <w:lang w:val="mk-MK"/>
        </w:rPr>
        <w:t xml:space="preserve">оваа докторска дисертација. </w:t>
      </w:r>
    </w:p>
  </w:footnote>
  <w:footnote w:id="478">
    <w:p w14:paraId="095A1E2E" w14:textId="7C982BBB" w:rsidR="00B55010" w:rsidRPr="0068632F" w:rsidRDefault="00B5501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на пример: </w:t>
      </w:r>
      <w:hyperlink r:id="rId74" w:history="1">
        <w:r w:rsidRPr="0068632F">
          <w:rPr>
            <w:rStyle w:val="Hyperlink"/>
            <w:rFonts w:ascii="Times New Roman" w:hAnsi="Times New Roman" w:cs="Times New Roman"/>
            <w:lang w:val="bg-BG"/>
          </w:rPr>
          <w:t>1680a8c31f</w:t>
        </w:r>
      </w:hyperlink>
      <w:r w:rsidRPr="0068632F">
        <w:rPr>
          <w:rFonts w:ascii="Times New Roman" w:hAnsi="Times New Roman" w:cs="Times New Roman"/>
          <w:lang w:val="mk-MK"/>
        </w:rPr>
        <w:t xml:space="preserve">. </w:t>
      </w:r>
    </w:p>
  </w:footnote>
  <w:footnote w:id="479">
    <w:p w14:paraId="730857E8" w14:textId="32B66F30" w:rsidR="003043C9" w:rsidRPr="0068632F" w:rsidRDefault="003043C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30EBE" w:rsidRPr="0068632F">
        <w:rPr>
          <w:rFonts w:ascii="Times New Roman" w:hAnsi="Times New Roman" w:cs="Times New Roman"/>
          <w:lang w:val="mk-MK"/>
        </w:rPr>
        <w:t xml:space="preserve">Види за споредба: </w:t>
      </w:r>
      <w:hyperlink r:id="rId75" w:history="1">
        <w:r w:rsidR="00E30EBE" w:rsidRPr="0068632F">
          <w:rPr>
            <w:rStyle w:val="Hyperlink"/>
            <w:rFonts w:ascii="Times New Roman" w:hAnsi="Times New Roman" w:cs="Times New Roman"/>
            <w:lang w:val="bg-BG"/>
          </w:rPr>
          <w:t>Анализа на квалитет и воедначеност на судските одлуки во кривично-правната област - EPI</w:t>
        </w:r>
      </w:hyperlink>
      <w:r w:rsidR="00E30EBE" w:rsidRPr="0068632F">
        <w:rPr>
          <w:rFonts w:ascii="Times New Roman" w:hAnsi="Times New Roman" w:cs="Times New Roman"/>
          <w:lang w:val="mk-MK"/>
        </w:rPr>
        <w:t xml:space="preserve">. </w:t>
      </w:r>
    </w:p>
  </w:footnote>
  <w:footnote w:id="480">
    <w:p w14:paraId="18AAAD2B" w14:textId="54142D95" w:rsidR="000553A0" w:rsidRPr="0068632F" w:rsidRDefault="000553A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на пример: </w:t>
      </w:r>
      <w:hyperlink r:id="rId76" w:history="1">
        <w:r w:rsidRPr="0068632F">
          <w:rPr>
            <w:rStyle w:val="Hyperlink"/>
            <w:rFonts w:ascii="Times New Roman" w:hAnsi="Times New Roman" w:cs="Times New Roman"/>
            <w:lang w:val="bg-BG"/>
          </w:rPr>
          <w:t>1680a8c31f</w:t>
        </w:r>
      </w:hyperlink>
      <w:r w:rsidRPr="0068632F">
        <w:rPr>
          <w:rFonts w:ascii="Times New Roman" w:hAnsi="Times New Roman" w:cs="Times New Roman"/>
          <w:lang w:val="mk-MK"/>
        </w:rPr>
        <w:t>.</w:t>
      </w:r>
    </w:p>
  </w:footnote>
  <w:footnote w:id="481">
    <w:p w14:paraId="5CFF1292" w14:textId="4D90F37B" w:rsidR="006B21D0" w:rsidRPr="0068632F" w:rsidRDefault="006B21D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и </w:t>
      </w:r>
      <w:hyperlink r:id="rId77" w:history="1">
        <w:r w:rsidRPr="0068632F">
          <w:rPr>
            <w:rStyle w:val="Hyperlink"/>
            <w:rFonts w:ascii="Times New Roman" w:hAnsi="Times New Roman" w:cs="Times New Roman"/>
            <w:lang w:val="bg-BG"/>
          </w:rPr>
          <w:t>Извршување на пресудите на ЕСЧП во Северна Македонија - Rule of Law Platform</w:t>
        </w:r>
      </w:hyperlink>
      <w:r w:rsidRPr="0068632F">
        <w:rPr>
          <w:rFonts w:ascii="Times New Roman" w:hAnsi="Times New Roman" w:cs="Times New Roman"/>
          <w:lang w:val="mk-MK"/>
        </w:rPr>
        <w:t xml:space="preserve">. </w:t>
      </w:r>
    </w:p>
  </w:footnote>
  <w:footnote w:id="482">
    <w:p w14:paraId="3F34C99F" w14:textId="0C819154" w:rsidR="00197029" w:rsidRPr="0068632F" w:rsidRDefault="0019702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02B64" w:rsidRPr="0068632F">
        <w:rPr>
          <w:rFonts w:ascii="Times New Roman" w:hAnsi="Times New Roman" w:cs="Times New Roman"/>
          <w:lang w:val="mk-MK"/>
        </w:rPr>
        <w:t xml:space="preserve">Пристапот на Македонија може да се забележи во: </w:t>
      </w:r>
      <w:hyperlink r:id="rId78" w:history="1">
        <w:r w:rsidR="00902B64" w:rsidRPr="0068632F">
          <w:rPr>
            <w:rStyle w:val="Hyperlink"/>
            <w:rFonts w:ascii="Times New Roman" w:hAnsi="Times New Roman" w:cs="Times New Roman"/>
            <w:lang w:val="bg-BG"/>
          </w:rPr>
          <w:t>1680a2b0b0</w:t>
        </w:r>
      </w:hyperlink>
      <w:r w:rsidR="00902B64" w:rsidRPr="0068632F">
        <w:rPr>
          <w:rFonts w:ascii="Times New Roman" w:hAnsi="Times New Roman" w:cs="Times New Roman"/>
          <w:lang w:val="mk-MK"/>
        </w:rPr>
        <w:t xml:space="preserve">. </w:t>
      </w:r>
    </w:p>
  </w:footnote>
  <w:footnote w:id="483">
    <w:p w14:paraId="0E1871F2" w14:textId="77777777" w:rsidR="00A828CC" w:rsidRPr="0068632F" w:rsidRDefault="00A828C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Barnard, C., &amp; Deakin, S. (2003). Reinventing the European corporation? Corporate governance, social policy and the single market. Corporate Governance, Social Policy and the Single Market.</w:t>
      </w:r>
    </w:p>
  </w:footnote>
  <w:footnote w:id="484">
    <w:p w14:paraId="0FF067D3" w14:textId="64F2D104" w:rsidR="00A828CC" w:rsidRPr="0068632F" w:rsidRDefault="00A828C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Barnard, C., &amp; Deakin, S. (2003).</w:t>
      </w:r>
    </w:p>
  </w:footnote>
  <w:footnote w:id="485">
    <w:p w14:paraId="1C82FEAF" w14:textId="4CCCC5C3" w:rsidR="00636200" w:rsidRPr="0068632F" w:rsidRDefault="0063620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79" w:history="1">
        <w:r w:rsidRPr="0068632F">
          <w:rPr>
            <w:rStyle w:val="Hyperlink"/>
            <w:rFonts w:ascii="Times New Roman" w:hAnsi="Times New Roman" w:cs="Times New Roman"/>
            <w:lang w:val="bg-BG"/>
          </w:rPr>
          <w:t>Directive - 98/59 - EN - EUR-Lex</w:t>
        </w:r>
      </w:hyperlink>
      <w:r w:rsidRPr="0068632F">
        <w:rPr>
          <w:rFonts w:ascii="Times New Roman" w:hAnsi="Times New Roman" w:cs="Times New Roman"/>
          <w:lang w:val="mk-MK"/>
        </w:rPr>
        <w:t xml:space="preserve">. </w:t>
      </w:r>
    </w:p>
  </w:footnote>
  <w:footnote w:id="486">
    <w:p w14:paraId="43554468" w14:textId="77777777" w:rsidR="00722BCC" w:rsidRPr="0068632F" w:rsidRDefault="00722BC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80" w:history="1">
        <w:r w:rsidRPr="0068632F">
          <w:rPr>
            <w:rStyle w:val="Hyperlink"/>
            <w:rFonts w:ascii="Times New Roman" w:hAnsi="Times New Roman" w:cs="Times New Roman"/>
            <w:lang w:val="bg-BG"/>
          </w:rPr>
          <w:t>Directive - 2001/23 - EN - EUR-Lex</w:t>
        </w:r>
      </w:hyperlink>
      <w:r w:rsidRPr="0068632F">
        <w:rPr>
          <w:rFonts w:ascii="Times New Roman" w:hAnsi="Times New Roman" w:cs="Times New Roman"/>
          <w:lang w:val="mk-MK"/>
        </w:rPr>
        <w:t xml:space="preserve">. </w:t>
      </w:r>
    </w:p>
  </w:footnote>
  <w:footnote w:id="487">
    <w:p w14:paraId="304FE010" w14:textId="585FFC24" w:rsidR="00AB0706" w:rsidRPr="0068632F" w:rsidRDefault="00AB07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Достапно на: </w:t>
      </w:r>
      <w:hyperlink r:id="rId81" w:history="1">
        <w:r w:rsidRPr="0068632F">
          <w:rPr>
            <w:rStyle w:val="Hyperlink"/>
            <w:rFonts w:ascii="Times New Roman" w:hAnsi="Times New Roman" w:cs="Times New Roman"/>
            <w:lang w:val="bg-BG"/>
          </w:rPr>
          <w:t>Regulation - 2157/2001 - EN - societas Europaea - EUR-Lex</w:t>
        </w:r>
      </w:hyperlink>
      <w:r w:rsidRPr="0068632F">
        <w:rPr>
          <w:rFonts w:ascii="Times New Roman" w:hAnsi="Times New Roman" w:cs="Times New Roman"/>
          <w:lang w:val="mk-MK"/>
        </w:rPr>
        <w:t xml:space="preserve">. </w:t>
      </w:r>
    </w:p>
  </w:footnote>
  <w:footnote w:id="488">
    <w:p w14:paraId="09C086DC" w14:textId="6EFA20A1" w:rsidR="00AB0706" w:rsidRPr="0068632F" w:rsidRDefault="00AB07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A062F" w:rsidRPr="0068632F">
        <w:rPr>
          <w:rFonts w:ascii="Times New Roman" w:hAnsi="Times New Roman" w:cs="Times New Roman"/>
          <w:lang w:val="mk-MK"/>
        </w:rPr>
        <w:t xml:space="preserve">Достапно на: </w:t>
      </w:r>
      <w:hyperlink r:id="rId82" w:history="1">
        <w:r w:rsidR="00AA062F" w:rsidRPr="0068632F">
          <w:rPr>
            <w:rStyle w:val="Hyperlink"/>
            <w:rFonts w:ascii="Times New Roman" w:hAnsi="Times New Roman" w:cs="Times New Roman"/>
            <w:lang w:val="bg-BG"/>
          </w:rPr>
          <w:t>Directive - 2001/86 - EN - EUR-Lex</w:t>
        </w:r>
      </w:hyperlink>
      <w:r w:rsidR="00AA062F" w:rsidRPr="0068632F">
        <w:rPr>
          <w:rFonts w:ascii="Times New Roman" w:hAnsi="Times New Roman" w:cs="Times New Roman"/>
          <w:lang w:val="mk-MK"/>
        </w:rPr>
        <w:t xml:space="preserve">. </w:t>
      </w:r>
    </w:p>
  </w:footnote>
  <w:footnote w:id="489">
    <w:p w14:paraId="6B8AB7D9" w14:textId="2FDDBC62" w:rsidR="00D352D7" w:rsidRPr="0068632F" w:rsidRDefault="00D352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w:t>
      </w:r>
      <w:r w:rsidR="00F326E4" w:rsidRPr="0068632F">
        <w:rPr>
          <w:rFonts w:ascii="Times New Roman" w:hAnsi="Times New Roman" w:cs="Times New Roman"/>
          <w:lang w:val="mk-MK"/>
        </w:rPr>
        <w:t xml:space="preserve">: </w:t>
      </w:r>
      <w:hyperlink r:id="rId83" w:history="1">
        <w:r w:rsidR="00F326E4" w:rsidRPr="0068632F">
          <w:rPr>
            <w:rStyle w:val="Hyperlink"/>
            <w:rFonts w:ascii="Times New Roman" w:hAnsi="Times New Roman" w:cs="Times New Roman"/>
            <w:lang w:val="bg-BG"/>
          </w:rPr>
          <w:t>Directive - 2002/14 - EN - EUR-Lex</w:t>
        </w:r>
      </w:hyperlink>
      <w:r w:rsidR="00F326E4" w:rsidRPr="0068632F">
        <w:rPr>
          <w:rFonts w:ascii="Times New Roman" w:hAnsi="Times New Roman" w:cs="Times New Roman"/>
          <w:lang w:val="mk-MK"/>
        </w:rPr>
        <w:t xml:space="preserve">. </w:t>
      </w:r>
    </w:p>
  </w:footnote>
  <w:footnote w:id="490">
    <w:p w14:paraId="1F2E1BE3" w14:textId="45FD3C4E" w:rsidR="006A4665" w:rsidRPr="0068632F" w:rsidRDefault="006A466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941DC" w:rsidRPr="0068632F">
        <w:rPr>
          <w:rFonts w:ascii="Times New Roman" w:hAnsi="Times New Roman" w:cs="Times New Roman"/>
          <w:lang w:val="mk-MK"/>
        </w:rPr>
        <w:t xml:space="preserve">Види: </w:t>
      </w:r>
      <w:hyperlink r:id="rId84" w:history="1">
        <w:r w:rsidR="00B941DC" w:rsidRPr="0068632F">
          <w:rPr>
            <w:rStyle w:val="Hyperlink"/>
            <w:rFonts w:ascii="Times New Roman" w:hAnsi="Times New Roman" w:cs="Times New Roman"/>
            <w:lang w:val="bg-BG"/>
          </w:rPr>
          <w:t>Regulation - 1435/2003 - EN - EUR-Lex</w:t>
        </w:r>
      </w:hyperlink>
      <w:r w:rsidR="00B941DC" w:rsidRPr="0068632F">
        <w:rPr>
          <w:rFonts w:ascii="Times New Roman" w:hAnsi="Times New Roman" w:cs="Times New Roman"/>
          <w:lang w:val="mk-MK"/>
        </w:rPr>
        <w:t xml:space="preserve">. </w:t>
      </w:r>
    </w:p>
  </w:footnote>
  <w:footnote w:id="491">
    <w:p w14:paraId="6CD1C73A" w14:textId="5E0A0EA2" w:rsidR="006A4665" w:rsidRPr="0068632F" w:rsidRDefault="006A466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829C5" w:rsidRPr="0068632F">
        <w:rPr>
          <w:rFonts w:ascii="Times New Roman" w:hAnsi="Times New Roman" w:cs="Times New Roman"/>
          <w:lang w:val="mk-MK"/>
        </w:rPr>
        <w:t xml:space="preserve">Види: </w:t>
      </w:r>
      <w:hyperlink r:id="rId85" w:history="1">
        <w:r w:rsidR="00F829C5" w:rsidRPr="0068632F">
          <w:rPr>
            <w:rStyle w:val="Hyperlink"/>
            <w:rFonts w:ascii="Times New Roman" w:hAnsi="Times New Roman" w:cs="Times New Roman"/>
            <w:lang w:val="bg-BG"/>
          </w:rPr>
          <w:t>Directive - 2003/72 - EN - EUR-Lex</w:t>
        </w:r>
      </w:hyperlink>
      <w:r w:rsidR="00F829C5" w:rsidRPr="0068632F">
        <w:rPr>
          <w:rFonts w:ascii="Times New Roman" w:hAnsi="Times New Roman" w:cs="Times New Roman"/>
          <w:lang w:val="mk-MK"/>
        </w:rPr>
        <w:t xml:space="preserve">. </w:t>
      </w:r>
    </w:p>
  </w:footnote>
  <w:footnote w:id="492">
    <w:p w14:paraId="10A02558" w14:textId="7C343D80" w:rsidR="00826765" w:rsidRPr="0068632F" w:rsidRDefault="0082676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37C85" w:rsidRPr="0068632F">
        <w:rPr>
          <w:rFonts w:ascii="Times New Roman" w:hAnsi="Times New Roman" w:cs="Times New Roman"/>
          <w:lang w:val="mk-MK"/>
        </w:rPr>
        <w:t xml:space="preserve">Достапно на: </w:t>
      </w:r>
      <w:hyperlink r:id="rId86" w:history="1">
        <w:r w:rsidR="00837C85" w:rsidRPr="0068632F">
          <w:rPr>
            <w:rStyle w:val="Hyperlink"/>
            <w:rFonts w:ascii="Times New Roman" w:hAnsi="Times New Roman" w:cs="Times New Roman"/>
            <w:lang w:val="bg-BG"/>
          </w:rPr>
          <w:t>Directive - 2009/38 - EN - Transnational Works Council Directive - EUR-Lex</w:t>
        </w:r>
      </w:hyperlink>
      <w:r w:rsidR="00837C85" w:rsidRPr="0068632F">
        <w:rPr>
          <w:rFonts w:ascii="Times New Roman" w:hAnsi="Times New Roman" w:cs="Times New Roman"/>
          <w:lang w:val="mk-MK"/>
        </w:rPr>
        <w:t xml:space="preserve">. </w:t>
      </w:r>
    </w:p>
  </w:footnote>
  <w:footnote w:id="493">
    <w:p w14:paraId="6AD8B97E" w14:textId="49861146" w:rsidR="00856146" w:rsidRPr="0068632F" w:rsidRDefault="0085614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87" w:history="1">
        <w:r w:rsidRPr="0068632F">
          <w:rPr>
            <w:rStyle w:val="Hyperlink"/>
            <w:rFonts w:ascii="Times New Roman" w:hAnsi="Times New Roman" w:cs="Times New Roman"/>
            <w:lang w:val="bg-BG"/>
          </w:rPr>
          <w:t>Directive - 2013/34 - EN - ifrs - EUR-Lex</w:t>
        </w:r>
      </w:hyperlink>
      <w:r w:rsidRPr="0068632F">
        <w:rPr>
          <w:rFonts w:ascii="Times New Roman" w:hAnsi="Times New Roman" w:cs="Times New Roman"/>
          <w:lang w:val="mk-MK"/>
        </w:rPr>
        <w:t>.</w:t>
      </w:r>
    </w:p>
  </w:footnote>
  <w:footnote w:id="494">
    <w:p w14:paraId="39780741" w14:textId="24296A72" w:rsidR="00170537" w:rsidRPr="0068632F" w:rsidRDefault="0017053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62C63" w:rsidRPr="0068632F">
        <w:rPr>
          <w:rFonts w:ascii="Times New Roman" w:hAnsi="Times New Roman" w:cs="Times New Roman"/>
          <w:lang w:val="mk-MK"/>
        </w:rPr>
        <w:t xml:space="preserve">Види: </w:t>
      </w:r>
      <w:hyperlink r:id="rId88" w:history="1">
        <w:r w:rsidR="00662C63" w:rsidRPr="0068632F">
          <w:rPr>
            <w:rStyle w:val="Hyperlink"/>
            <w:rFonts w:ascii="Times New Roman" w:hAnsi="Times New Roman" w:cs="Times New Roman"/>
            <w:lang w:val="bg-BG"/>
          </w:rPr>
          <w:t>Directive - 2014/95 - EN - NFRD - EUR-Lex</w:t>
        </w:r>
      </w:hyperlink>
      <w:r w:rsidR="00662C63" w:rsidRPr="0068632F">
        <w:rPr>
          <w:rFonts w:ascii="Times New Roman" w:hAnsi="Times New Roman" w:cs="Times New Roman"/>
          <w:lang w:val="mk-MK"/>
        </w:rPr>
        <w:t xml:space="preserve">. </w:t>
      </w:r>
    </w:p>
  </w:footnote>
  <w:footnote w:id="495">
    <w:p w14:paraId="60D33609" w14:textId="3CBBF863" w:rsidR="002A1F91" w:rsidRPr="0068632F" w:rsidRDefault="002A1F9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85D4A" w:rsidRPr="0068632F">
        <w:rPr>
          <w:rFonts w:ascii="Times New Roman" w:hAnsi="Times New Roman" w:cs="Times New Roman"/>
          <w:lang w:val="mk-MK"/>
        </w:rPr>
        <w:t xml:space="preserve">Види: </w:t>
      </w:r>
      <w:hyperlink r:id="rId89" w:history="1">
        <w:r w:rsidR="00B85D4A" w:rsidRPr="0068632F">
          <w:rPr>
            <w:rStyle w:val="Hyperlink"/>
            <w:rFonts w:ascii="Times New Roman" w:hAnsi="Times New Roman" w:cs="Times New Roman"/>
            <w:lang w:val="bg-BG"/>
          </w:rPr>
          <w:t>Directive - 2022/2464 - EN - CSRD Directive - EUR-Lex</w:t>
        </w:r>
      </w:hyperlink>
      <w:r w:rsidR="00B85D4A" w:rsidRPr="0068632F">
        <w:rPr>
          <w:rFonts w:ascii="Times New Roman" w:hAnsi="Times New Roman" w:cs="Times New Roman"/>
          <w:lang w:val="mk-MK"/>
        </w:rPr>
        <w:t xml:space="preserve">. </w:t>
      </w:r>
    </w:p>
  </w:footnote>
  <w:footnote w:id="496">
    <w:p w14:paraId="7BD91D59" w14:textId="78D7825D" w:rsidR="000F2D04" w:rsidRPr="0068632F" w:rsidRDefault="000F2D0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D25EE" w:rsidRPr="0068632F">
        <w:rPr>
          <w:rFonts w:ascii="Times New Roman" w:hAnsi="Times New Roman" w:cs="Times New Roman"/>
          <w:lang w:val="mk-MK"/>
        </w:rPr>
        <w:t>Најчесто надзорни одбори.</w:t>
      </w:r>
    </w:p>
  </w:footnote>
  <w:footnote w:id="497">
    <w:p w14:paraId="44C35558" w14:textId="24F570D6" w:rsidR="00B05928" w:rsidRPr="0068632F" w:rsidRDefault="00B0592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E0A16" w:rsidRPr="0068632F">
        <w:rPr>
          <w:rFonts w:ascii="Times New Roman" w:hAnsi="Times New Roman" w:cs="Times New Roman"/>
          <w:lang w:val="mk-MK"/>
        </w:rPr>
        <w:t xml:space="preserve">Види: </w:t>
      </w:r>
      <w:hyperlink r:id="rId90" w:history="1">
        <w:r w:rsidR="006E0A16" w:rsidRPr="0068632F">
          <w:rPr>
            <w:rStyle w:val="Hyperlink"/>
            <w:rFonts w:ascii="Times New Roman" w:hAnsi="Times New Roman" w:cs="Times New Roman"/>
            <w:lang w:val="bg-BG"/>
          </w:rPr>
          <w:t>Directive - 2022/2381 - EN - EUR-Lex</w:t>
        </w:r>
      </w:hyperlink>
      <w:r w:rsidR="006E0A16" w:rsidRPr="0068632F">
        <w:rPr>
          <w:rFonts w:ascii="Times New Roman" w:hAnsi="Times New Roman" w:cs="Times New Roman"/>
          <w:lang w:val="mk-MK"/>
        </w:rPr>
        <w:t xml:space="preserve">. </w:t>
      </w:r>
    </w:p>
  </w:footnote>
  <w:footnote w:id="498">
    <w:p w14:paraId="438E2B60" w14:textId="584602C4" w:rsidR="0087763D" w:rsidRPr="0068632F" w:rsidRDefault="0087763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810C0" w:rsidRPr="0068632F">
        <w:rPr>
          <w:rFonts w:ascii="Times New Roman" w:hAnsi="Times New Roman" w:cs="Times New Roman"/>
          <w:lang w:val="mk-MK"/>
        </w:rPr>
        <w:t xml:space="preserve">Член 94-а од </w:t>
      </w:r>
      <w:r w:rsidR="0062700B" w:rsidRPr="0068632F">
        <w:rPr>
          <w:rFonts w:ascii="Times New Roman" w:hAnsi="Times New Roman" w:cs="Times New Roman"/>
          <w:lang w:val="mk-MK"/>
        </w:rPr>
        <w:t>ЗРО</w:t>
      </w:r>
      <w:r w:rsidR="005810C0" w:rsidRPr="0068632F">
        <w:rPr>
          <w:rFonts w:ascii="Times New Roman" w:hAnsi="Times New Roman" w:cs="Times New Roman"/>
          <w:lang w:val="mk-MK"/>
        </w:rPr>
        <w:t xml:space="preserve">. </w:t>
      </w:r>
      <w:r w:rsidR="00E32D67" w:rsidRPr="0068632F">
        <w:rPr>
          <w:rFonts w:ascii="Times New Roman" w:hAnsi="Times New Roman" w:cs="Times New Roman"/>
          <w:lang w:val="mk-MK"/>
        </w:rPr>
        <w:t>Обврската за информирање и консултирање се однесува на трговско друштво, јавно претпријатие и друго правно лице што имаат над 50 работници и на установи што имаат над 20 работници.</w:t>
      </w:r>
    </w:p>
  </w:footnote>
  <w:footnote w:id="499">
    <w:p w14:paraId="2407F59C" w14:textId="1AB96FE9" w:rsidR="00B8287F" w:rsidRPr="0068632F" w:rsidRDefault="00B8287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На пример, член 95 од Законот за работните односи предвидува само </w:t>
      </w:r>
      <w:r w:rsidR="0062700B" w:rsidRPr="0068632F">
        <w:rPr>
          <w:rFonts w:ascii="Times New Roman" w:hAnsi="Times New Roman" w:cs="Times New Roman"/>
          <w:lang w:val="mk-MK"/>
        </w:rPr>
        <w:t>и</w:t>
      </w:r>
      <w:r w:rsidRPr="0068632F">
        <w:rPr>
          <w:rFonts w:ascii="Times New Roman" w:hAnsi="Times New Roman" w:cs="Times New Roman"/>
          <w:lang w:val="mk-MK"/>
        </w:rPr>
        <w:t>нформирање и консултирање при колективни отпуштања од деловни причини</w:t>
      </w:r>
      <w:r w:rsidR="0062700B" w:rsidRPr="0068632F">
        <w:rPr>
          <w:rFonts w:ascii="Times New Roman" w:hAnsi="Times New Roman" w:cs="Times New Roman"/>
          <w:lang w:val="mk-MK"/>
        </w:rPr>
        <w:t>.</w:t>
      </w:r>
    </w:p>
  </w:footnote>
  <w:footnote w:id="500">
    <w:p w14:paraId="1B18406D" w14:textId="121740FF" w:rsidR="0032263B" w:rsidRPr="0068632F" w:rsidRDefault="0032263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Македонија усвои Закон за Европски работнички совет уште во 2012 година („Службен весник на Република Македонија“ бр. 6/2012 и 147/2015). </w:t>
      </w:r>
    </w:p>
  </w:footnote>
  <w:footnote w:id="501">
    <w:p w14:paraId="22AC899F" w14:textId="7267C6AC" w:rsidR="001B2B35" w:rsidRPr="0068632F" w:rsidRDefault="001B2B3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F2BB0" w:rsidRPr="0068632F">
        <w:rPr>
          <w:rFonts w:ascii="Times New Roman" w:hAnsi="Times New Roman" w:cs="Times New Roman"/>
        </w:rPr>
        <w:t>United Nations Human Rights Council. (2011). United Nations guiding principles on business and human rights: Implementing the United Nations “Protect, Respect and Remedy” framework (A/HRC/17/31).</w:t>
      </w:r>
    </w:p>
  </w:footnote>
  <w:footnote w:id="502">
    <w:p w14:paraId="471703C9" w14:textId="40F86544" w:rsidR="002465D0" w:rsidRPr="0068632F" w:rsidRDefault="002465D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46942" w:rsidRPr="0068632F">
        <w:rPr>
          <w:rFonts w:ascii="Times New Roman" w:hAnsi="Times New Roman" w:cs="Times New Roman"/>
          <w:lang w:val="mk-MK"/>
        </w:rPr>
        <w:t xml:space="preserve">Види: </w:t>
      </w:r>
      <w:hyperlink r:id="rId91" w:anchor=":~:text=The%20SDGs%20offer%20an%20inspiring,of%20all%20sectors%20for%20sustainability." w:history="1">
        <w:r w:rsidR="00046942" w:rsidRPr="0068632F">
          <w:rPr>
            <w:rStyle w:val="Hyperlink"/>
            <w:rFonts w:ascii="Times New Roman" w:hAnsi="Times New Roman" w:cs="Times New Roman"/>
            <w:lang w:val="bg-BG"/>
          </w:rPr>
          <w:t>Relevance with the SDGs | Business for Goals</w:t>
        </w:r>
      </w:hyperlink>
      <w:r w:rsidR="00046942" w:rsidRPr="0068632F">
        <w:rPr>
          <w:rFonts w:ascii="Times New Roman" w:hAnsi="Times New Roman" w:cs="Times New Roman"/>
          <w:lang w:val="mk-MK"/>
        </w:rPr>
        <w:t xml:space="preserve">. </w:t>
      </w:r>
    </w:p>
  </w:footnote>
  <w:footnote w:id="503">
    <w:p w14:paraId="6890138D" w14:textId="422E5A12" w:rsidR="002C3E89" w:rsidRPr="0068632F" w:rsidRDefault="002C3E8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31B32" w:rsidRPr="0068632F">
        <w:rPr>
          <w:rFonts w:ascii="Times New Roman" w:hAnsi="Times New Roman" w:cs="Times New Roman"/>
        </w:rPr>
        <w:t>Ruggie, J. G. (2007). Business and human rights: the evolving international agenda. American Journal of International Law, 101(4), 819-840.</w:t>
      </w:r>
    </w:p>
  </w:footnote>
  <w:footnote w:id="504">
    <w:p w14:paraId="3FB06AED" w14:textId="685181B2" w:rsidR="00FB3862" w:rsidRPr="0068632F" w:rsidRDefault="00FB386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B7931" w:rsidRPr="0068632F">
        <w:rPr>
          <w:rFonts w:ascii="Times New Roman" w:hAnsi="Times New Roman" w:cs="Times New Roman"/>
          <w:lang w:val="mk-MK"/>
        </w:rPr>
        <w:t xml:space="preserve">Види: </w:t>
      </w:r>
      <w:hyperlink r:id="rId92" w:history="1">
        <w:r w:rsidR="00AB7931" w:rsidRPr="0068632F">
          <w:rPr>
            <w:rStyle w:val="Hyperlink"/>
            <w:rFonts w:ascii="Times New Roman" w:hAnsi="Times New Roman" w:cs="Times New Roman"/>
            <w:lang w:val="bg-BG"/>
          </w:rPr>
          <w:t>GuidingPrinciplesBusinessHR_EN.pdf</w:t>
        </w:r>
      </w:hyperlink>
      <w:r w:rsidR="00AB7931" w:rsidRPr="0068632F">
        <w:rPr>
          <w:rFonts w:ascii="Times New Roman" w:hAnsi="Times New Roman" w:cs="Times New Roman"/>
          <w:lang w:val="mk-MK"/>
        </w:rPr>
        <w:t>, страници 3-1</w:t>
      </w:r>
      <w:r w:rsidR="007504D4" w:rsidRPr="0068632F">
        <w:rPr>
          <w:rFonts w:ascii="Times New Roman" w:hAnsi="Times New Roman" w:cs="Times New Roman"/>
          <w:lang w:val="mk-MK"/>
        </w:rPr>
        <w:t xml:space="preserve">2. </w:t>
      </w:r>
    </w:p>
  </w:footnote>
  <w:footnote w:id="505">
    <w:p w14:paraId="5C894831" w14:textId="20ACEA8D" w:rsidR="00FB3862" w:rsidRPr="0068632F" w:rsidRDefault="00FB3862"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504D4" w:rsidRPr="0068632F">
        <w:rPr>
          <w:rFonts w:ascii="Times New Roman" w:hAnsi="Times New Roman" w:cs="Times New Roman"/>
          <w:lang w:val="mk-MK"/>
        </w:rPr>
        <w:t xml:space="preserve">Види: </w:t>
      </w:r>
      <w:hyperlink r:id="rId93" w:history="1">
        <w:r w:rsidR="007504D4" w:rsidRPr="0068632F">
          <w:rPr>
            <w:rStyle w:val="Hyperlink"/>
            <w:rFonts w:ascii="Times New Roman" w:hAnsi="Times New Roman" w:cs="Times New Roman"/>
            <w:lang w:val="bg-BG"/>
          </w:rPr>
          <w:t>GuidingPrinciplesBusinessHR_EN.pdf</w:t>
        </w:r>
      </w:hyperlink>
      <w:r w:rsidR="007504D4" w:rsidRPr="0068632F">
        <w:rPr>
          <w:rFonts w:ascii="Times New Roman" w:hAnsi="Times New Roman" w:cs="Times New Roman"/>
          <w:lang w:val="mk-MK"/>
        </w:rPr>
        <w:t>, страници 13-26.</w:t>
      </w:r>
    </w:p>
  </w:footnote>
  <w:footnote w:id="506">
    <w:p w14:paraId="14639486" w14:textId="7F546984" w:rsidR="00FB3862" w:rsidRPr="0068632F" w:rsidRDefault="00FB3862"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504D4" w:rsidRPr="0068632F">
        <w:rPr>
          <w:rFonts w:ascii="Times New Roman" w:hAnsi="Times New Roman" w:cs="Times New Roman"/>
          <w:lang w:val="mk-MK"/>
        </w:rPr>
        <w:t xml:space="preserve">Види: </w:t>
      </w:r>
      <w:hyperlink r:id="rId94" w:history="1">
        <w:r w:rsidR="007504D4" w:rsidRPr="0068632F">
          <w:rPr>
            <w:rStyle w:val="Hyperlink"/>
            <w:rFonts w:ascii="Times New Roman" w:hAnsi="Times New Roman" w:cs="Times New Roman"/>
            <w:lang w:val="bg-BG"/>
          </w:rPr>
          <w:t>GuidingPrinciplesBusinessHR_EN.pdf</w:t>
        </w:r>
      </w:hyperlink>
      <w:r w:rsidR="007504D4" w:rsidRPr="0068632F">
        <w:rPr>
          <w:rFonts w:ascii="Times New Roman" w:hAnsi="Times New Roman" w:cs="Times New Roman"/>
          <w:lang w:val="mk-MK"/>
        </w:rPr>
        <w:t>, страници 27-35.</w:t>
      </w:r>
    </w:p>
  </w:footnote>
  <w:footnote w:id="507">
    <w:p w14:paraId="46B65510" w14:textId="7CD99373" w:rsidR="004732EB" w:rsidRPr="0068632F" w:rsidRDefault="004732E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03596" w:rsidRPr="0068632F">
        <w:rPr>
          <w:rFonts w:ascii="Times New Roman" w:hAnsi="Times New Roman" w:cs="Times New Roman"/>
          <w:lang w:val="mk-MK"/>
        </w:rPr>
        <w:t xml:space="preserve">Достапно на: </w:t>
      </w:r>
      <w:hyperlink r:id="rId95" w:history="1">
        <w:r w:rsidR="00803596" w:rsidRPr="0068632F">
          <w:rPr>
            <w:rStyle w:val="Hyperlink"/>
            <w:rFonts w:ascii="Times New Roman" w:hAnsi="Times New Roman" w:cs="Times New Roman"/>
            <w:lang w:val="bg-BG"/>
          </w:rPr>
          <w:t>SDG Indicators — SDG Indicators</w:t>
        </w:r>
      </w:hyperlink>
      <w:r w:rsidR="00803596" w:rsidRPr="0068632F">
        <w:rPr>
          <w:rFonts w:ascii="Times New Roman" w:hAnsi="Times New Roman" w:cs="Times New Roman"/>
          <w:lang w:val="mk-MK"/>
        </w:rPr>
        <w:t xml:space="preserve">. </w:t>
      </w:r>
    </w:p>
  </w:footnote>
  <w:footnote w:id="508">
    <w:p w14:paraId="7BFCFB1B" w14:textId="37387B5B" w:rsidR="009F15DB" w:rsidRPr="0068632F" w:rsidRDefault="009F15D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C4501" w:rsidRPr="0068632F">
        <w:rPr>
          <w:rFonts w:ascii="Times New Roman" w:hAnsi="Times New Roman" w:cs="Times New Roman"/>
          <w:lang w:val="mk-MK"/>
        </w:rPr>
        <w:t xml:space="preserve">Види: </w:t>
      </w:r>
      <w:hyperlink r:id="rId96" w:history="1">
        <w:r w:rsidR="00FC4501" w:rsidRPr="0068632F">
          <w:rPr>
            <w:rStyle w:val="Hyperlink"/>
            <w:rFonts w:ascii="Times New Roman" w:hAnsi="Times New Roman" w:cs="Times New Roman"/>
            <w:lang w:val="bg-BG"/>
          </w:rPr>
          <w:t>THE 17 GOALS | Sustainable Development</w:t>
        </w:r>
      </w:hyperlink>
      <w:r w:rsidR="00FC4501" w:rsidRPr="0068632F">
        <w:rPr>
          <w:rFonts w:ascii="Times New Roman" w:hAnsi="Times New Roman" w:cs="Times New Roman"/>
          <w:lang w:val="mk-MK"/>
        </w:rPr>
        <w:t xml:space="preserve">. </w:t>
      </w:r>
    </w:p>
  </w:footnote>
  <w:footnote w:id="509">
    <w:p w14:paraId="2C99A607" w14:textId="443FB3D4" w:rsidR="004732EB" w:rsidRPr="0068632F" w:rsidRDefault="004732E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Последните извештаи за спроведувањето на целите заклучно со 2023, 2024 и 2025 година се достапни на: </w:t>
      </w:r>
      <w:hyperlink r:id="rId97" w:history="1">
        <w:r w:rsidRPr="0068632F">
          <w:rPr>
            <w:rStyle w:val="Hyperlink"/>
            <w:rFonts w:ascii="Times New Roman" w:hAnsi="Times New Roman" w:cs="Times New Roman"/>
            <w:lang w:val="bg-BG"/>
          </w:rPr>
          <w:t>— SDG Indicators</w:t>
        </w:r>
      </w:hyperlink>
      <w:r w:rsidRPr="0068632F">
        <w:rPr>
          <w:rFonts w:ascii="Times New Roman" w:hAnsi="Times New Roman" w:cs="Times New Roman"/>
          <w:lang w:val="mk-MK"/>
        </w:rPr>
        <w:t>.</w:t>
      </w:r>
    </w:p>
  </w:footnote>
  <w:footnote w:id="510">
    <w:p w14:paraId="12850A89" w14:textId="4CE474EA" w:rsidR="00F01EF2" w:rsidRPr="0068632F" w:rsidRDefault="00F01EF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Communication on Progress</w:t>
      </w:r>
      <w:r w:rsidRPr="0068632F">
        <w:rPr>
          <w:rFonts w:ascii="Times New Roman" w:hAnsi="Times New Roman" w:cs="Times New Roman"/>
          <w:lang w:val="mk-MK"/>
        </w:rPr>
        <w:t>.</w:t>
      </w:r>
    </w:p>
  </w:footnote>
  <w:footnote w:id="511">
    <w:p w14:paraId="4110C604" w14:textId="6F1FF29F" w:rsidR="00512682" w:rsidRPr="0068632F" w:rsidRDefault="0051268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Во изработка.</w:t>
      </w:r>
    </w:p>
  </w:footnote>
  <w:footnote w:id="512">
    <w:p w14:paraId="5B90BAA4" w14:textId="73A044B0" w:rsidR="00512682" w:rsidRPr="0068632F" w:rsidRDefault="0051268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Во изработка. </w:t>
      </w:r>
    </w:p>
  </w:footnote>
  <w:footnote w:id="513">
    <w:p w14:paraId="1F046B25" w14:textId="4679B1C8" w:rsidR="004765A6" w:rsidRPr="0068632F" w:rsidRDefault="004765A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на пример: </w:t>
      </w:r>
      <w:hyperlink r:id="rId98" w:history="1">
        <w:r w:rsidRPr="0068632F">
          <w:rPr>
            <w:rStyle w:val="Hyperlink"/>
            <w:rFonts w:ascii="Times New Roman" w:hAnsi="Times New Roman" w:cs="Times New Roman"/>
            <w:lang w:val="bg-BG"/>
          </w:rPr>
          <w:t>Цели за одржлив развој | United Nations in Северна Македонија</w:t>
        </w:r>
      </w:hyperlink>
      <w:r w:rsidRPr="0068632F">
        <w:rPr>
          <w:rFonts w:ascii="Times New Roman" w:hAnsi="Times New Roman" w:cs="Times New Roman"/>
          <w:lang w:val="mk-MK"/>
        </w:rPr>
        <w:t xml:space="preserve">. </w:t>
      </w:r>
    </w:p>
  </w:footnote>
  <w:footnote w:id="514">
    <w:p w14:paraId="1F6C59D9" w14:textId="4763DF61" w:rsidR="00860C0E" w:rsidRPr="0068632F" w:rsidRDefault="00860C0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Varoufakis, Y. (2017). Adults in the room: My battle with Europe’s deep establishment. Farrar, Straus and Giroux.</w:t>
      </w:r>
    </w:p>
  </w:footnote>
  <w:footnote w:id="515">
    <w:p w14:paraId="004B58E6" w14:textId="6A280F6F" w:rsidR="00D73D2E" w:rsidRPr="0068632F" w:rsidRDefault="00D73D2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Varoufakis, Y. (2017). Talking to my daughter about the economy: A brief history of capitalism. Farrar, Straus and Giroux.</w:t>
      </w:r>
    </w:p>
  </w:footnote>
  <w:footnote w:id="516">
    <w:p w14:paraId="3F22B7B6" w14:textId="12CFD21E" w:rsidR="00336060" w:rsidRPr="0068632F" w:rsidRDefault="0033606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B6B14" w:rsidRPr="0068632F">
        <w:rPr>
          <w:rFonts w:ascii="Times New Roman" w:hAnsi="Times New Roman" w:cs="Times New Roman"/>
        </w:rPr>
        <w:t>Joshi, A. (2025). The Rise of Artificial Intelligence in Enterprise Resource Planning Software: Enhancing Supply Chain Management Efficiency through Predictive Analytics. Journal of Computer Science and Technology Studies, 7(8), 1006-1011.</w:t>
      </w:r>
    </w:p>
  </w:footnote>
  <w:footnote w:id="517">
    <w:p w14:paraId="17C4E794" w14:textId="7643C46C" w:rsidR="0022202C" w:rsidRPr="0068632F" w:rsidRDefault="0022202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Anheier, H. K., &amp; Baums, T. (Eds.). (2020). Advances in corporate governance: Comparative perspectives. Oxford University Press.</w:t>
      </w:r>
    </w:p>
  </w:footnote>
  <w:footnote w:id="518">
    <w:p w14:paraId="2BFDA245" w14:textId="2FAAFAFA" w:rsidR="00AC6F3B" w:rsidRPr="0068632F" w:rsidRDefault="00AC6F3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70955" w:rsidRPr="0068632F">
        <w:rPr>
          <w:rFonts w:ascii="Times New Roman" w:hAnsi="Times New Roman" w:cs="Times New Roman"/>
        </w:rPr>
        <w:t>Anheier, H. K., &amp; Baums, T. (Eds.). (2020).</w:t>
      </w:r>
    </w:p>
  </w:footnote>
  <w:footnote w:id="519">
    <w:p w14:paraId="4D6D3520" w14:textId="4A7F74C3" w:rsidR="00AD3E99" w:rsidRPr="0068632F" w:rsidRDefault="00AD3E9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37E42" w:rsidRPr="0068632F">
        <w:rPr>
          <w:rFonts w:ascii="Times New Roman" w:hAnsi="Times New Roman" w:cs="Times New Roman"/>
        </w:rPr>
        <w:t>Monks, R. A., &amp; Minow, N. (2011). Corporate governance. John Wiley &amp; Sons.</w:t>
      </w:r>
    </w:p>
  </w:footnote>
  <w:footnote w:id="520">
    <w:p w14:paraId="016F11A7" w14:textId="10BE1805" w:rsidR="006521ED" w:rsidRPr="0068632F" w:rsidRDefault="006521E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Amatori, F., &amp; Colli, A. (2008). European corporations: Ownership, governance, strategies and structures. A review of five countries: United Kingdom, Germany, France, Italy and Spain. The European enterprise: Historical investigation into a future species, 23-36. Springer.</w:t>
      </w:r>
    </w:p>
  </w:footnote>
  <w:footnote w:id="521">
    <w:p w14:paraId="20B06F7E" w14:textId="5C629912" w:rsidR="00B70955" w:rsidRPr="0068632F" w:rsidRDefault="00B7095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365F5" w:rsidRPr="0068632F">
        <w:rPr>
          <w:rFonts w:ascii="Times New Roman" w:hAnsi="Times New Roman" w:cs="Times New Roman"/>
        </w:rPr>
        <w:t>Amatori, F., &amp; Colli, A. (2008).</w:t>
      </w:r>
    </w:p>
  </w:footnote>
  <w:footnote w:id="522">
    <w:p w14:paraId="4F6B9AAA" w14:textId="1837CB3A" w:rsidR="00E8473A" w:rsidRPr="0068632F" w:rsidRDefault="00E8473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C5152" w:rsidRPr="0068632F">
        <w:rPr>
          <w:rFonts w:ascii="Times New Roman" w:hAnsi="Times New Roman" w:cs="Times New Roman"/>
        </w:rPr>
        <w:t>Rizzato, F., Busso, D., Devalle, A., &amp; Zerbetto, A. (2018). Corporate governance system in Italy: Compliance and quality. Corporate Ownership &amp; Control, 16(1-1), 217-233.</w:t>
      </w:r>
    </w:p>
  </w:footnote>
  <w:footnote w:id="523">
    <w:p w14:paraId="54B7F402" w14:textId="36A71C31" w:rsidR="00235162" w:rsidRPr="0068632F" w:rsidRDefault="00235162"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5A24" w:rsidRPr="0068632F">
        <w:rPr>
          <w:rFonts w:ascii="Times New Roman" w:hAnsi="Times New Roman" w:cs="Times New Roman"/>
        </w:rPr>
        <w:t>Tros, F. (2022). Innovating employee participation in the Netherlands. Industrielle Beziehungen. Zeitschrift für Arbeit, Organisation und Management, 29(1), 3-4.</w:t>
      </w:r>
    </w:p>
  </w:footnote>
  <w:footnote w:id="524">
    <w:p w14:paraId="68AE8FFF" w14:textId="50B89DCB" w:rsidR="008F2881" w:rsidRPr="0068632F" w:rsidRDefault="008F288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B09B5" w:rsidRPr="0068632F">
        <w:rPr>
          <w:rFonts w:ascii="Times New Roman" w:hAnsi="Times New Roman" w:cs="Times New Roman"/>
        </w:rPr>
        <w:t>Gospel, H., &amp; Pendleton, A. (2010). Corporate governance and employee participation.</w:t>
      </w:r>
    </w:p>
  </w:footnote>
  <w:footnote w:id="525">
    <w:p w14:paraId="002149D4" w14:textId="091C7E18" w:rsidR="00314586" w:rsidRPr="0068632F" w:rsidRDefault="0031458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Clarke, D. C. (2003). Corporate governance in China: An overview. China economic review, 14(4), 494-507.</w:t>
      </w:r>
    </w:p>
  </w:footnote>
  <w:footnote w:id="526">
    <w:p w14:paraId="47B9A41B" w14:textId="7CEBB235" w:rsidR="00314586" w:rsidRPr="0068632F" w:rsidRDefault="0031458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D497F" w:rsidRPr="0068632F">
        <w:rPr>
          <w:rFonts w:ascii="Times New Roman" w:hAnsi="Times New Roman" w:cs="Times New Roman"/>
        </w:rPr>
        <w:t>Jackson, G., &amp; Moerke, A. (2005). Continuity and change in corporate governance: Comparing Germany and Japan. Corporate Governance: An International Review, 13(3), 351-361.</w:t>
      </w:r>
    </w:p>
  </w:footnote>
  <w:footnote w:id="527">
    <w:p w14:paraId="6ADE6C40" w14:textId="3C2188EA" w:rsidR="00C365F5" w:rsidRPr="0068632F" w:rsidRDefault="00C365F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166C8" w:rsidRPr="0068632F">
        <w:rPr>
          <w:rFonts w:ascii="Times New Roman" w:hAnsi="Times New Roman" w:cs="Times New Roman"/>
          <w:lang w:val="mk-MK"/>
        </w:rPr>
        <w:t xml:space="preserve">Види на пример </w:t>
      </w:r>
      <w:r w:rsidR="004166C8" w:rsidRPr="0068632F">
        <w:rPr>
          <w:rFonts w:ascii="Times New Roman" w:hAnsi="Times New Roman" w:cs="Times New Roman"/>
        </w:rPr>
        <w:t>Monks, R. A., &amp; Minow, N. (2011).</w:t>
      </w:r>
    </w:p>
  </w:footnote>
  <w:footnote w:id="528">
    <w:p w14:paraId="6A303FCD" w14:textId="1CE00511" w:rsidR="00FE0CA9" w:rsidRPr="0068632F" w:rsidRDefault="00FE0CA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10E25" w:rsidRPr="0068632F">
        <w:rPr>
          <w:rFonts w:ascii="Times New Roman" w:hAnsi="Times New Roman" w:cs="Times New Roman"/>
        </w:rPr>
        <w:t>Roe, M. J. (2005). The institutions of corporate governance. In Handbook of new institutional economics (pp. 371-399). Boston, MA: Springer US.</w:t>
      </w:r>
    </w:p>
  </w:footnote>
  <w:footnote w:id="529">
    <w:p w14:paraId="38EF7EEF" w14:textId="3F6E170D" w:rsidR="005829CB" w:rsidRPr="0068632F" w:rsidRDefault="005829C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63627" w:rsidRPr="0068632F">
        <w:rPr>
          <w:rFonts w:ascii="Times New Roman" w:hAnsi="Times New Roman" w:cs="Times New Roman"/>
          <w:lang w:val="mk-MK"/>
        </w:rPr>
        <w:t xml:space="preserve">Види </w:t>
      </w:r>
      <w:r w:rsidR="00763627" w:rsidRPr="0068632F">
        <w:rPr>
          <w:rFonts w:ascii="Times New Roman" w:hAnsi="Times New Roman" w:cs="Times New Roman"/>
        </w:rPr>
        <w:t>Gospel, H., &amp; Pendleton, A. (2010).</w:t>
      </w:r>
    </w:p>
  </w:footnote>
  <w:footnote w:id="530">
    <w:p w14:paraId="379EDA4B" w14:textId="2D1C8D84" w:rsidR="00662F9C" w:rsidRPr="0068632F" w:rsidRDefault="00662F9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Milošević Law. (2022). Nemo postojanje akcionarskih društava u Srbiji. </w:t>
      </w:r>
      <w:hyperlink r:id="rId99" w:history="1">
        <w:r w:rsidRPr="0068632F">
          <w:rPr>
            <w:rStyle w:val="Hyperlink"/>
            <w:rFonts w:ascii="Times New Roman" w:hAnsi="Times New Roman" w:cs="Times New Roman"/>
          </w:rPr>
          <w:t>https://milosevic-law.rs/nemo-postojanje-akcionarskih-drustava-u-srbiji</w:t>
        </w:r>
      </w:hyperlink>
      <w:r w:rsidRPr="0068632F">
        <w:rPr>
          <w:rFonts w:ascii="Times New Roman" w:hAnsi="Times New Roman" w:cs="Times New Roman"/>
          <w:lang w:val="en-US"/>
        </w:rPr>
        <w:t xml:space="preserve"> </w:t>
      </w:r>
    </w:p>
  </w:footnote>
  <w:footnote w:id="531">
    <w:p w14:paraId="61A320B2" w14:textId="15E94E50" w:rsidR="006D25FD" w:rsidRPr="0068632F" w:rsidRDefault="006D25F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Според податоци од Регистарот на Комисијата за хартии од вредност, во Македонија има 147 активни акционерски друштва со посебни обврски за известување, што ги вклучува најголемите и капитално релевантни акционерски друштва, види: </w:t>
      </w:r>
      <w:hyperlink r:id="rId100" w:history="1">
        <w:r w:rsidRPr="0068632F">
          <w:rPr>
            <w:rStyle w:val="Hyperlink"/>
            <w:rFonts w:ascii="Times New Roman" w:hAnsi="Times New Roman" w:cs="Times New Roman"/>
            <w:lang w:val="bg-BG"/>
          </w:rPr>
          <w:t>Комисија за хартии од вредност</w:t>
        </w:r>
      </w:hyperlink>
      <w:r w:rsidRPr="0068632F">
        <w:rPr>
          <w:rFonts w:ascii="Times New Roman" w:hAnsi="Times New Roman" w:cs="Times New Roman"/>
          <w:lang w:val="mk-MK"/>
        </w:rPr>
        <w:t>.</w:t>
      </w:r>
    </w:p>
  </w:footnote>
  <w:footnote w:id="532">
    <w:p w14:paraId="2A2F2E62" w14:textId="1FD4353C" w:rsidR="00A3110A" w:rsidRPr="0068632F" w:rsidRDefault="00A3110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36D67" w:rsidRPr="0068632F">
        <w:rPr>
          <w:rFonts w:ascii="Times New Roman" w:hAnsi="Times New Roman" w:cs="Times New Roman"/>
          <w:lang w:val="mk-MK"/>
        </w:rPr>
        <w:t xml:space="preserve">Види повеќе во </w:t>
      </w:r>
      <w:r w:rsidR="00036D67" w:rsidRPr="0068632F">
        <w:rPr>
          <w:rFonts w:ascii="Times New Roman" w:hAnsi="Times New Roman" w:cs="Times New Roman"/>
        </w:rPr>
        <w:t>Mojsoska-Blazevski, N., Ristovska, M., Klincharova, G., &amp; Krstevska, J. National report for North Macedonia</w:t>
      </w:r>
      <w:r w:rsidR="00036D67" w:rsidRPr="0068632F">
        <w:rPr>
          <w:rFonts w:ascii="Times New Roman" w:hAnsi="Times New Roman" w:cs="Times New Roman"/>
          <w:lang w:val="mk-MK"/>
        </w:rPr>
        <w:t xml:space="preserve"> </w:t>
      </w:r>
      <w:r w:rsidR="00036D67" w:rsidRPr="0068632F">
        <w:rPr>
          <w:rFonts w:ascii="Times New Roman" w:hAnsi="Times New Roman" w:cs="Times New Roman"/>
          <w:lang w:val="en-US"/>
        </w:rPr>
        <w:t>for 2025</w:t>
      </w:r>
      <w:r w:rsidR="00036D67" w:rsidRPr="0068632F">
        <w:rPr>
          <w:rFonts w:ascii="Times New Roman" w:hAnsi="Times New Roman" w:cs="Times New Roman"/>
        </w:rPr>
        <w:t>.</w:t>
      </w:r>
    </w:p>
  </w:footnote>
  <w:footnote w:id="533">
    <w:p w14:paraId="7B3DCBDB" w14:textId="1A832C56" w:rsidR="004D7D83" w:rsidRPr="0068632F" w:rsidRDefault="004D7D8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На пример, типично микро или мало друштво со ограничена одговорност во Србија или Македонија често располага со ограничена материјална актива, минимален основен капитал и остварува релативно ниски годишни приходи, при што вработува еден до неколку лица. Наспроти тоа, едно просечно акционерско друштво најчесто располага со значително поголема вкупна актива, вклучително недвижности, производни капацитети, инфраструктура или финансиски вложувања, има висок основен и сопствен капитал и остварува приходи што се повеќекратно поголеми од оние на типично ДОО.</w:t>
      </w:r>
    </w:p>
  </w:footnote>
  <w:footnote w:id="534">
    <w:p w14:paraId="4F4B47BD" w14:textId="165DF2C9" w:rsidR="003A1253" w:rsidRPr="0068632F" w:rsidRDefault="003A12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027E3" w:rsidRPr="0068632F">
        <w:rPr>
          <w:rFonts w:ascii="Times New Roman" w:hAnsi="Times New Roman" w:cs="Times New Roman"/>
          <w:lang w:val="mk-MK"/>
        </w:rPr>
        <w:t xml:space="preserve">Битно е да се напомене дека нема директно официјална статистика на Државниот завод за статистика која јасно ги раздвојува активните деловни субјекти според правна форма, како на пример акционерски друштва </w:t>
      </w:r>
      <w:r w:rsidR="00395CA4" w:rsidRPr="0068632F">
        <w:rPr>
          <w:rFonts w:ascii="Times New Roman" w:hAnsi="Times New Roman" w:cs="Times New Roman"/>
          <w:lang w:val="mk-MK"/>
        </w:rPr>
        <w:t>наспроти ДОО, па докторското истражување во најголем дел се потпирашње на</w:t>
      </w:r>
      <w:r w:rsidR="00C027E3" w:rsidRPr="0068632F">
        <w:rPr>
          <w:rFonts w:ascii="Times New Roman" w:hAnsi="Times New Roman" w:cs="Times New Roman"/>
          <w:lang w:val="mk-MK"/>
        </w:rPr>
        <w:t xml:space="preserve"> најновите годишни извештаи што се достапни онлајн.</w:t>
      </w:r>
    </w:p>
  </w:footnote>
  <w:footnote w:id="535">
    <w:p w14:paraId="7E2F9A2F" w14:textId="57A6A417" w:rsidR="00761A60" w:rsidRPr="0068632F" w:rsidRDefault="00761A6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Илустративно, додека едно ДОО може да има основен капитал од неколку илјади евра, ограничена билансна актива и годишни приходи што се мерат во стотици илјади евра, акционерските друштва, особено во секторите на енергетика, телекомуникации, финансии или индустрија, често располагаат со основен капитал и актива што се мерат во десетици или стотици милиони евра, а нивните годишни приходи се соодветно повисоки. Ова не е исклучок, туку структурна карактеристика на акционерската форма, која е дизајнирана за концентрација на капитал, за распределба на сопственоста </w:t>
      </w:r>
      <w:r w:rsidRPr="0068632F">
        <w:rPr>
          <w:rFonts w:ascii="Times New Roman" w:hAnsi="Times New Roman" w:cs="Times New Roman"/>
          <w:lang w:val="mk-MK"/>
        </w:rPr>
        <w:t>по</w:t>
      </w:r>
      <w:r w:rsidRPr="0068632F">
        <w:rPr>
          <w:rFonts w:ascii="Times New Roman" w:hAnsi="Times New Roman" w:cs="Times New Roman"/>
        </w:rPr>
        <w:t>меѓу повеќе акционери и за пристап до финансиски пазари.</w:t>
      </w:r>
    </w:p>
  </w:footnote>
  <w:footnote w:id="536">
    <w:p w14:paraId="52505E13" w14:textId="237C97BD" w:rsidR="00AE0FC9" w:rsidRPr="0068632F" w:rsidRDefault="00AE0FC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614A6" w:rsidRPr="0068632F">
        <w:rPr>
          <w:rFonts w:ascii="Times New Roman" w:hAnsi="Times New Roman" w:cs="Times New Roman"/>
          <w:lang w:val="mk-MK"/>
        </w:rPr>
        <w:t xml:space="preserve">Достапни податоци за крајот на 2025 година: </w:t>
      </w:r>
      <w:hyperlink r:id="rId101" w:history="1">
        <w:r w:rsidR="009614A6" w:rsidRPr="0068632F">
          <w:rPr>
            <w:rStyle w:val="Hyperlink"/>
            <w:rFonts w:ascii="Times New Roman" w:hAnsi="Times New Roman" w:cs="Times New Roman"/>
            <w:lang w:val="bg-BG"/>
          </w:rPr>
          <w:t>makedonija-vo-brojki-2025-en-web.pdf</w:t>
        </w:r>
      </w:hyperlink>
      <w:r w:rsidR="009614A6" w:rsidRPr="0068632F">
        <w:rPr>
          <w:rFonts w:ascii="Times New Roman" w:hAnsi="Times New Roman" w:cs="Times New Roman"/>
          <w:lang w:val="mk-MK"/>
        </w:rPr>
        <w:t xml:space="preserve">. </w:t>
      </w:r>
    </w:p>
  </w:footnote>
  <w:footnote w:id="537">
    <w:p w14:paraId="35986341" w14:textId="2BD770BA" w:rsidR="007F1CD1" w:rsidRPr="0068632F" w:rsidRDefault="007F1CD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102" w:history="1">
        <w:r w:rsidRPr="0068632F">
          <w:rPr>
            <w:rStyle w:val="Hyperlink"/>
            <w:rFonts w:ascii="Times New Roman" w:hAnsi="Times New Roman" w:cs="Times New Roman"/>
            <w:lang w:val="bg-BG"/>
          </w:rPr>
          <w:t>Company Registration in Serbia</w:t>
        </w:r>
      </w:hyperlink>
      <w:r w:rsidRPr="0068632F">
        <w:rPr>
          <w:rFonts w:ascii="Times New Roman" w:hAnsi="Times New Roman" w:cs="Times New Roman"/>
          <w:lang w:val="mk-MK"/>
        </w:rPr>
        <w:t>.</w:t>
      </w:r>
    </w:p>
  </w:footnote>
  <w:footnote w:id="538">
    <w:p w14:paraId="49A00E5F" w14:textId="6822550A" w:rsidR="005C0D94" w:rsidRPr="0068632F" w:rsidRDefault="005C0D9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002D3C97" w:rsidRPr="0068632F">
        <w:rPr>
          <w:rFonts w:ascii="Times New Roman" w:hAnsi="Times New Roman" w:cs="Times New Roman"/>
          <w:lang w:val="mk-MK"/>
        </w:rPr>
        <w:t xml:space="preserve">Centralni registar hartija od vrednosti. (2025). Statistika vlasništva akcionarskih društava. </w:t>
      </w:r>
      <w:hyperlink r:id="rId103" w:history="1">
        <w:r w:rsidR="002D3C97" w:rsidRPr="0068632F">
          <w:rPr>
            <w:rStyle w:val="Hyperlink"/>
            <w:rFonts w:ascii="Times New Roman" w:hAnsi="Times New Roman" w:cs="Times New Roman"/>
            <w:lang w:val="mk-MK"/>
          </w:rPr>
          <w:t>https://www.crhov.rs/</w:t>
        </w:r>
      </w:hyperlink>
      <w:r w:rsidR="002D3C97" w:rsidRPr="0068632F">
        <w:rPr>
          <w:rFonts w:ascii="Times New Roman" w:hAnsi="Times New Roman" w:cs="Times New Roman"/>
          <w:lang w:val="mk-MK"/>
        </w:rPr>
        <w:t xml:space="preserve"> </w:t>
      </w:r>
    </w:p>
  </w:footnote>
  <w:footnote w:id="539">
    <w:p w14:paraId="37653A11" w14:textId="537EE2F6" w:rsidR="00BB47BB" w:rsidRPr="0068632F" w:rsidRDefault="00BB47B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Повеќе во: NIS Investitori. (2025). Akcije i vlasnička struktura. </w:t>
      </w:r>
      <w:hyperlink r:id="rId104" w:history="1">
        <w:r w:rsidRPr="0068632F">
          <w:rPr>
            <w:rStyle w:val="Hyperlink"/>
            <w:rFonts w:ascii="Times New Roman" w:hAnsi="Times New Roman" w:cs="Times New Roman"/>
            <w:lang w:val="mk-MK"/>
          </w:rPr>
          <w:t>https://ir.nis.rs/akcije-i-dividenda/akcije-i-vlasnicka-struktura/</w:t>
        </w:r>
      </w:hyperlink>
      <w:r w:rsidRPr="0068632F">
        <w:rPr>
          <w:rFonts w:ascii="Times New Roman" w:hAnsi="Times New Roman" w:cs="Times New Roman"/>
          <w:lang w:val="mk-MK"/>
        </w:rPr>
        <w:t xml:space="preserve"> </w:t>
      </w:r>
    </w:p>
  </w:footnote>
  <w:footnote w:id="540">
    <w:p w14:paraId="0CF83AD5" w14:textId="48500C5C" w:rsidR="003C401A" w:rsidRPr="0068632F" w:rsidRDefault="003C401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E3840" w:rsidRPr="0068632F">
        <w:rPr>
          <w:rFonts w:ascii="Times New Roman" w:hAnsi="Times New Roman" w:cs="Times New Roman"/>
          <w:lang w:val="mk-MK"/>
        </w:rPr>
        <w:t>Повеќе на</w:t>
      </w:r>
      <w:r w:rsidR="004A7CF5" w:rsidRPr="0068632F">
        <w:rPr>
          <w:rFonts w:ascii="Times New Roman" w:hAnsi="Times New Roman" w:cs="Times New Roman"/>
          <w:lang w:val="mk-MK"/>
        </w:rPr>
        <w:t xml:space="preserve">: </w:t>
      </w:r>
      <w:hyperlink r:id="rId105" w:history="1">
        <w:r w:rsidR="004A7CF5" w:rsidRPr="0068632F">
          <w:rPr>
            <w:rStyle w:val="Hyperlink"/>
            <w:rFonts w:ascii="Times New Roman" w:hAnsi="Times New Roman" w:cs="Times New Roman"/>
            <w:lang w:val="bg-BG"/>
          </w:rPr>
          <w:t>CRHoV :: Početna strana</w:t>
        </w:r>
      </w:hyperlink>
      <w:r w:rsidR="004A7CF5" w:rsidRPr="0068632F">
        <w:rPr>
          <w:rFonts w:ascii="Times New Roman" w:hAnsi="Times New Roman" w:cs="Times New Roman"/>
          <w:lang w:val="mk-MK"/>
        </w:rPr>
        <w:t xml:space="preserve">. </w:t>
      </w:r>
    </w:p>
  </w:footnote>
  <w:footnote w:id="541">
    <w:p w14:paraId="457D443B" w14:textId="1814447A" w:rsidR="00CE3840" w:rsidRPr="0068632F" w:rsidRDefault="00CE384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106" w:history="1">
        <w:r w:rsidRPr="0068632F">
          <w:rPr>
            <w:rStyle w:val="Hyperlink"/>
            <w:rFonts w:ascii="Times New Roman" w:hAnsi="Times New Roman" w:cs="Times New Roman"/>
          </w:rPr>
          <w:t>https://milosevic-law.rs/nemo-postojanje-akcionarskih-drustava-u-srbiji</w:t>
        </w:r>
      </w:hyperlink>
      <w:r w:rsidRPr="0068632F">
        <w:rPr>
          <w:rFonts w:ascii="Times New Roman" w:hAnsi="Times New Roman" w:cs="Times New Roman"/>
          <w:lang w:val="mk-MK"/>
        </w:rPr>
        <w:t>.</w:t>
      </w:r>
    </w:p>
  </w:footnote>
  <w:footnote w:id="542">
    <w:p w14:paraId="76D355CB" w14:textId="578C878B" w:rsidR="009336AC" w:rsidRPr="0068632F" w:rsidRDefault="009336A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Vasileva-Markovska, V. H. (2012). Corporate governance in the Republic of Macedonia. In 1 st International Conference Corporate governance–new experiences: Implementation in South Eastern Europe (p. 52).</w:t>
      </w:r>
    </w:p>
  </w:footnote>
  <w:footnote w:id="543">
    <w:p w14:paraId="1B92BD5A" w14:textId="44C0E10F" w:rsidR="000C386B" w:rsidRPr="0068632F" w:rsidRDefault="000C386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80E0D" w:rsidRPr="0068632F">
        <w:rPr>
          <w:rFonts w:ascii="Times New Roman" w:hAnsi="Times New Roman" w:cs="Times New Roman"/>
          <w:lang w:val="mk-MK"/>
        </w:rPr>
        <w:t xml:space="preserve">Како и во Србија. </w:t>
      </w:r>
    </w:p>
  </w:footnote>
  <w:footnote w:id="544">
    <w:p w14:paraId="0C0E6E98" w14:textId="4D104591" w:rsidR="00DE0F13" w:rsidRPr="0068632F" w:rsidRDefault="00DE0F1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Како такви, </w:t>
      </w:r>
      <w:r w:rsidR="002429CE" w:rsidRPr="0068632F">
        <w:rPr>
          <w:rFonts w:ascii="Times New Roman" w:hAnsi="Times New Roman" w:cs="Times New Roman"/>
          <w:lang w:val="mk-MK"/>
        </w:rPr>
        <w:t xml:space="preserve">нивните подробности ќе бидат разгледани во посебен дел како студии на случај. </w:t>
      </w:r>
    </w:p>
  </w:footnote>
  <w:footnote w:id="545">
    <w:p w14:paraId="6E578B61" w14:textId="1661662A" w:rsidR="00A05292" w:rsidRPr="0068632F" w:rsidRDefault="00A0529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Apostolov, M. (2014). Governance and enterprise restructuring: the case of Macedonia. International Journal of Emerging Markets, 9(1), 147-156.</w:t>
      </w:r>
    </w:p>
  </w:footnote>
  <w:footnote w:id="546">
    <w:p w14:paraId="70EC6AC8" w14:textId="0C6335D4" w:rsidR="00F33A6D" w:rsidRPr="0068632F" w:rsidRDefault="00F33A6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E13BA" w:rsidRPr="0068632F">
        <w:rPr>
          <w:rFonts w:ascii="Times New Roman" w:hAnsi="Times New Roman" w:cs="Times New Roman"/>
        </w:rPr>
        <w:t xml:space="preserve">Mrdak, G. (2020). Specifičnosti korporativnog upravljanja u javnim preduzećima u Srbiji. Revizor, 21(83), 59–69. </w:t>
      </w:r>
      <w:hyperlink r:id="rId107" w:history="1">
        <w:r w:rsidR="006E13BA" w:rsidRPr="0068632F">
          <w:rPr>
            <w:rStyle w:val="Hyperlink"/>
            <w:rFonts w:ascii="Times New Roman" w:hAnsi="Times New Roman" w:cs="Times New Roman"/>
          </w:rPr>
          <w:t>https://doi.org/10.5937/Rev1885059M</w:t>
        </w:r>
      </w:hyperlink>
      <w:r w:rsidR="006E13BA" w:rsidRPr="0068632F">
        <w:rPr>
          <w:rFonts w:ascii="Times New Roman" w:hAnsi="Times New Roman" w:cs="Times New Roman"/>
          <w:lang w:val="mk-MK"/>
        </w:rPr>
        <w:t xml:space="preserve">. </w:t>
      </w:r>
    </w:p>
  </w:footnote>
  <w:footnote w:id="547">
    <w:p w14:paraId="3C62934C" w14:textId="7E3803DF" w:rsidR="00CD1E0A" w:rsidRPr="0068632F" w:rsidRDefault="00CD1E0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4758C" w:rsidRPr="0068632F">
        <w:rPr>
          <w:rFonts w:ascii="Times New Roman" w:hAnsi="Times New Roman" w:cs="Times New Roman"/>
        </w:rPr>
        <w:t xml:space="preserve">Lepetić, J. (2022). Javna preduzeća-strari i novi izazovi, Pravo i privreda, 60(4), 675–694. </w:t>
      </w:r>
      <w:hyperlink r:id="rId108" w:history="1">
        <w:r w:rsidR="0044758C" w:rsidRPr="0068632F">
          <w:rPr>
            <w:rStyle w:val="Hyperlink"/>
            <w:rFonts w:ascii="Times New Roman" w:hAnsi="Times New Roman" w:cs="Times New Roman"/>
          </w:rPr>
          <w:t>https://doi.org/10.55836/PiP_22404A</w:t>
        </w:r>
      </w:hyperlink>
      <w:r w:rsidR="0044758C" w:rsidRPr="0068632F">
        <w:rPr>
          <w:rFonts w:ascii="Times New Roman" w:hAnsi="Times New Roman" w:cs="Times New Roman"/>
          <w:lang w:val="en-US"/>
        </w:rPr>
        <w:t xml:space="preserve">. </w:t>
      </w:r>
    </w:p>
  </w:footnote>
  <w:footnote w:id="548">
    <w:p w14:paraId="3D0E66D7" w14:textId="002722BB" w:rsidR="00EE0F31" w:rsidRPr="0068632F" w:rsidRDefault="00EE0F3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гласник на РС, бр. 76/2023, член 19</w:t>
      </w:r>
      <w:r w:rsidRPr="0068632F">
        <w:rPr>
          <w:rFonts w:ascii="Times New Roman" w:hAnsi="Times New Roman" w:cs="Times New Roman"/>
          <w:lang w:val="mk-MK"/>
        </w:rPr>
        <w:t>.</w:t>
      </w:r>
    </w:p>
  </w:footnote>
  <w:footnote w:id="549">
    <w:p w14:paraId="30DC14BC" w14:textId="40250DD3" w:rsidR="007F620D" w:rsidRPr="0068632F" w:rsidRDefault="007F620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гласник на РС, бр. 76/2023, членови 228–229</w:t>
      </w:r>
      <w:r w:rsidRPr="0068632F">
        <w:rPr>
          <w:rFonts w:ascii="Times New Roman" w:hAnsi="Times New Roman" w:cs="Times New Roman"/>
          <w:lang w:val="mk-MK"/>
        </w:rPr>
        <w:t>.</w:t>
      </w:r>
    </w:p>
  </w:footnote>
  <w:footnote w:id="550">
    <w:p w14:paraId="488B4A5D" w14:textId="64FCB445" w:rsidR="0013403E" w:rsidRPr="0068632F" w:rsidRDefault="0013403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гласник на РС, бр. 76/2023, член</w:t>
      </w:r>
      <w:r w:rsidRPr="0068632F">
        <w:rPr>
          <w:rFonts w:ascii="Times New Roman" w:hAnsi="Times New Roman" w:cs="Times New Roman"/>
          <w:lang w:val="mk-MK"/>
        </w:rPr>
        <w:t xml:space="preserve"> </w:t>
      </w:r>
      <w:r w:rsidRPr="0068632F">
        <w:rPr>
          <w:rFonts w:ascii="Times New Roman" w:hAnsi="Times New Roman" w:cs="Times New Roman"/>
        </w:rPr>
        <w:t>229</w:t>
      </w:r>
      <w:r w:rsidRPr="0068632F">
        <w:rPr>
          <w:rFonts w:ascii="Times New Roman" w:hAnsi="Times New Roman" w:cs="Times New Roman"/>
          <w:lang w:val="mk-MK"/>
        </w:rPr>
        <w:t>.</w:t>
      </w:r>
    </w:p>
  </w:footnote>
  <w:footnote w:id="551">
    <w:p w14:paraId="3EC07E8F" w14:textId="71C93464" w:rsidR="00E6666C" w:rsidRPr="0068632F" w:rsidRDefault="00E6666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Mrdak, G. (2020).</w:t>
      </w:r>
    </w:p>
  </w:footnote>
  <w:footnote w:id="552">
    <w:p w14:paraId="3F90D6AB" w14:textId="0A8B0693" w:rsidR="00791736" w:rsidRPr="0068632F" w:rsidRDefault="0079173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w:t>
      </w:r>
      <w:r w:rsidRPr="0068632F">
        <w:rPr>
          <w:rFonts w:ascii="Times New Roman" w:hAnsi="Times New Roman" w:cs="Times New Roman"/>
        </w:rPr>
        <w:t>дбор на директори</w:t>
      </w:r>
      <w:r w:rsidRPr="0068632F">
        <w:rPr>
          <w:rFonts w:ascii="Times New Roman" w:hAnsi="Times New Roman" w:cs="Times New Roman"/>
          <w:lang w:val="mk-MK"/>
        </w:rPr>
        <w:t>.</w:t>
      </w:r>
    </w:p>
  </w:footnote>
  <w:footnote w:id="553">
    <w:p w14:paraId="09CC8511" w14:textId="736F9378" w:rsidR="00791736" w:rsidRPr="0068632F" w:rsidRDefault="0079173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У</w:t>
      </w:r>
      <w:r w:rsidRPr="0068632F">
        <w:rPr>
          <w:rFonts w:ascii="Times New Roman" w:hAnsi="Times New Roman" w:cs="Times New Roman"/>
        </w:rPr>
        <w:t>правен одбор или управител и надзорен одбор</w:t>
      </w:r>
      <w:r w:rsidRPr="0068632F">
        <w:rPr>
          <w:rFonts w:ascii="Times New Roman" w:hAnsi="Times New Roman" w:cs="Times New Roman"/>
          <w:lang w:val="mk-MK"/>
        </w:rPr>
        <w:t>.</w:t>
      </w:r>
    </w:p>
  </w:footnote>
  <w:footnote w:id="554">
    <w:p w14:paraId="3363B1A0" w14:textId="2DBC6FD4" w:rsidR="00A57F50" w:rsidRPr="0068632F" w:rsidRDefault="00A57F5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Член 342 од Законот за трговските друштва. </w:t>
      </w:r>
    </w:p>
  </w:footnote>
  <w:footnote w:id="555">
    <w:p w14:paraId="7FE279D5" w14:textId="781B13CC" w:rsidR="0090122C" w:rsidRPr="0068632F" w:rsidRDefault="0090122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15E56" w:rsidRPr="0068632F">
        <w:rPr>
          <w:rFonts w:ascii="Times New Roman" w:hAnsi="Times New Roman" w:cs="Times New Roman"/>
        </w:rPr>
        <w:t xml:space="preserve">Todorović, N. V., &amp; Brašić Stojanović, J. R. (2024). Analiza novog zakona o korporativnom upravljanju u državnim preduzećima u Srbiji u svetlu smernica OECD-a. Strani pravni život, 68(2), 195–213. </w:t>
      </w:r>
      <w:hyperlink r:id="rId109" w:history="1">
        <w:r w:rsidR="00215E56" w:rsidRPr="0068632F">
          <w:rPr>
            <w:rStyle w:val="Hyperlink"/>
            <w:rFonts w:ascii="Times New Roman" w:hAnsi="Times New Roman" w:cs="Times New Roman"/>
          </w:rPr>
          <w:t>https://doi.org/10.56461/SPZ_24202KJ</w:t>
        </w:r>
      </w:hyperlink>
      <w:r w:rsidR="00215E56" w:rsidRPr="0068632F">
        <w:rPr>
          <w:rFonts w:ascii="Times New Roman" w:hAnsi="Times New Roman" w:cs="Times New Roman"/>
          <w:lang w:val="en-US"/>
        </w:rPr>
        <w:t xml:space="preserve">. </w:t>
      </w:r>
    </w:p>
  </w:footnote>
  <w:footnote w:id="556">
    <w:p w14:paraId="34DECB73" w14:textId="759A515A" w:rsidR="00DC6936" w:rsidRPr="0068632F" w:rsidRDefault="00DC693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Todorović</w:t>
      </w:r>
      <w:r w:rsidRPr="0068632F">
        <w:rPr>
          <w:rFonts w:ascii="Times New Roman" w:hAnsi="Times New Roman" w:cs="Times New Roman"/>
          <w:lang w:val="en-US"/>
        </w:rPr>
        <w:t xml:space="preserve"> &amp;</w:t>
      </w:r>
      <w:r w:rsidRPr="0068632F">
        <w:rPr>
          <w:rFonts w:ascii="Times New Roman" w:hAnsi="Times New Roman" w:cs="Times New Roman"/>
        </w:rPr>
        <w:t xml:space="preserve"> Brašić Stojanović, 2024</w:t>
      </w:r>
      <w:r w:rsidRPr="0068632F">
        <w:rPr>
          <w:rFonts w:ascii="Times New Roman" w:hAnsi="Times New Roman" w:cs="Times New Roman"/>
          <w:lang w:val="en-US"/>
        </w:rPr>
        <w:t xml:space="preserve">. </w:t>
      </w:r>
    </w:p>
  </w:footnote>
  <w:footnote w:id="557">
    <w:p w14:paraId="6EF9A399" w14:textId="4A8E7FFC" w:rsidR="00DC6936" w:rsidRPr="0068632F" w:rsidRDefault="00DC693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Службен гласник на РС, бр. 15/2016 и 88/2019, член 17</w:t>
      </w:r>
      <w:r w:rsidRPr="0068632F">
        <w:rPr>
          <w:rFonts w:ascii="Times New Roman" w:hAnsi="Times New Roman" w:cs="Times New Roman"/>
          <w:lang w:val="en-US"/>
        </w:rPr>
        <w:t>.</w:t>
      </w:r>
    </w:p>
  </w:footnote>
  <w:footnote w:id="558">
    <w:p w14:paraId="58BF3196" w14:textId="095A2C8D" w:rsidR="00EB0681" w:rsidRPr="0068632F" w:rsidRDefault="00EB068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37A98" w:rsidRPr="0068632F">
        <w:rPr>
          <w:rFonts w:ascii="Times New Roman" w:hAnsi="Times New Roman" w:cs="Times New Roman"/>
        </w:rPr>
        <w:t>Todorović, N. V., &amp; Brašić Stojanović, J. R. (2024</w:t>
      </w:r>
      <w:r w:rsidR="00E37A98" w:rsidRPr="0068632F">
        <w:rPr>
          <w:rFonts w:ascii="Times New Roman" w:hAnsi="Times New Roman" w:cs="Times New Roman"/>
          <w:lang w:val="en-US"/>
        </w:rPr>
        <w:t xml:space="preserve">). </w:t>
      </w:r>
    </w:p>
  </w:footnote>
  <w:footnote w:id="559">
    <w:p w14:paraId="4ECD57BB" w14:textId="6A70D7BC" w:rsidR="009536C8" w:rsidRPr="0068632F" w:rsidRDefault="009536C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C65B4" w:rsidRPr="0068632F">
        <w:rPr>
          <w:rFonts w:ascii="Times New Roman" w:hAnsi="Times New Roman" w:cs="Times New Roman"/>
        </w:rPr>
        <w:t xml:space="preserve">Vukolić, Z. (2019). Korporativno upravljanje u javnim preduzećima. Revizor, 22(85), 71–87. </w:t>
      </w:r>
      <w:hyperlink r:id="rId110" w:history="1">
        <w:r w:rsidR="005C65B4" w:rsidRPr="0068632F">
          <w:rPr>
            <w:rStyle w:val="Hyperlink"/>
            <w:rFonts w:ascii="Times New Roman" w:hAnsi="Times New Roman" w:cs="Times New Roman"/>
          </w:rPr>
          <w:t>https://doi.org/10.5937/Rev1885071V</w:t>
        </w:r>
      </w:hyperlink>
      <w:r w:rsidR="005C65B4" w:rsidRPr="0068632F">
        <w:rPr>
          <w:rFonts w:ascii="Times New Roman" w:hAnsi="Times New Roman" w:cs="Times New Roman"/>
          <w:lang w:val="en-US"/>
        </w:rPr>
        <w:t xml:space="preserve">. </w:t>
      </w:r>
    </w:p>
  </w:footnote>
  <w:footnote w:id="560">
    <w:p w14:paraId="3E576D96" w14:textId="60E76280" w:rsidR="006B12A9" w:rsidRPr="0068632F" w:rsidRDefault="006B12A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Nikoloski, K., Gorgieva-Trajkovska, O., &amp; Koleva, B. (2016). Corporate governance in transition economies, with reference to institutional framework in Macedonia. Journal of Economics, 1(2).</w:t>
      </w:r>
    </w:p>
  </w:footnote>
  <w:footnote w:id="561">
    <w:p w14:paraId="768CF168" w14:textId="1D631FAE" w:rsidR="001D5EED" w:rsidRPr="0068632F" w:rsidRDefault="001D5EE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00F93811" w:rsidRPr="0068632F">
        <w:rPr>
          <w:rFonts w:ascii="Times New Roman" w:hAnsi="Times New Roman" w:cs="Times New Roman"/>
          <w:lang w:val="mk-MK"/>
        </w:rPr>
        <w:t xml:space="preserve">Vasiljević, M. S. (2021). „Bermudski trougao“ kompanijskog, stečajnog i prava preuzimanja akcionarskih društava: Tri subjekta zaštite – kompanija, poverilac i akcionar. Strani pravni život, 65(2), 193–206. </w:t>
      </w:r>
      <w:hyperlink r:id="rId111" w:history="1">
        <w:r w:rsidR="00F93811" w:rsidRPr="0068632F">
          <w:rPr>
            <w:rStyle w:val="Hyperlink"/>
            <w:rFonts w:ascii="Times New Roman" w:hAnsi="Times New Roman" w:cs="Times New Roman"/>
            <w:lang w:val="mk-MK"/>
          </w:rPr>
          <w:t>https://doi.org/10.5937/spz65-33361</w:t>
        </w:r>
      </w:hyperlink>
      <w:r w:rsidR="00F93811" w:rsidRPr="0068632F">
        <w:rPr>
          <w:rFonts w:ascii="Times New Roman" w:hAnsi="Times New Roman" w:cs="Times New Roman"/>
          <w:lang w:val="mk-MK"/>
        </w:rPr>
        <w:t xml:space="preserve">. </w:t>
      </w:r>
    </w:p>
  </w:footnote>
  <w:footnote w:id="562">
    <w:p w14:paraId="10E9168E" w14:textId="7501F896" w:rsidR="00C041B1" w:rsidRPr="0068632F" w:rsidRDefault="00C041B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Vasiljević, 2021, стр. 197–198</w:t>
      </w:r>
      <w:r w:rsidRPr="0068632F">
        <w:rPr>
          <w:rFonts w:ascii="Times New Roman" w:hAnsi="Times New Roman" w:cs="Times New Roman"/>
          <w:lang w:val="mk-MK"/>
        </w:rPr>
        <w:t>.</w:t>
      </w:r>
    </w:p>
  </w:footnote>
  <w:footnote w:id="563">
    <w:p w14:paraId="70195E9D" w14:textId="2D4A719E" w:rsidR="00DB5F84" w:rsidRPr="0068632F" w:rsidRDefault="00DB5F8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Изборот на четирите градови беше базиран врз основа на бројот на прифатени интервјуа и можности за разговори со релевантни чинители. </w:t>
      </w:r>
    </w:p>
  </w:footnote>
  <w:footnote w:id="564">
    <w:p w14:paraId="5FC6F1EF" w14:textId="5E5DB16C" w:rsidR="006553F9" w:rsidRPr="0068632F" w:rsidRDefault="006553F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70B03" w:rsidRPr="0068632F">
        <w:rPr>
          <w:rFonts w:ascii="Times New Roman" w:hAnsi="Times New Roman" w:cs="Times New Roman"/>
          <w:lang w:val="mk-MK"/>
        </w:rPr>
        <w:t xml:space="preserve">Види краток осврт и од 2010 година на слична проблематика во Aziri, B. (2010). The two-tier system of corporate governance in the Republic of Macedonia. Studia Universitatis </w:t>
      </w:r>
      <w:r w:rsidR="006010B6" w:rsidRPr="0068632F">
        <w:rPr>
          <w:rFonts w:ascii="Times New Roman" w:hAnsi="Times New Roman" w:cs="Times New Roman"/>
          <w:lang w:val="en-US"/>
        </w:rPr>
        <w:t>BB</w:t>
      </w:r>
      <w:r w:rsidR="00C70B03" w:rsidRPr="0068632F">
        <w:rPr>
          <w:rFonts w:ascii="Times New Roman" w:hAnsi="Times New Roman" w:cs="Times New Roman"/>
          <w:lang w:val="mk-MK"/>
        </w:rPr>
        <w:t>-Oeconomica, 55(2), 64-75.</w:t>
      </w:r>
    </w:p>
  </w:footnote>
  <w:footnote w:id="565">
    <w:p w14:paraId="490B73D4" w14:textId="3CF896ED" w:rsidR="00730689" w:rsidRPr="0068632F" w:rsidRDefault="0073068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249CC" w:rsidRPr="0068632F">
        <w:rPr>
          <w:rFonts w:ascii="Times New Roman" w:hAnsi="Times New Roman" w:cs="Times New Roman"/>
          <w:lang w:val="mk-MK"/>
        </w:rPr>
        <w:t xml:space="preserve">За економскиот контекст види и </w:t>
      </w:r>
      <w:r w:rsidR="00C01398" w:rsidRPr="0068632F">
        <w:rPr>
          <w:rFonts w:ascii="Times New Roman" w:hAnsi="Times New Roman" w:cs="Times New Roman"/>
          <w:lang w:val="mk-MK"/>
        </w:rPr>
        <w:t>постари дискусии во Aziri, B., Veseli, N., &amp; Veseli, T. (2014, April). Corporate Governance in the Republic of Macedonia. In International OFEL Conference on Governance, Management and Entrepreneurship (p. 316). Centar za istrazivanje i razvoj upravljanja doo.</w:t>
      </w:r>
    </w:p>
  </w:footnote>
  <w:footnote w:id="566">
    <w:p w14:paraId="1062314C" w14:textId="691B7CE3" w:rsidR="00CB4BB1" w:rsidRPr="0068632F" w:rsidRDefault="00CB4BB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A62E3" w:rsidRPr="0068632F">
        <w:rPr>
          <w:rFonts w:ascii="Times New Roman" w:hAnsi="Times New Roman" w:cs="Times New Roman"/>
          <w:lang w:val="mk-MK"/>
        </w:rPr>
        <w:t>Овие заклучоци не се нови и можат да се лоцираат и во трудови од 2008, види McGee, R. W. (2008). An Overview of Corporate Governance Practices in Macedonia. Corporate Governance in Transition Economies, 387-390</w:t>
      </w:r>
      <w:r w:rsidR="0010549D" w:rsidRPr="0068632F">
        <w:rPr>
          <w:rFonts w:ascii="Times New Roman" w:hAnsi="Times New Roman" w:cs="Times New Roman"/>
          <w:lang w:val="en-US"/>
        </w:rPr>
        <w:t>.</w:t>
      </w:r>
    </w:p>
  </w:footnote>
  <w:footnote w:id="567">
    <w:p w14:paraId="369B8ABB" w14:textId="0600F7E9" w:rsidR="008A2423" w:rsidRPr="0068632F" w:rsidRDefault="008A242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43AA2" w:rsidRPr="0068632F">
        <w:rPr>
          <w:rFonts w:ascii="Times New Roman" w:hAnsi="Times New Roman" w:cs="Times New Roman"/>
          <w:lang w:val="mk-MK"/>
        </w:rPr>
        <w:t>Ограничен дел опфатен и во Nikoloski, K., Gorgieva-Trajkovska, O., &amp; Koleva, B. (2016).</w:t>
      </w:r>
    </w:p>
  </w:footnote>
  <w:footnote w:id="568">
    <w:p w14:paraId="3E560347" w14:textId="14F850B0" w:rsidR="00EF333A" w:rsidRPr="0068632F" w:rsidRDefault="00EF333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90853" w:rsidRPr="0068632F">
        <w:rPr>
          <w:rFonts w:ascii="Times New Roman" w:hAnsi="Times New Roman" w:cs="Times New Roman"/>
          <w:lang w:val="mk-MK"/>
        </w:rPr>
        <w:t xml:space="preserve">Видливо и во литературата, на пример во Psychogios A, Szamosi L, Brewster C and Prouska R (2019) Varieties of crisis and working conditions: A comparative study of Greece and Serbia. </w:t>
      </w:r>
    </w:p>
  </w:footnote>
  <w:footnote w:id="569">
    <w:p w14:paraId="1BA136C4" w14:textId="41F57327" w:rsidR="00F95E60" w:rsidRPr="0068632F" w:rsidRDefault="00F95E6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90156" w:rsidRPr="0068632F">
        <w:rPr>
          <w:rFonts w:ascii="Times New Roman" w:hAnsi="Times New Roman" w:cs="Times New Roman"/>
        </w:rPr>
        <w:t>Milošević Law. (2022).</w:t>
      </w:r>
    </w:p>
  </w:footnote>
  <w:footnote w:id="570">
    <w:p w14:paraId="32FB57AE" w14:textId="328F7A29" w:rsidR="001231EF" w:rsidRPr="0068632F" w:rsidRDefault="001231E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B1675" w:rsidRPr="0068632F">
        <w:rPr>
          <w:rFonts w:ascii="Times New Roman" w:hAnsi="Times New Roman" w:cs="Times New Roman"/>
          <w:lang w:val="mk-MK"/>
        </w:rPr>
        <w:t xml:space="preserve">Види </w:t>
      </w:r>
      <w:r w:rsidR="00795DF7" w:rsidRPr="0068632F">
        <w:rPr>
          <w:rFonts w:ascii="Times New Roman" w:hAnsi="Times New Roman" w:cs="Times New Roman"/>
        </w:rPr>
        <w:t>Todorović, N. V., &amp; Brašić Stojanović, J. R. (2024).</w:t>
      </w:r>
    </w:p>
  </w:footnote>
  <w:footnote w:id="571">
    <w:p w14:paraId="5007B7D1" w14:textId="3F15C81B" w:rsidR="00CB67F9" w:rsidRPr="0068632F" w:rsidRDefault="00CB67F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30689" w:rsidRPr="0068632F">
        <w:rPr>
          <w:rFonts w:ascii="Times New Roman" w:hAnsi="Times New Roman" w:cs="Times New Roman"/>
        </w:rPr>
        <w:t>Vukolić, Z. (2019).</w:t>
      </w:r>
    </w:p>
  </w:footnote>
  <w:footnote w:id="572">
    <w:p w14:paraId="1AD2917C" w14:textId="7B3D4194" w:rsidR="00D13399" w:rsidRPr="0068632F" w:rsidRDefault="00D1339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D7151" w:rsidRPr="0068632F">
        <w:rPr>
          <w:rFonts w:ascii="Times New Roman" w:hAnsi="Times New Roman" w:cs="Times New Roman"/>
          <w:lang w:val="mk-MK"/>
        </w:rPr>
        <w:t>Види дел од фокусот и во Suklev, B., Debarliev, S., &amp; Drakulevski, L. (2020). Structuring Corporate Boards: Some Facts and Determinants from the Macedonian Setting. Central European Management Journal, 28, 57-82.</w:t>
      </w:r>
    </w:p>
  </w:footnote>
  <w:footnote w:id="573">
    <w:p w14:paraId="2DA55097" w14:textId="4FB4F55F" w:rsidR="008C72ED" w:rsidRPr="0068632F" w:rsidRDefault="008C72E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Точниот термин на двата закони е „Закон за привредна друштва“. </w:t>
      </w:r>
    </w:p>
  </w:footnote>
  <w:footnote w:id="574">
    <w:p w14:paraId="4549E9CC" w14:textId="1BBD45C0" w:rsidR="00D03299" w:rsidRPr="0068632F" w:rsidRDefault="00D0329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C7921" w:rsidRPr="0068632F">
        <w:rPr>
          <w:rFonts w:ascii="Times New Roman" w:hAnsi="Times New Roman" w:cs="Times New Roman"/>
          <w:lang w:val="mk-MK"/>
        </w:rPr>
        <w:t xml:space="preserve">За опширен опис види и </w:t>
      </w:r>
      <w:r w:rsidR="00CC7921" w:rsidRPr="0068632F">
        <w:rPr>
          <w:rFonts w:ascii="Times New Roman" w:hAnsi="Times New Roman" w:cs="Times New Roman"/>
          <w:lang w:val="bg-BG"/>
        </w:rPr>
        <w:t>Bös, D. (1993). Privatization in Europe: a comparison of approaches. </w:t>
      </w:r>
      <w:r w:rsidR="00CC7921" w:rsidRPr="0068632F">
        <w:rPr>
          <w:rFonts w:ascii="Times New Roman" w:hAnsi="Times New Roman" w:cs="Times New Roman"/>
          <w:i/>
          <w:iCs/>
          <w:lang w:val="bg-BG"/>
        </w:rPr>
        <w:t>Oxford Review of Economic Policy</w:t>
      </w:r>
      <w:r w:rsidR="00CC7921" w:rsidRPr="0068632F">
        <w:rPr>
          <w:rFonts w:ascii="Times New Roman" w:hAnsi="Times New Roman" w:cs="Times New Roman"/>
          <w:lang w:val="bg-BG"/>
        </w:rPr>
        <w:t>, </w:t>
      </w:r>
      <w:r w:rsidR="00CC7921" w:rsidRPr="0068632F">
        <w:rPr>
          <w:rFonts w:ascii="Times New Roman" w:hAnsi="Times New Roman" w:cs="Times New Roman"/>
          <w:i/>
          <w:iCs/>
          <w:lang w:val="bg-BG"/>
        </w:rPr>
        <w:t>9</w:t>
      </w:r>
      <w:r w:rsidR="00CC7921" w:rsidRPr="0068632F">
        <w:rPr>
          <w:rFonts w:ascii="Times New Roman" w:hAnsi="Times New Roman" w:cs="Times New Roman"/>
          <w:lang w:val="bg-BG"/>
        </w:rPr>
        <w:t>(1), 95-111.</w:t>
      </w:r>
    </w:p>
  </w:footnote>
  <w:footnote w:id="575">
    <w:p w14:paraId="46014CE1" w14:textId="2BCDBE27" w:rsidR="00D828CE" w:rsidRPr="0068632F" w:rsidRDefault="00D828C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Речиси сите опишани состојби се воедно и последици на приватизацијата, види</w:t>
      </w:r>
      <w:r w:rsidRPr="0068632F">
        <w:rPr>
          <w:rFonts w:ascii="Times New Roman" w:hAnsi="Times New Roman" w:cs="Times New Roman"/>
          <w:lang w:val="bg-BG"/>
        </w:rPr>
        <w:t xml:space="preserve"> Bös, D. (1993).</w:t>
      </w:r>
    </w:p>
  </w:footnote>
  <w:footnote w:id="576">
    <w:p w14:paraId="6E21040A" w14:textId="41B98EC3" w:rsidR="00596E5D" w:rsidRPr="0068632F" w:rsidRDefault="00596E5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Добар дел од итните чекори кои треба да се преземат се опишани и во </w:t>
      </w:r>
      <w:r w:rsidR="00DF106D" w:rsidRPr="0068632F">
        <w:rPr>
          <w:rFonts w:ascii="Times New Roman" w:hAnsi="Times New Roman" w:cs="Times New Roman"/>
          <w:lang w:val="mk-MK"/>
        </w:rPr>
        <w:t xml:space="preserve">секторот за меѓународни стандарди и </w:t>
      </w:r>
      <w:r w:rsidR="009B003B" w:rsidRPr="0068632F">
        <w:rPr>
          <w:rFonts w:ascii="Times New Roman" w:hAnsi="Times New Roman" w:cs="Times New Roman"/>
          <w:lang w:val="mk-MK"/>
        </w:rPr>
        <w:t>услови</w:t>
      </w:r>
      <w:r w:rsidR="00DF106D" w:rsidRPr="0068632F">
        <w:rPr>
          <w:rFonts w:ascii="Times New Roman" w:hAnsi="Times New Roman" w:cs="Times New Roman"/>
          <w:lang w:val="mk-MK"/>
        </w:rPr>
        <w:t xml:space="preserve"> кои Македонија доброволно ги има преземено</w:t>
      </w:r>
      <w:r w:rsidR="009B003B" w:rsidRPr="0068632F">
        <w:rPr>
          <w:rFonts w:ascii="Times New Roman" w:hAnsi="Times New Roman" w:cs="Times New Roman"/>
          <w:lang w:val="mk-MK"/>
        </w:rPr>
        <w:t xml:space="preserve"> како своја обврска</w:t>
      </w:r>
      <w:r w:rsidR="00DF106D" w:rsidRPr="0068632F">
        <w:rPr>
          <w:rFonts w:ascii="Times New Roman" w:hAnsi="Times New Roman" w:cs="Times New Roman"/>
          <w:lang w:val="mk-MK"/>
        </w:rPr>
        <w:t xml:space="preserve">. </w:t>
      </w:r>
    </w:p>
  </w:footnote>
  <w:footnote w:id="577">
    <w:p w14:paraId="04CF6064" w14:textId="3B7086BC" w:rsidR="00413A32" w:rsidRPr="0068632F" w:rsidRDefault="00413A3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F6097" w:rsidRPr="0068632F">
        <w:rPr>
          <w:rFonts w:ascii="Times New Roman" w:hAnsi="Times New Roman" w:cs="Times New Roman"/>
          <w:lang w:val="mk-MK"/>
        </w:rPr>
        <w:t xml:space="preserve">Види и </w:t>
      </w:r>
      <w:r w:rsidR="00BF6097" w:rsidRPr="0068632F">
        <w:rPr>
          <w:rFonts w:ascii="Times New Roman" w:hAnsi="Times New Roman" w:cs="Times New Roman"/>
        </w:rPr>
        <w:t>Delova-Jolevska, E. (2014). Corporate Governance in the Banking Sector of the Republic of Macedonia. In Corporate Governance: An International Perspective (pp. 69-80). Berlin, Heidelberg: Springer Berlin Heidelberg.</w:t>
      </w:r>
    </w:p>
  </w:footnote>
  <w:footnote w:id="578">
    <w:p w14:paraId="2626F683" w14:textId="35B6DE60" w:rsidR="00517299" w:rsidRPr="0068632F" w:rsidRDefault="0051729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47A23" w:rsidRPr="0068632F">
        <w:rPr>
          <w:rFonts w:ascii="Times New Roman" w:hAnsi="Times New Roman" w:cs="Times New Roman"/>
          <w:lang w:val="mk-MK"/>
        </w:rPr>
        <w:t>За подетално види и Bajgorić, A., Elsaman, H., &amp; Gernal, L. (2021). Contribution Of the Supervisory Board as Corporate Governance Body in The Development of The Company Strategy of State-Owned Enterprises in Bosnia and Herzegovina. Journal of Positive Psychology and Wellbeing, 5(3), 345-357.</w:t>
      </w:r>
    </w:p>
  </w:footnote>
  <w:footnote w:id="579">
    <w:p w14:paraId="258CEF42" w14:textId="6C3FDF8E" w:rsidR="004E53BC" w:rsidRPr="0068632F" w:rsidRDefault="004E53B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1245A" w:rsidRPr="0068632F">
        <w:rPr>
          <w:rFonts w:ascii="Times New Roman" w:hAnsi="Times New Roman" w:cs="Times New Roman"/>
          <w:lang w:val="mk-MK"/>
        </w:rPr>
        <w:t xml:space="preserve">За генералната проблематика види и види и </w:t>
      </w:r>
      <w:r w:rsidR="00A1245A" w:rsidRPr="0068632F">
        <w:rPr>
          <w:rFonts w:ascii="Times New Roman" w:hAnsi="Times New Roman" w:cs="Times New Roman"/>
          <w:lang w:val="bg-BG"/>
        </w:rPr>
        <w:t>Bös, D. (1993).</w:t>
      </w:r>
    </w:p>
  </w:footnote>
  <w:footnote w:id="580">
    <w:p w14:paraId="13879DFE" w14:textId="4E4D3612" w:rsidR="00A1245A" w:rsidRPr="0068632F" w:rsidRDefault="00A124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Bajgorić, A., Elsaman, H., &amp; Gernal, L. (2021).</w:t>
      </w:r>
    </w:p>
  </w:footnote>
  <w:footnote w:id="581">
    <w:p w14:paraId="6A1E9D9A" w14:textId="16D5FA33" w:rsidR="00550476" w:rsidRPr="0068632F" w:rsidRDefault="0055047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E12BF" w:rsidRPr="0068632F">
        <w:rPr>
          <w:rFonts w:ascii="Times New Roman" w:hAnsi="Times New Roman" w:cs="Times New Roman"/>
        </w:rPr>
        <w:t>Работничко соодлучување-застарен или воскреснат мит за подобро работење на трговските друштва</w:t>
      </w:r>
      <w:r w:rsidR="00DE12BF" w:rsidRPr="0068632F">
        <w:rPr>
          <w:rFonts w:ascii="Times New Roman" w:hAnsi="Times New Roman" w:cs="Times New Roman"/>
          <w:lang w:val="mk-MK"/>
        </w:rPr>
        <w:t>?</w:t>
      </w:r>
    </w:p>
  </w:footnote>
  <w:footnote w:id="582">
    <w:p w14:paraId="63E797AA" w14:textId="6B89F70A" w:rsidR="00BE7520" w:rsidRPr="0068632F" w:rsidRDefault="00BE752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Bajgorić, A., Elsaman, H., &amp; Gernal, L. (2021).</w:t>
      </w:r>
    </w:p>
  </w:footnote>
  <w:footnote w:id="583">
    <w:p w14:paraId="2A257547" w14:textId="7C1A77B2" w:rsidR="005C04B9" w:rsidRPr="0068632F" w:rsidRDefault="005C04B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Pr="0068632F">
        <w:rPr>
          <w:rFonts w:ascii="Times New Roman" w:hAnsi="Times New Roman" w:cs="Times New Roman"/>
        </w:rPr>
        <w:t>Delova-Jolevska, E. (2014</w:t>
      </w:r>
      <w:r w:rsidRPr="0068632F">
        <w:rPr>
          <w:rFonts w:ascii="Times New Roman" w:hAnsi="Times New Roman" w:cs="Times New Roman"/>
          <w:lang w:val="mk-MK"/>
        </w:rPr>
        <w:t>) за состојбите во банкарскиот сектор како еден од најзначајните</w:t>
      </w:r>
      <w:r w:rsidR="003F0027" w:rsidRPr="0068632F">
        <w:rPr>
          <w:rFonts w:ascii="Times New Roman" w:hAnsi="Times New Roman" w:cs="Times New Roman"/>
          <w:lang w:val="mk-MK"/>
        </w:rPr>
        <w:t xml:space="preserve"> во државата</w:t>
      </w:r>
      <w:r w:rsidRPr="0068632F">
        <w:rPr>
          <w:rFonts w:ascii="Times New Roman" w:hAnsi="Times New Roman" w:cs="Times New Roman"/>
          <w:lang w:val="mk-MK"/>
        </w:rPr>
        <w:t xml:space="preserve">. </w:t>
      </w:r>
    </w:p>
  </w:footnote>
  <w:footnote w:id="584">
    <w:p w14:paraId="4AFAB186" w14:textId="6AC8EF36" w:rsidR="00706B3F" w:rsidRPr="0068632F" w:rsidRDefault="00706B3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Klačmer Čalopa, M., Đunđek Kokotec, I., &amp; Korent, D. (2015). Corporate governance and successful company performance (Focus on Croatia). In 10th International Scientific Conference on Economic and Social Development – Miami, 25th September 2015 (pp. 283–294). </w:t>
      </w:r>
      <w:hyperlink r:id="rId112" w:history="1">
        <w:r w:rsidRPr="0068632F">
          <w:rPr>
            <w:rStyle w:val="Hyperlink"/>
            <w:rFonts w:ascii="Times New Roman" w:hAnsi="Times New Roman" w:cs="Times New Roman"/>
          </w:rPr>
          <w:t>https://www.researchgate.net/publication/370638141</w:t>
        </w:r>
      </w:hyperlink>
      <w:r w:rsidRPr="0068632F">
        <w:rPr>
          <w:rFonts w:ascii="Times New Roman" w:hAnsi="Times New Roman" w:cs="Times New Roman"/>
          <w:lang w:val="mk-MK"/>
        </w:rPr>
        <w:t xml:space="preserve">. </w:t>
      </w:r>
    </w:p>
  </w:footnote>
  <w:footnote w:id="585">
    <w:p w14:paraId="1EFDE084" w14:textId="4A8AD2E7" w:rsidR="002C5867" w:rsidRPr="0068632F" w:rsidRDefault="002C586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E4D50" w:rsidRPr="0068632F">
        <w:rPr>
          <w:rFonts w:ascii="Times New Roman" w:hAnsi="Times New Roman" w:cs="Times New Roman"/>
          <w:lang w:val="mk-MK"/>
        </w:rPr>
        <w:t>За поопширна критика, види и Ristovski, A. (2023). The case of North Macedonia. selected Central and Eastern European countries, 86.</w:t>
      </w:r>
    </w:p>
  </w:footnote>
  <w:footnote w:id="586">
    <w:p w14:paraId="71FB5841" w14:textId="6ED18D21" w:rsidR="0069688F" w:rsidRPr="0068632F" w:rsidRDefault="0069688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A08A1" w:rsidRPr="0068632F">
        <w:rPr>
          <w:rFonts w:ascii="Times New Roman" w:hAnsi="Times New Roman" w:cs="Times New Roman"/>
        </w:rPr>
        <w:t>Klačmer Čalopa, M., Đunđek Kokotec, I., &amp; Korent, D. (2015).</w:t>
      </w:r>
    </w:p>
  </w:footnote>
  <w:footnote w:id="587">
    <w:p w14:paraId="744146ED" w14:textId="7CD0F9CA" w:rsidR="00B85700" w:rsidRPr="0068632F" w:rsidRDefault="00B8570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5109D" w:rsidRPr="0068632F">
        <w:rPr>
          <w:rFonts w:ascii="Times New Roman" w:hAnsi="Times New Roman" w:cs="Times New Roman"/>
        </w:rPr>
        <w:t xml:space="preserve">Generis. (2024). Corporate governance in Croatia: Legal and compliance frameworks. Generis Global Legal Services. </w:t>
      </w:r>
      <w:hyperlink r:id="rId113" w:history="1">
        <w:r w:rsidR="0015109D" w:rsidRPr="0068632F">
          <w:rPr>
            <w:rStyle w:val="Hyperlink"/>
            <w:rFonts w:ascii="Times New Roman" w:hAnsi="Times New Roman" w:cs="Times New Roman"/>
          </w:rPr>
          <w:t>https://generisonline.com/corporate-governance-in-croatia-legal-and-compliance-frameworks/</w:t>
        </w:r>
      </w:hyperlink>
      <w:r w:rsidR="0015109D" w:rsidRPr="0068632F">
        <w:rPr>
          <w:rFonts w:ascii="Times New Roman" w:hAnsi="Times New Roman" w:cs="Times New Roman"/>
          <w:lang w:val="en-US"/>
        </w:rPr>
        <w:t xml:space="preserve">. </w:t>
      </w:r>
    </w:p>
  </w:footnote>
  <w:footnote w:id="588">
    <w:p w14:paraId="0B842987" w14:textId="4AAE4B1A" w:rsidR="00F6332C" w:rsidRPr="0068632F" w:rsidRDefault="00F6332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E5AAF" w:rsidRPr="0068632F">
        <w:rPr>
          <w:rFonts w:ascii="Times New Roman" w:hAnsi="Times New Roman" w:cs="Times New Roman"/>
        </w:rPr>
        <w:t xml:space="preserve">Odvjetnički ured Bistrović. (2024). Corporate law overview. </w:t>
      </w:r>
      <w:hyperlink r:id="rId114" w:history="1">
        <w:r w:rsidR="00BE5AAF" w:rsidRPr="0068632F">
          <w:rPr>
            <w:rStyle w:val="Hyperlink"/>
            <w:rFonts w:ascii="Times New Roman" w:hAnsi="Times New Roman" w:cs="Times New Roman"/>
          </w:rPr>
          <w:t>https://odvjetnik-bistrovic.hr/en/practice-areas/corporate-law/</w:t>
        </w:r>
      </w:hyperlink>
      <w:r w:rsidR="00BE5AAF" w:rsidRPr="0068632F">
        <w:rPr>
          <w:rFonts w:ascii="Times New Roman" w:hAnsi="Times New Roman" w:cs="Times New Roman"/>
          <w:lang w:val="en-US"/>
        </w:rPr>
        <w:t xml:space="preserve">. </w:t>
      </w:r>
    </w:p>
  </w:footnote>
  <w:footnote w:id="589">
    <w:p w14:paraId="07882877" w14:textId="5C929B78" w:rsidR="00C14349" w:rsidRPr="0068632F" w:rsidRDefault="00C1434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Е</w:t>
      </w:r>
      <w:r w:rsidRPr="0068632F">
        <w:rPr>
          <w:rFonts w:ascii="Times New Roman" w:hAnsi="Times New Roman" w:cs="Times New Roman"/>
        </w:rPr>
        <w:t>дностепен и двостепен</w:t>
      </w:r>
      <w:r w:rsidRPr="0068632F">
        <w:rPr>
          <w:rFonts w:ascii="Times New Roman" w:hAnsi="Times New Roman" w:cs="Times New Roman"/>
          <w:lang w:val="mk-MK"/>
        </w:rPr>
        <w:t xml:space="preserve">. </w:t>
      </w:r>
    </w:p>
  </w:footnote>
  <w:footnote w:id="590">
    <w:p w14:paraId="37CD8AAE" w14:textId="3483040D" w:rsidR="00C14349" w:rsidRPr="0068632F" w:rsidRDefault="00C1434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trgovačkim društvima</w:t>
      </w:r>
      <w:r w:rsidRPr="0068632F">
        <w:rPr>
          <w:rFonts w:ascii="Times New Roman" w:hAnsi="Times New Roman" w:cs="Times New Roman"/>
          <w:lang w:val="mk-MK"/>
        </w:rPr>
        <w:t>.</w:t>
      </w:r>
    </w:p>
  </w:footnote>
  <w:footnote w:id="591">
    <w:p w14:paraId="424CFE4D" w14:textId="10849C5D" w:rsidR="0069688F" w:rsidRPr="0068632F" w:rsidRDefault="0069688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sudjelovanju radnika u odlučivanju</w:t>
      </w:r>
      <w:r w:rsidRPr="0068632F">
        <w:rPr>
          <w:rFonts w:ascii="Times New Roman" w:hAnsi="Times New Roman" w:cs="Times New Roman"/>
          <w:lang w:val="mk-MK"/>
        </w:rPr>
        <w:t>.</w:t>
      </w:r>
    </w:p>
  </w:footnote>
  <w:footnote w:id="592">
    <w:p w14:paraId="59A33DFC" w14:textId="7CB36688" w:rsidR="00B12E04" w:rsidRPr="0068632F" w:rsidRDefault="00B12E0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Generis. (2024).</w:t>
      </w:r>
    </w:p>
  </w:footnote>
  <w:footnote w:id="593">
    <w:p w14:paraId="50202F61" w14:textId="0F828E01" w:rsidR="00113E50" w:rsidRPr="0068632F" w:rsidRDefault="00113E5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 xml:space="preserve">Zakon o radu. </w:t>
      </w:r>
    </w:p>
  </w:footnote>
  <w:footnote w:id="594">
    <w:p w14:paraId="47DEBB15" w14:textId="36528FF4" w:rsidR="003F151D" w:rsidRPr="0068632F" w:rsidRDefault="003F151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Odvjetnički ured Bistrović. (2024).</w:t>
      </w:r>
    </w:p>
  </w:footnote>
  <w:footnote w:id="595">
    <w:p w14:paraId="6E8987DC" w14:textId="3716A514" w:rsidR="00EE74C4" w:rsidRPr="0068632F" w:rsidRDefault="00EE74C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00E72CCF" w:rsidRPr="0068632F">
        <w:rPr>
          <w:rFonts w:ascii="Times New Roman" w:hAnsi="Times New Roman" w:cs="Times New Roman"/>
          <w:lang w:val="mk-MK"/>
        </w:rPr>
        <w:t xml:space="preserve">Klačmer Čalopa, M., Đunđek Kokotec, I., &amp; Kokot, K. (2020). Impact of board size and ownership concentration on agency costs: Evidence for Croatian companies. Zbornik radova Ekonomskog fakulteta u Rijeci: časopis za ekonomsku teoriju i praksu, 38(2), 521–535. </w:t>
      </w:r>
      <w:hyperlink r:id="rId115" w:history="1">
        <w:r w:rsidR="00E72CCF" w:rsidRPr="0068632F">
          <w:rPr>
            <w:rStyle w:val="Hyperlink"/>
            <w:rFonts w:ascii="Times New Roman" w:hAnsi="Times New Roman" w:cs="Times New Roman"/>
            <w:lang w:val="mk-MK"/>
          </w:rPr>
          <w:t>https://doi.org/10.18045/zbefri.2020.2.521</w:t>
        </w:r>
      </w:hyperlink>
      <w:r w:rsidR="00E72CCF" w:rsidRPr="0068632F">
        <w:rPr>
          <w:rFonts w:ascii="Times New Roman" w:hAnsi="Times New Roman" w:cs="Times New Roman"/>
          <w:lang w:val="mk-MK"/>
        </w:rPr>
        <w:t xml:space="preserve">. </w:t>
      </w:r>
    </w:p>
  </w:footnote>
  <w:footnote w:id="596">
    <w:p w14:paraId="01EC98E4" w14:textId="158A5517" w:rsidR="00E8094A" w:rsidRPr="0068632F" w:rsidRDefault="00E8094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CMS. (2024). Expert guide for directors of companies – Croatia. CMS Reich-Rohrwig Hainz. </w:t>
      </w:r>
      <w:hyperlink r:id="rId116" w:history="1">
        <w:r w:rsidRPr="0068632F">
          <w:rPr>
            <w:rStyle w:val="Hyperlink"/>
            <w:rFonts w:ascii="Times New Roman" w:hAnsi="Times New Roman" w:cs="Times New Roman"/>
          </w:rPr>
          <w:t>https://cms.law/en/int/expert-guides/expert-guide-for-directors-of-companies/croatia</w:t>
        </w:r>
      </w:hyperlink>
      <w:r w:rsidRPr="0068632F">
        <w:rPr>
          <w:rFonts w:ascii="Times New Roman" w:hAnsi="Times New Roman" w:cs="Times New Roman"/>
          <w:lang w:val="en-US"/>
        </w:rPr>
        <w:t xml:space="preserve">. </w:t>
      </w:r>
    </w:p>
  </w:footnote>
  <w:footnote w:id="597">
    <w:p w14:paraId="54880EBA" w14:textId="18754E26" w:rsidR="001042D0" w:rsidRPr="0068632F" w:rsidRDefault="001042D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Н</w:t>
      </w:r>
      <w:r w:rsidRPr="0068632F">
        <w:rPr>
          <w:rFonts w:ascii="Times New Roman" w:hAnsi="Times New Roman" w:cs="Times New Roman"/>
        </w:rPr>
        <w:t>а пример околу 80-90 компании на Загребската берза</w:t>
      </w:r>
      <w:r w:rsidRPr="0068632F">
        <w:rPr>
          <w:rFonts w:ascii="Times New Roman" w:hAnsi="Times New Roman" w:cs="Times New Roman"/>
          <w:lang w:val="mk-MK"/>
        </w:rPr>
        <w:t xml:space="preserve">. </w:t>
      </w:r>
    </w:p>
  </w:footnote>
  <w:footnote w:id="598">
    <w:p w14:paraId="2D5B52F4" w14:textId="1CF5A09E" w:rsidR="000303F6" w:rsidRPr="0068632F" w:rsidRDefault="000303F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К</w:t>
      </w:r>
      <w:r w:rsidRPr="0068632F">
        <w:rPr>
          <w:rFonts w:ascii="Times New Roman" w:hAnsi="Times New Roman" w:cs="Times New Roman"/>
        </w:rPr>
        <w:t xml:space="preserve">ако </w:t>
      </w:r>
      <w:r w:rsidRPr="0068632F">
        <w:rPr>
          <w:rFonts w:ascii="Times New Roman" w:hAnsi="Times New Roman" w:cs="Times New Roman"/>
          <w:lang w:val="mk-MK"/>
        </w:rPr>
        <w:t>Телеком, Алкалоид</w:t>
      </w:r>
      <w:r w:rsidRPr="0068632F">
        <w:rPr>
          <w:rFonts w:ascii="Times New Roman" w:hAnsi="Times New Roman" w:cs="Times New Roman"/>
        </w:rPr>
        <w:t xml:space="preserve"> и големите банки</w:t>
      </w:r>
      <w:r w:rsidRPr="0068632F">
        <w:rPr>
          <w:rFonts w:ascii="Times New Roman" w:hAnsi="Times New Roman" w:cs="Times New Roman"/>
          <w:lang w:val="mk-MK"/>
        </w:rPr>
        <w:t>.</w:t>
      </w:r>
    </w:p>
  </w:footnote>
  <w:footnote w:id="599">
    <w:p w14:paraId="512B8640" w14:textId="58BE4A82" w:rsidR="00A71BCD" w:rsidRPr="0068632F" w:rsidRDefault="00A71BC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C4615" w:rsidRPr="0068632F">
        <w:rPr>
          <w:rFonts w:ascii="Times New Roman" w:hAnsi="Times New Roman" w:cs="Times New Roman"/>
          <w:lang w:val="mk-MK"/>
        </w:rPr>
        <w:t xml:space="preserve">Податоците за 10те најголеми акционерски друштва во Хрватска, го покажуваат следното: </w:t>
      </w:r>
      <w:r w:rsidR="00381958" w:rsidRPr="0068632F">
        <w:rPr>
          <w:rFonts w:ascii="Times New Roman" w:hAnsi="Times New Roman" w:cs="Times New Roman"/>
          <w:lang w:val="mk-MK"/>
        </w:rPr>
        <w:t xml:space="preserve">1) </w:t>
      </w:r>
      <w:r w:rsidR="001C4615" w:rsidRPr="0068632F">
        <w:rPr>
          <w:rFonts w:ascii="Times New Roman" w:hAnsi="Times New Roman" w:cs="Times New Roman"/>
          <w:lang w:val="mk-MK"/>
        </w:rPr>
        <w:t>BOSQAR d.d. – околу 13.319 вработени (водечки работодавач на берзата)</w:t>
      </w:r>
      <w:r w:rsidR="00381958" w:rsidRPr="0068632F">
        <w:rPr>
          <w:rFonts w:ascii="Times New Roman" w:hAnsi="Times New Roman" w:cs="Times New Roman"/>
          <w:lang w:val="mk-MK"/>
        </w:rPr>
        <w:t xml:space="preserve">, 2) </w:t>
      </w:r>
      <w:r w:rsidR="001C4615" w:rsidRPr="0068632F">
        <w:rPr>
          <w:rFonts w:ascii="Times New Roman" w:hAnsi="Times New Roman" w:cs="Times New Roman"/>
          <w:lang w:val="mk-MK"/>
        </w:rPr>
        <w:t>INA-Industrija nafte d.d. – околу 9.572 вработени</w:t>
      </w:r>
      <w:r w:rsidR="00381958" w:rsidRPr="0068632F">
        <w:rPr>
          <w:rFonts w:ascii="Times New Roman" w:hAnsi="Times New Roman" w:cs="Times New Roman"/>
          <w:lang w:val="mk-MK"/>
        </w:rPr>
        <w:t>, 3)</w:t>
      </w:r>
      <w:r w:rsidR="001C4615" w:rsidRPr="0068632F">
        <w:rPr>
          <w:rFonts w:ascii="Times New Roman" w:hAnsi="Times New Roman" w:cs="Times New Roman"/>
          <w:lang w:val="mk-MK"/>
        </w:rPr>
        <w:t xml:space="preserve"> Hrvatski Telekom d.d. – околу 5.751 вработени (податоци од крај на 2024 година)</w:t>
      </w:r>
      <w:r w:rsidR="00381958" w:rsidRPr="0068632F">
        <w:rPr>
          <w:rFonts w:ascii="Times New Roman" w:hAnsi="Times New Roman" w:cs="Times New Roman"/>
          <w:lang w:val="mk-MK"/>
        </w:rPr>
        <w:t xml:space="preserve">, 4) </w:t>
      </w:r>
      <w:r w:rsidR="001C4615" w:rsidRPr="0068632F">
        <w:rPr>
          <w:rFonts w:ascii="Times New Roman" w:hAnsi="Times New Roman" w:cs="Times New Roman"/>
          <w:lang w:val="mk-MK"/>
        </w:rPr>
        <w:t>Adris grupa d.d. – околу 5.722 вработени</w:t>
      </w:r>
      <w:r w:rsidR="00381958" w:rsidRPr="0068632F">
        <w:rPr>
          <w:rFonts w:ascii="Times New Roman" w:hAnsi="Times New Roman" w:cs="Times New Roman"/>
          <w:lang w:val="mk-MK"/>
        </w:rPr>
        <w:t xml:space="preserve">, 5) </w:t>
      </w:r>
      <w:r w:rsidR="001C4615" w:rsidRPr="0068632F">
        <w:rPr>
          <w:rFonts w:ascii="Times New Roman" w:hAnsi="Times New Roman" w:cs="Times New Roman"/>
          <w:lang w:val="mk-MK"/>
        </w:rPr>
        <w:t>Atlantic Grupa d.d. – околу 5.354 вработени</w:t>
      </w:r>
      <w:r w:rsidR="00B30C71" w:rsidRPr="0068632F">
        <w:rPr>
          <w:rFonts w:ascii="Times New Roman" w:hAnsi="Times New Roman" w:cs="Times New Roman"/>
          <w:lang w:val="mk-MK"/>
        </w:rPr>
        <w:t>, 6)</w:t>
      </w:r>
      <w:r w:rsidR="001C4615" w:rsidRPr="0068632F">
        <w:rPr>
          <w:rFonts w:ascii="Times New Roman" w:hAnsi="Times New Roman" w:cs="Times New Roman"/>
          <w:lang w:val="mk-MK"/>
        </w:rPr>
        <w:t xml:space="preserve"> Podravka d.d. – околу 5.629 вработени</w:t>
      </w:r>
      <w:r w:rsidR="00B30C71" w:rsidRPr="0068632F">
        <w:rPr>
          <w:rFonts w:ascii="Times New Roman" w:hAnsi="Times New Roman" w:cs="Times New Roman"/>
          <w:lang w:val="mk-MK"/>
        </w:rPr>
        <w:t>, 7)</w:t>
      </w:r>
      <w:r w:rsidR="001C4615" w:rsidRPr="0068632F">
        <w:rPr>
          <w:rFonts w:ascii="Times New Roman" w:hAnsi="Times New Roman" w:cs="Times New Roman"/>
          <w:lang w:val="mk-MK"/>
        </w:rPr>
        <w:t xml:space="preserve"> Končar – Elektroindustrija d.d. – околу 5.503 вработени</w:t>
      </w:r>
      <w:r w:rsidR="00B30C71" w:rsidRPr="0068632F">
        <w:rPr>
          <w:rFonts w:ascii="Times New Roman" w:hAnsi="Times New Roman" w:cs="Times New Roman"/>
          <w:lang w:val="mk-MK"/>
        </w:rPr>
        <w:t xml:space="preserve">, 8) </w:t>
      </w:r>
      <w:r w:rsidR="001C4615" w:rsidRPr="0068632F">
        <w:rPr>
          <w:rFonts w:ascii="Times New Roman" w:hAnsi="Times New Roman" w:cs="Times New Roman"/>
          <w:lang w:val="mk-MK"/>
        </w:rPr>
        <w:t>Zagrebačka banka d.d. – околу 4.461 вработени</w:t>
      </w:r>
      <w:r w:rsidR="00B30C71" w:rsidRPr="0068632F">
        <w:rPr>
          <w:rFonts w:ascii="Times New Roman" w:hAnsi="Times New Roman" w:cs="Times New Roman"/>
          <w:lang w:val="mk-MK"/>
        </w:rPr>
        <w:t xml:space="preserve">, 9) </w:t>
      </w:r>
      <w:r w:rsidR="001C4615" w:rsidRPr="0068632F">
        <w:rPr>
          <w:rFonts w:ascii="Times New Roman" w:hAnsi="Times New Roman" w:cs="Times New Roman"/>
          <w:lang w:val="mk-MK"/>
        </w:rPr>
        <w:t>Croatia osiguranje d.d. – околу 3.880 вработени</w:t>
      </w:r>
      <w:r w:rsidR="00691CB6" w:rsidRPr="0068632F">
        <w:rPr>
          <w:rFonts w:ascii="Times New Roman" w:hAnsi="Times New Roman" w:cs="Times New Roman"/>
          <w:lang w:val="mk-MK"/>
        </w:rPr>
        <w:t xml:space="preserve"> и 10)</w:t>
      </w:r>
      <w:r w:rsidR="001C4615" w:rsidRPr="0068632F">
        <w:rPr>
          <w:rFonts w:ascii="Times New Roman" w:hAnsi="Times New Roman" w:cs="Times New Roman"/>
          <w:lang w:val="mk-MK"/>
        </w:rPr>
        <w:t xml:space="preserve"> Ericsson Nikola Tesla d.d. – околу 2.913 вработени</w:t>
      </w:r>
      <w:r w:rsidR="00691CB6" w:rsidRPr="0068632F">
        <w:rPr>
          <w:rFonts w:ascii="Times New Roman" w:hAnsi="Times New Roman" w:cs="Times New Roman"/>
          <w:lang w:val="mk-MK"/>
        </w:rPr>
        <w:t>.</w:t>
      </w:r>
    </w:p>
  </w:footnote>
  <w:footnote w:id="600">
    <w:p w14:paraId="5E0339F5" w14:textId="464617E4" w:rsidR="00910C53" w:rsidRPr="0068632F" w:rsidRDefault="00910C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Ова ја нагласува различната големина на пазарите и структурата на економиите. </w:t>
      </w:r>
    </w:p>
  </w:footnote>
  <w:footnote w:id="601">
    <w:p w14:paraId="6DC30088" w14:textId="1E6F04EC" w:rsidR="0071636B" w:rsidRPr="0068632F" w:rsidRDefault="0071636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216AE" w:rsidRPr="0068632F">
        <w:rPr>
          <w:rFonts w:ascii="Times New Roman" w:hAnsi="Times New Roman" w:cs="Times New Roman"/>
          <w:lang w:val="mk-MK"/>
        </w:rPr>
        <w:t xml:space="preserve">Годишни извештаи на наведените друштва и на релевантните државни институции. </w:t>
      </w:r>
    </w:p>
  </w:footnote>
  <w:footnote w:id="602">
    <w:p w14:paraId="49F10659" w14:textId="3C3315C1" w:rsidR="00177A19" w:rsidRPr="0068632F" w:rsidRDefault="00177A1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Според структурата на работодавците во Србија, само 0,6% од сите компании имаат над 250 вработени, што ги вклучува најголемите акционерски друштва</w:t>
      </w:r>
      <w:r w:rsidR="00711458" w:rsidRPr="0068632F">
        <w:rPr>
          <w:rFonts w:ascii="Times New Roman" w:hAnsi="Times New Roman" w:cs="Times New Roman"/>
          <w:lang w:val="mk-MK"/>
        </w:rPr>
        <w:t>.</w:t>
      </w:r>
      <w:r w:rsidRPr="0068632F">
        <w:rPr>
          <w:rFonts w:ascii="Times New Roman" w:hAnsi="Times New Roman" w:cs="Times New Roman"/>
        </w:rPr>
        <w:t xml:space="preserve"> Овие примери кажуваат дека акционерските друштва што функционираат на значајни пазари во Србија</w:t>
      </w:r>
      <w:r w:rsidR="00711458" w:rsidRPr="0068632F">
        <w:rPr>
          <w:rFonts w:ascii="Times New Roman" w:hAnsi="Times New Roman" w:cs="Times New Roman"/>
          <w:lang w:val="mk-MK"/>
        </w:rPr>
        <w:t>,</w:t>
      </w:r>
      <w:r w:rsidRPr="0068632F">
        <w:rPr>
          <w:rFonts w:ascii="Times New Roman" w:hAnsi="Times New Roman" w:cs="Times New Roman"/>
        </w:rPr>
        <w:t xml:space="preserve"> особено во енергетика, финансии, осигурување и производство</w:t>
      </w:r>
      <w:r w:rsidR="00711458" w:rsidRPr="0068632F">
        <w:rPr>
          <w:rFonts w:ascii="Times New Roman" w:hAnsi="Times New Roman" w:cs="Times New Roman"/>
          <w:lang w:val="mk-MK"/>
        </w:rPr>
        <w:t>,</w:t>
      </w:r>
      <w:r w:rsidRPr="0068632F">
        <w:rPr>
          <w:rFonts w:ascii="Times New Roman" w:hAnsi="Times New Roman" w:cs="Times New Roman"/>
        </w:rPr>
        <w:t xml:space="preserve"> често имаат илјадници вработени, додека поголемиот дел од останатите деловни субјекти имаат многу помал број. Во Србија, најголемите и највидливите акционерски друштва често имаат илјадници вработени, што укажува дека просекот за најголемиот сегмент на овие друштва е значително повисок од националниот просек на компании воопшто.</w:t>
      </w:r>
    </w:p>
  </w:footnote>
  <w:footnote w:id="603">
    <w:p w14:paraId="3F493362" w14:textId="6F5BAAA5" w:rsidR="00D73D0D" w:rsidRPr="0068632F" w:rsidRDefault="00D73D0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Е</w:t>
      </w:r>
      <w:r w:rsidRPr="0068632F">
        <w:rPr>
          <w:rFonts w:ascii="Times New Roman" w:hAnsi="Times New Roman" w:cs="Times New Roman"/>
        </w:rPr>
        <w:t>ден од најголемите јавни/државни акционерски субјекти</w:t>
      </w:r>
      <w:r w:rsidRPr="0068632F">
        <w:rPr>
          <w:rFonts w:ascii="Times New Roman" w:hAnsi="Times New Roman" w:cs="Times New Roman"/>
          <w:lang w:val="mk-MK"/>
        </w:rPr>
        <w:t>.</w:t>
      </w:r>
      <w:r w:rsidR="002B5A9E" w:rsidRPr="0068632F">
        <w:rPr>
          <w:rFonts w:ascii="Times New Roman" w:hAnsi="Times New Roman" w:cs="Times New Roman"/>
          <w:lang w:val="mk-MK"/>
        </w:rPr>
        <w:t xml:space="preserve"> Значајни примери се и SIMPO a.d. Vranje, индустриски акционерски субјект, </w:t>
      </w:r>
      <w:r w:rsidR="00830014" w:rsidRPr="0068632F">
        <w:rPr>
          <w:rFonts w:ascii="Times New Roman" w:hAnsi="Times New Roman" w:cs="Times New Roman"/>
          <w:lang w:val="mk-MK"/>
        </w:rPr>
        <w:t xml:space="preserve">кој </w:t>
      </w:r>
      <w:r w:rsidR="002B5A9E" w:rsidRPr="0068632F">
        <w:rPr>
          <w:rFonts w:ascii="Times New Roman" w:hAnsi="Times New Roman" w:cs="Times New Roman"/>
          <w:lang w:val="mk-MK"/>
        </w:rPr>
        <w:t>има околу 2054 вработени</w:t>
      </w:r>
      <w:r w:rsidR="00830014" w:rsidRPr="0068632F">
        <w:rPr>
          <w:rFonts w:ascii="Times New Roman" w:hAnsi="Times New Roman" w:cs="Times New Roman"/>
          <w:lang w:val="mk-MK"/>
        </w:rPr>
        <w:t>,</w:t>
      </w:r>
      <w:r w:rsidR="002B5A9E" w:rsidRPr="0068632F">
        <w:rPr>
          <w:rFonts w:ascii="Times New Roman" w:hAnsi="Times New Roman" w:cs="Times New Roman"/>
          <w:lang w:val="mk-MK"/>
        </w:rPr>
        <w:t xml:space="preserve"> Dunav Osiguranje a.d. Beograd</w:t>
      </w:r>
      <w:r w:rsidR="00830014" w:rsidRPr="0068632F">
        <w:rPr>
          <w:rFonts w:ascii="Times New Roman" w:hAnsi="Times New Roman" w:cs="Times New Roman"/>
          <w:lang w:val="mk-MK"/>
        </w:rPr>
        <w:t xml:space="preserve"> кој</w:t>
      </w:r>
      <w:r w:rsidR="002B5A9E" w:rsidRPr="0068632F">
        <w:rPr>
          <w:rFonts w:ascii="Times New Roman" w:hAnsi="Times New Roman" w:cs="Times New Roman"/>
          <w:lang w:val="mk-MK"/>
        </w:rPr>
        <w:t xml:space="preserve"> има околу 3.402 вработени</w:t>
      </w:r>
      <w:r w:rsidR="00830014" w:rsidRPr="0068632F">
        <w:rPr>
          <w:rFonts w:ascii="Times New Roman" w:hAnsi="Times New Roman" w:cs="Times New Roman"/>
          <w:lang w:val="mk-MK"/>
        </w:rPr>
        <w:t xml:space="preserve"> и</w:t>
      </w:r>
      <w:r w:rsidR="002B5A9E" w:rsidRPr="0068632F">
        <w:rPr>
          <w:rFonts w:ascii="Times New Roman" w:hAnsi="Times New Roman" w:cs="Times New Roman"/>
          <w:lang w:val="mk-MK"/>
        </w:rPr>
        <w:t xml:space="preserve"> NLB Komercijalna banka a.d. Beograd </w:t>
      </w:r>
      <w:r w:rsidR="00830014" w:rsidRPr="0068632F">
        <w:rPr>
          <w:rFonts w:ascii="Times New Roman" w:hAnsi="Times New Roman" w:cs="Times New Roman"/>
          <w:lang w:val="mk-MK"/>
        </w:rPr>
        <w:t xml:space="preserve">која има </w:t>
      </w:r>
      <w:r w:rsidR="002B5A9E" w:rsidRPr="0068632F">
        <w:rPr>
          <w:rFonts w:ascii="Times New Roman" w:hAnsi="Times New Roman" w:cs="Times New Roman"/>
          <w:lang w:val="mk-MK"/>
        </w:rPr>
        <w:t xml:space="preserve">околу 2.745 вработени. </w:t>
      </w:r>
    </w:p>
  </w:footnote>
  <w:footnote w:id="604">
    <w:p w14:paraId="3406C8B4" w14:textId="53FBA031" w:rsidR="002260D7" w:rsidRPr="0068632F" w:rsidRDefault="002260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73BBA" w:rsidRPr="0068632F">
        <w:rPr>
          <w:rFonts w:ascii="Times New Roman" w:hAnsi="Times New Roman" w:cs="Times New Roman"/>
        </w:rPr>
        <w:t xml:space="preserve">Wolf Theiss. (2024, July 27). Key insights on CSRD reporting requirements for companies operating in the Croatian market. </w:t>
      </w:r>
      <w:hyperlink r:id="rId117" w:history="1">
        <w:r w:rsidR="00573BBA" w:rsidRPr="0068632F">
          <w:rPr>
            <w:rStyle w:val="Hyperlink"/>
            <w:rFonts w:ascii="Times New Roman" w:hAnsi="Times New Roman" w:cs="Times New Roman"/>
          </w:rPr>
          <w:t>https://www.wolftheiss.com</w:t>
        </w:r>
      </w:hyperlink>
      <w:r w:rsidR="00573BBA" w:rsidRPr="0068632F">
        <w:rPr>
          <w:rFonts w:ascii="Times New Roman" w:hAnsi="Times New Roman" w:cs="Times New Roman"/>
          <w:lang w:val="mk-MK"/>
        </w:rPr>
        <w:t xml:space="preserve">.  </w:t>
      </w:r>
    </w:p>
  </w:footnote>
  <w:footnote w:id="605">
    <w:p w14:paraId="5BC9072F" w14:textId="612AF4E2" w:rsidR="00063F93" w:rsidRPr="0068632F" w:rsidRDefault="00063F9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D0CE6" w:rsidRPr="0068632F">
        <w:rPr>
          <w:rFonts w:ascii="Times New Roman" w:hAnsi="Times New Roman" w:cs="Times New Roman"/>
        </w:rPr>
        <w:t xml:space="preserve">Kinstellar. (2025, April). Update on the implementation of CSRD and CSDDD and related local legislative developments in Croatia. Kinstellar Insights. </w:t>
      </w:r>
      <w:hyperlink r:id="rId118" w:history="1">
        <w:r w:rsidR="003D0CE6" w:rsidRPr="0068632F">
          <w:rPr>
            <w:rStyle w:val="Hyperlink"/>
            <w:rFonts w:ascii="Times New Roman" w:hAnsi="Times New Roman" w:cs="Times New Roman"/>
          </w:rPr>
          <w:t>https://www.kinstellar.com</w:t>
        </w:r>
      </w:hyperlink>
      <w:r w:rsidR="003D0CE6" w:rsidRPr="0068632F">
        <w:rPr>
          <w:rFonts w:ascii="Times New Roman" w:hAnsi="Times New Roman" w:cs="Times New Roman"/>
          <w:lang w:val="mk-MK"/>
        </w:rPr>
        <w:t xml:space="preserve">. </w:t>
      </w:r>
    </w:p>
  </w:footnote>
  <w:footnote w:id="606">
    <w:p w14:paraId="792130D1" w14:textId="11D35F38" w:rsidR="00FB743B" w:rsidRPr="0068632F" w:rsidRDefault="00FB743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HinaOTS. (2018, June 5). Hrvatska elektroprivreda d.d. – Odluke izvanredne Glavne skupštine. </w:t>
      </w:r>
      <w:hyperlink r:id="rId119" w:history="1">
        <w:r w:rsidRPr="0068632F">
          <w:rPr>
            <w:rStyle w:val="Hyperlink"/>
            <w:rFonts w:ascii="Times New Roman" w:hAnsi="Times New Roman" w:cs="Times New Roman"/>
          </w:rPr>
          <w:t>https://www.hina.hr/</w:t>
        </w:r>
      </w:hyperlink>
      <w:r w:rsidRPr="0068632F">
        <w:rPr>
          <w:rFonts w:ascii="Times New Roman" w:hAnsi="Times New Roman" w:cs="Times New Roman"/>
          <w:lang w:val="mk-MK"/>
        </w:rPr>
        <w:t xml:space="preserve">. </w:t>
      </w:r>
    </w:p>
  </w:footnote>
  <w:footnote w:id="607">
    <w:p w14:paraId="11285067" w14:textId="403FDAEF" w:rsidR="00AB3549" w:rsidRPr="0068632F" w:rsidRDefault="00AB354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Tušek, B., Filipović, D., &amp; Pokrovac, I. (2009). Empirical evidence about supervisory board members’ term lengths in Croatia. Ekonomski pregled, 60(1–2), 3–27. </w:t>
      </w:r>
      <w:hyperlink r:id="rId120" w:history="1">
        <w:r w:rsidRPr="0068632F">
          <w:rPr>
            <w:rStyle w:val="Hyperlink"/>
            <w:rFonts w:ascii="Times New Roman" w:hAnsi="Times New Roman" w:cs="Times New Roman"/>
          </w:rPr>
          <w:t>https://hrcak.srce.hr/33835</w:t>
        </w:r>
      </w:hyperlink>
      <w:r w:rsidRPr="0068632F">
        <w:rPr>
          <w:rFonts w:ascii="Times New Roman" w:hAnsi="Times New Roman" w:cs="Times New Roman"/>
          <w:lang w:val="en-US"/>
        </w:rPr>
        <w:t xml:space="preserve">. </w:t>
      </w:r>
    </w:p>
  </w:footnote>
  <w:footnote w:id="608">
    <w:p w14:paraId="2B193506" w14:textId="6194C6EE" w:rsidR="006324DF" w:rsidRPr="0068632F" w:rsidRDefault="006324D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3732C" w:rsidRPr="0068632F">
        <w:rPr>
          <w:rFonts w:ascii="Times New Roman" w:hAnsi="Times New Roman" w:cs="Times New Roman"/>
        </w:rPr>
        <w:t xml:space="preserve">Klopotan, I., et al. (2018). Parameters which influence employee satisfaction in public sector in the Republic of Croatia. International Journal for Quality Research, 12(2), 405–420. </w:t>
      </w:r>
      <w:hyperlink r:id="rId121" w:history="1">
        <w:r w:rsidR="00F3732C" w:rsidRPr="0068632F">
          <w:rPr>
            <w:rStyle w:val="Hyperlink"/>
            <w:rFonts w:ascii="Times New Roman" w:hAnsi="Times New Roman" w:cs="Times New Roman"/>
          </w:rPr>
          <w:t>https://doi.org/10.18421/IJQR12.02-07</w:t>
        </w:r>
      </w:hyperlink>
      <w:r w:rsidR="00F3732C" w:rsidRPr="0068632F">
        <w:rPr>
          <w:rFonts w:ascii="Times New Roman" w:hAnsi="Times New Roman" w:cs="Times New Roman"/>
          <w:lang w:val="mk-MK"/>
        </w:rPr>
        <w:t xml:space="preserve">. </w:t>
      </w:r>
    </w:p>
  </w:footnote>
  <w:footnote w:id="609">
    <w:p w14:paraId="2019010E" w14:textId="3FDBA386" w:rsidR="00542C67" w:rsidRPr="0068632F" w:rsidRDefault="00542C6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24855" w:rsidRPr="0068632F">
        <w:rPr>
          <w:rFonts w:ascii="Times New Roman" w:hAnsi="Times New Roman" w:cs="Times New Roman"/>
          <w:lang w:val="mk-MK"/>
        </w:rPr>
        <w:t>Тука треба да се има предвид и структурираноста на хрватската економија, која покажува дека во Хрватска има приближно околу 3.000 акционерски друштва, што претставув мал дел од вкупниот број фирми</w:t>
      </w:r>
      <w:r w:rsidR="00780B89" w:rsidRPr="0068632F">
        <w:rPr>
          <w:rFonts w:ascii="Times New Roman" w:hAnsi="Times New Roman" w:cs="Times New Roman"/>
          <w:lang w:val="mk-MK"/>
        </w:rPr>
        <w:t xml:space="preserve"> од околу 2 проценти</w:t>
      </w:r>
      <w:r w:rsidR="00524855" w:rsidRPr="0068632F">
        <w:rPr>
          <w:rFonts w:ascii="Times New Roman" w:hAnsi="Times New Roman" w:cs="Times New Roman"/>
          <w:lang w:val="mk-MK"/>
        </w:rPr>
        <w:t>. Според податоците на Државниот завод за статистика, акционерските друштва спаѓаат во категоријата „трговски друштва“, но бројот на активни трговски друштва</w:t>
      </w:r>
      <w:r w:rsidR="00780B89" w:rsidRPr="0068632F">
        <w:rPr>
          <w:rFonts w:ascii="Times New Roman" w:hAnsi="Times New Roman" w:cs="Times New Roman"/>
          <w:lang w:val="mk-MK"/>
        </w:rPr>
        <w:t xml:space="preserve">, </w:t>
      </w:r>
      <w:r w:rsidR="00524855" w:rsidRPr="0068632F">
        <w:rPr>
          <w:rFonts w:ascii="Times New Roman" w:hAnsi="Times New Roman" w:cs="Times New Roman"/>
          <w:lang w:val="mk-MK"/>
        </w:rPr>
        <w:t>без поделба на правни форми</w:t>
      </w:r>
      <w:r w:rsidR="00780B89" w:rsidRPr="0068632F">
        <w:rPr>
          <w:rFonts w:ascii="Times New Roman" w:hAnsi="Times New Roman" w:cs="Times New Roman"/>
          <w:lang w:val="mk-MK"/>
        </w:rPr>
        <w:t>,</w:t>
      </w:r>
      <w:r w:rsidR="00524855" w:rsidRPr="0068632F">
        <w:rPr>
          <w:rFonts w:ascii="Times New Roman" w:hAnsi="Times New Roman" w:cs="Times New Roman"/>
          <w:lang w:val="mk-MK"/>
        </w:rPr>
        <w:t xml:space="preserve"> изнесува 144.911 во 202</w:t>
      </w:r>
      <w:r w:rsidR="00780B89" w:rsidRPr="0068632F">
        <w:rPr>
          <w:rFonts w:ascii="Times New Roman" w:hAnsi="Times New Roman" w:cs="Times New Roman"/>
          <w:lang w:val="mk-MK"/>
        </w:rPr>
        <w:t>6</w:t>
      </w:r>
      <w:r w:rsidR="00524855" w:rsidRPr="0068632F">
        <w:rPr>
          <w:rFonts w:ascii="Times New Roman" w:hAnsi="Times New Roman" w:cs="Times New Roman"/>
          <w:lang w:val="mk-MK"/>
        </w:rPr>
        <w:t xml:space="preserve"> година. Дополнително, според извештај</w:t>
      </w:r>
      <w:r w:rsidR="007E56FF" w:rsidRPr="0068632F">
        <w:rPr>
          <w:rFonts w:ascii="Times New Roman" w:hAnsi="Times New Roman" w:cs="Times New Roman"/>
          <w:lang w:val="mk-MK"/>
        </w:rPr>
        <w:t xml:space="preserve"> на ОЕЦД</w:t>
      </w:r>
      <w:r w:rsidR="00524855" w:rsidRPr="0068632F">
        <w:rPr>
          <w:rFonts w:ascii="Times New Roman" w:hAnsi="Times New Roman" w:cs="Times New Roman"/>
          <w:lang w:val="mk-MK"/>
        </w:rPr>
        <w:t>, од вкупно 721 акционерско друштво регистрирано со SKDD во дигитализиран формат, само мал број имале издадени акции во носечки хартиски форма, што укажува на значително доминирање на дематеријализирани акции и модерно регистрирање преку депозитарниот систем. За конкретни компании, примери како Podravka d.d. има</w:t>
      </w:r>
      <w:r w:rsidR="00B04444" w:rsidRPr="0068632F">
        <w:rPr>
          <w:rFonts w:ascii="Times New Roman" w:hAnsi="Times New Roman" w:cs="Times New Roman"/>
          <w:lang w:val="mk-MK"/>
        </w:rPr>
        <w:t>ат</w:t>
      </w:r>
      <w:r w:rsidR="00524855" w:rsidRPr="0068632F">
        <w:rPr>
          <w:rFonts w:ascii="Times New Roman" w:hAnsi="Times New Roman" w:cs="Times New Roman"/>
          <w:lang w:val="mk-MK"/>
        </w:rPr>
        <w:t xml:space="preserve"> над 7 милиони издадени акции котирани на Загребската берза, а HEP d.d. има</w:t>
      </w:r>
      <w:r w:rsidR="00B04444" w:rsidRPr="0068632F">
        <w:rPr>
          <w:rFonts w:ascii="Times New Roman" w:hAnsi="Times New Roman" w:cs="Times New Roman"/>
          <w:lang w:val="mk-MK"/>
        </w:rPr>
        <w:t>ат</w:t>
      </w:r>
      <w:r w:rsidR="00524855" w:rsidRPr="0068632F">
        <w:rPr>
          <w:rFonts w:ascii="Times New Roman" w:hAnsi="Times New Roman" w:cs="Times New Roman"/>
          <w:lang w:val="mk-MK"/>
        </w:rPr>
        <w:t xml:space="preserve"> над 10,9 милиони акции регистрирани во депозитарот. Други јавни акционерски друштва, како Institut IGH d.d., имаат над 600.000 издадени акции. Во однос на бројката на котирани компании на берзата, може да се наведе дека во 2024/2025 на Загребската берза биле листирани околу 81 до 91 компанија, што е подмножество на вкупните акционерски друштва во земјата</w:t>
      </w:r>
      <w:r w:rsidR="0056285A" w:rsidRPr="0068632F">
        <w:rPr>
          <w:rFonts w:ascii="Times New Roman" w:hAnsi="Times New Roman" w:cs="Times New Roman"/>
          <w:lang w:val="mk-MK"/>
        </w:rPr>
        <w:t>, односно</w:t>
      </w:r>
      <w:r w:rsidR="00524855" w:rsidRPr="0068632F">
        <w:rPr>
          <w:rFonts w:ascii="Times New Roman" w:hAnsi="Times New Roman" w:cs="Times New Roman"/>
          <w:lang w:val="mk-MK"/>
        </w:rPr>
        <w:t xml:space="preserve"> само оние кои ја користат организираната берза за тргување со акции</w:t>
      </w:r>
      <w:r w:rsidR="0056285A" w:rsidRPr="0068632F">
        <w:rPr>
          <w:rFonts w:ascii="Times New Roman" w:hAnsi="Times New Roman" w:cs="Times New Roman"/>
          <w:lang w:val="mk-MK"/>
        </w:rPr>
        <w:t>.</w:t>
      </w:r>
    </w:p>
  </w:footnote>
  <w:footnote w:id="610">
    <w:p w14:paraId="1833CE6E" w14:textId="7E326035" w:rsidR="0067187D" w:rsidRPr="0068632F" w:rsidRDefault="0067187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Tušek, B., Filipović, D., &amp; Pokrovac, I. (2009).</w:t>
      </w:r>
    </w:p>
  </w:footnote>
  <w:footnote w:id="611">
    <w:p w14:paraId="3FA1D2C0" w14:textId="34329AFD" w:rsidR="00A73559" w:rsidRPr="0068632F" w:rsidRDefault="00A735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66EE9" w:rsidRPr="0068632F">
        <w:rPr>
          <w:rFonts w:ascii="Times New Roman" w:hAnsi="Times New Roman" w:cs="Times New Roman"/>
        </w:rPr>
        <w:t>Zakon o sudjelovanju radnika u odlučivanju</w:t>
      </w:r>
      <w:r w:rsidR="00F66EE9" w:rsidRPr="0068632F">
        <w:rPr>
          <w:rFonts w:ascii="Times New Roman" w:hAnsi="Times New Roman" w:cs="Times New Roman"/>
          <w:lang w:val="mk-MK"/>
        </w:rPr>
        <w:t>.</w:t>
      </w:r>
    </w:p>
  </w:footnote>
  <w:footnote w:id="612">
    <w:p w14:paraId="385D45C2" w14:textId="72A4F322" w:rsidR="00233CE6" w:rsidRPr="0068632F" w:rsidRDefault="00233CE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263D3" w:rsidRPr="0068632F">
        <w:rPr>
          <w:rFonts w:ascii="Times New Roman" w:hAnsi="Times New Roman" w:cs="Times New Roman"/>
          <w:lang w:val="mk-MK"/>
        </w:rPr>
        <w:t>Види и Tipuric, D., Casni, A. C., &amp; Lovrincevic, M. (2016, April). A cross-country comparison of corporate governance quality: Applying SEECGAN methodology to determine differences between Croatia, Slovenia and Macedonia. In International OFEL Conference on Governance, Management and Entrepreneurship (p. 84). Centar za istrazivanje i razvoj upravljanja doo.</w:t>
      </w:r>
    </w:p>
  </w:footnote>
  <w:footnote w:id="613">
    <w:p w14:paraId="5A45647D" w14:textId="3B521ACB" w:rsidR="001D11B6" w:rsidRPr="0068632F" w:rsidRDefault="001D11B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Tipuric, D., Casni, A. C., &amp; Lovrincevic, M. (2016, April).</w:t>
      </w:r>
    </w:p>
  </w:footnote>
  <w:footnote w:id="614">
    <w:p w14:paraId="09203055" w14:textId="24D68872" w:rsidR="003E2419" w:rsidRPr="0068632F" w:rsidRDefault="003E241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Подетално во</w:t>
      </w:r>
      <w:r w:rsidR="005D62DB" w:rsidRPr="0068632F">
        <w:rPr>
          <w:rFonts w:ascii="Times New Roman" w:hAnsi="Times New Roman" w:cs="Times New Roman"/>
          <w:lang w:val="mk-MK"/>
        </w:rPr>
        <w:t xml:space="preserve"> Tipuric, D., Casni, A. C., &amp; Lovrincevic, M. (2016, April).</w:t>
      </w:r>
      <w:r w:rsidRPr="0068632F">
        <w:rPr>
          <w:rFonts w:ascii="Times New Roman" w:hAnsi="Times New Roman" w:cs="Times New Roman"/>
          <w:lang w:val="mk-MK"/>
        </w:rPr>
        <w:t xml:space="preserve"> </w:t>
      </w:r>
    </w:p>
  </w:footnote>
  <w:footnote w:id="615">
    <w:p w14:paraId="508FE0EC" w14:textId="0DA150BC" w:rsidR="00730576" w:rsidRPr="0068632F" w:rsidRDefault="0073057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gospodarskih družbah</w:t>
      </w:r>
      <w:r w:rsidRPr="0068632F">
        <w:rPr>
          <w:rFonts w:ascii="Times New Roman" w:hAnsi="Times New Roman" w:cs="Times New Roman"/>
          <w:lang w:val="en-US"/>
        </w:rPr>
        <w:t xml:space="preserve">. </w:t>
      </w:r>
    </w:p>
  </w:footnote>
  <w:footnote w:id="616">
    <w:p w14:paraId="5214D2F3" w14:textId="32453EB7" w:rsidR="00FD6D1F" w:rsidRPr="0068632F" w:rsidRDefault="00FD6D1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C1CB0" w:rsidRPr="0068632F">
        <w:rPr>
          <w:rFonts w:ascii="Times New Roman" w:hAnsi="Times New Roman" w:cs="Times New Roman"/>
        </w:rPr>
        <w:t xml:space="preserve">Damijan, S., &amp; Damijan, J. P. (2019). Corporate governance in Slovenia: Working at last? Corporate Governance and Organizational Behavior Review, 3(2), 40–51. </w:t>
      </w:r>
      <w:hyperlink r:id="rId122" w:history="1">
        <w:r w:rsidR="009C1CB0" w:rsidRPr="0068632F">
          <w:rPr>
            <w:rStyle w:val="Hyperlink"/>
            <w:rFonts w:ascii="Times New Roman" w:hAnsi="Times New Roman" w:cs="Times New Roman"/>
          </w:rPr>
          <w:t>https://doi.org/10.22495/cgobr_v3_i2_p4</w:t>
        </w:r>
      </w:hyperlink>
      <w:r w:rsidR="009C1CB0" w:rsidRPr="0068632F">
        <w:rPr>
          <w:rFonts w:ascii="Times New Roman" w:hAnsi="Times New Roman" w:cs="Times New Roman"/>
          <w:lang w:val="en-US"/>
        </w:rPr>
        <w:t xml:space="preserve">. </w:t>
      </w:r>
    </w:p>
  </w:footnote>
  <w:footnote w:id="617">
    <w:p w14:paraId="45EB0D08" w14:textId="77170EDB" w:rsidR="001A6F89" w:rsidRPr="0068632F" w:rsidRDefault="001A6F8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Damijan, S., &amp; Damijan, J. P. (2019).</w:t>
      </w:r>
    </w:p>
  </w:footnote>
  <w:footnote w:id="618">
    <w:p w14:paraId="32F0228D" w14:textId="2F8825CE" w:rsidR="000F7996" w:rsidRPr="0068632F" w:rsidRDefault="000F799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123" w:history="1">
        <w:r w:rsidRPr="0068632F">
          <w:rPr>
            <w:rStyle w:val="Hyperlink"/>
            <w:rFonts w:ascii="Times New Roman" w:hAnsi="Times New Roman" w:cs="Times New Roman"/>
            <w:lang w:val="bg-BG"/>
          </w:rPr>
          <w:t>Ljubljanska borza</w:t>
        </w:r>
      </w:hyperlink>
      <w:r w:rsidRPr="0068632F">
        <w:rPr>
          <w:rFonts w:ascii="Times New Roman" w:hAnsi="Times New Roman" w:cs="Times New Roman"/>
          <w:lang w:val="mk-MK"/>
        </w:rPr>
        <w:t xml:space="preserve">. </w:t>
      </w:r>
    </w:p>
  </w:footnote>
  <w:footnote w:id="619">
    <w:p w14:paraId="6C07C0A3" w14:textId="59948CE5" w:rsidR="00BB2DB0" w:rsidRPr="0068632F" w:rsidRDefault="00BB2DB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Kavčič, Bracun &amp; Partners. (2023). Corporate Governance in Slovenia – Comparative Legal Guide. CEE Legal Matters.</w:t>
      </w:r>
      <w:hyperlink r:id="rId124" w:history="1">
        <w:r w:rsidR="00134DBE" w:rsidRPr="0068632F">
          <w:rPr>
            <w:rStyle w:val="Hyperlink"/>
            <w:rFonts w:ascii="Times New Roman" w:hAnsi="Times New Roman" w:cs="Times New Roman"/>
          </w:rPr>
          <w:t>https://ceelegalmatters.com/Magazines/Guides/CEELegalMatters_ComparativeGuide_CorporateGovernance2023_Slovenia.pdf</w:t>
        </w:r>
      </w:hyperlink>
      <w:r w:rsidR="00134DBE" w:rsidRPr="0068632F">
        <w:rPr>
          <w:rFonts w:ascii="Times New Roman" w:hAnsi="Times New Roman" w:cs="Times New Roman"/>
          <w:lang w:val="mk-MK"/>
        </w:rPr>
        <w:t>.</w:t>
      </w:r>
      <w:r w:rsidRPr="0068632F">
        <w:rPr>
          <w:rFonts w:ascii="Times New Roman" w:hAnsi="Times New Roman" w:cs="Times New Roman"/>
          <w:lang w:val="mk-MK"/>
        </w:rPr>
        <w:t xml:space="preserve"> </w:t>
      </w:r>
    </w:p>
  </w:footnote>
  <w:footnote w:id="620">
    <w:p w14:paraId="2F959B36" w14:textId="6BD97EFA" w:rsidR="00D53C47" w:rsidRPr="0068632F" w:rsidRDefault="00D53C4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F56C2" w:rsidRPr="0068632F">
        <w:rPr>
          <w:rFonts w:ascii="Times New Roman" w:hAnsi="Times New Roman" w:cs="Times New Roman"/>
          <w:lang w:val="mk-MK"/>
        </w:rPr>
        <w:t xml:space="preserve">Види: Agencija za javni nadzor nad revidiranjem. (2023). Letno poročilo o korporativnem upravljanju. </w:t>
      </w:r>
      <w:hyperlink r:id="rId125" w:history="1">
        <w:r w:rsidR="00BF56C2" w:rsidRPr="0068632F">
          <w:rPr>
            <w:rStyle w:val="Hyperlink"/>
            <w:rFonts w:ascii="Times New Roman" w:hAnsi="Times New Roman" w:cs="Times New Roman"/>
            <w:lang w:val="mk-MK"/>
          </w:rPr>
          <w:t>https://www.anr.si/</w:t>
        </w:r>
      </w:hyperlink>
      <w:r w:rsidR="00BF56C2" w:rsidRPr="0068632F">
        <w:rPr>
          <w:rFonts w:ascii="Times New Roman" w:hAnsi="Times New Roman" w:cs="Times New Roman"/>
          <w:lang w:val="mk-MK"/>
        </w:rPr>
        <w:t xml:space="preserve">. </w:t>
      </w:r>
    </w:p>
  </w:footnote>
  <w:footnote w:id="621">
    <w:p w14:paraId="521CF778" w14:textId="523BDB89" w:rsidR="009C645F" w:rsidRPr="0068632F" w:rsidRDefault="009C645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delovnih razmerjih</w:t>
      </w:r>
      <w:r w:rsidRPr="0068632F">
        <w:rPr>
          <w:rFonts w:ascii="Times New Roman" w:hAnsi="Times New Roman" w:cs="Times New Roman"/>
          <w:lang w:val="mk-MK"/>
        </w:rPr>
        <w:t>.</w:t>
      </w:r>
    </w:p>
  </w:footnote>
  <w:footnote w:id="622">
    <w:p w14:paraId="01E30BEB" w14:textId="5E3E73CE" w:rsidR="009C645F" w:rsidRPr="0068632F" w:rsidRDefault="009C645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Zakon o sodelovanju delavcev pri upravljanju, ZSDU</w:t>
      </w:r>
      <w:r w:rsidRPr="0068632F">
        <w:rPr>
          <w:rFonts w:ascii="Times New Roman" w:hAnsi="Times New Roman" w:cs="Times New Roman"/>
          <w:lang w:val="mk-MK"/>
        </w:rPr>
        <w:t xml:space="preserve">, членови 6-10. </w:t>
      </w:r>
    </w:p>
  </w:footnote>
  <w:footnote w:id="623">
    <w:p w14:paraId="57D3080C" w14:textId="16597D69" w:rsidR="00E36092" w:rsidRPr="0068632F" w:rsidRDefault="00E3609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Pošta Slovenije, 2023; Slovenske železnice, 2024</w:t>
      </w:r>
      <w:r w:rsidRPr="0068632F">
        <w:rPr>
          <w:rFonts w:ascii="Times New Roman" w:hAnsi="Times New Roman" w:cs="Times New Roman"/>
          <w:lang w:val="mk-MK"/>
        </w:rPr>
        <w:t>.</w:t>
      </w:r>
    </w:p>
  </w:footnote>
  <w:footnote w:id="624">
    <w:p w14:paraId="418C69C0" w14:textId="067CF0C1" w:rsidR="002B315E" w:rsidRPr="0068632F" w:rsidRDefault="002B315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European Union, 2001; Gorenje, 2022</w:t>
      </w:r>
      <w:r w:rsidRPr="0068632F">
        <w:rPr>
          <w:rFonts w:ascii="Times New Roman" w:hAnsi="Times New Roman" w:cs="Times New Roman"/>
          <w:lang w:val="mk-MK"/>
        </w:rPr>
        <w:t xml:space="preserve">. </w:t>
      </w:r>
    </w:p>
  </w:footnote>
  <w:footnote w:id="625">
    <w:p w14:paraId="70005942" w14:textId="50D3F982" w:rsidR="00C10A01" w:rsidRPr="0068632F" w:rsidRDefault="00C10A0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A4669" w:rsidRPr="0068632F">
        <w:rPr>
          <w:rFonts w:ascii="Times New Roman" w:hAnsi="Times New Roman" w:cs="Times New Roman"/>
          <w:lang w:val="mk-MK"/>
        </w:rPr>
        <w:t xml:space="preserve">За Хрватска види и </w:t>
      </w:r>
      <w:r w:rsidR="003A4669" w:rsidRPr="0068632F">
        <w:rPr>
          <w:rFonts w:ascii="Times New Roman" w:hAnsi="Times New Roman" w:cs="Times New Roman"/>
        </w:rPr>
        <w:t>Kinstellar. (2025, April)</w:t>
      </w:r>
      <w:r w:rsidR="00074969" w:rsidRPr="0068632F">
        <w:rPr>
          <w:rFonts w:ascii="Times New Roman" w:hAnsi="Times New Roman" w:cs="Times New Roman"/>
        </w:rPr>
        <w:t>.</w:t>
      </w:r>
    </w:p>
  </w:footnote>
  <w:footnote w:id="626">
    <w:p w14:paraId="03AC8B40" w14:textId="13657011" w:rsidR="00EF56A7" w:rsidRPr="0068632F" w:rsidRDefault="00EF56A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Kavčič, Bracun &amp; Partners</w:t>
      </w:r>
      <w:r w:rsidRPr="0068632F">
        <w:rPr>
          <w:rFonts w:ascii="Times New Roman" w:hAnsi="Times New Roman" w:cs="Times New Roman"/>
          <w:lang w:val="mk-MK"/>
        </w:rPr>
        <w:t xml:space="preserve">, </w:t>
      </w:r>
      <w:r w:rsidRPr="0068632F">
        <w:rPr>
          <w:rFonts w:ascii="Times New Roman" w:hAnsi="Times New Roman" w:cs="Times New Roman"/>
        </w:rPr>
        <w:t>2023.</w:t>
      </w:r>
    </w:p>
  </w:footnote>
  <w:footnote w:id="627">
    <w:p w14:paraId="3B7A6F03" w14:textId="7277BA87" w:rsidR="00C71CC7" w:rsidRPr="0068632F" w:rsidRDefault="00C71CC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66245" w:rsidRPr="0068632F">
        <w:rPr>
          <w:rFonts w:ascii="Times New Roman" w:hAnsi="Times New Roman" w:cs="Times New Roman"/>
        </w:rPr>
        <w:t xml:space="preserve">Eurofound, &amp; Cedefop. (2020). European Company Survey 2019: Workplace practices unlocking employee potential. Publications Office of the European Union. </w:t>
      </w:r>
      <w:hyperlink r:id="rId126" w:history="1">
        <w:r w:rsidR="00966245" w:rsidRPr="0068632F">
          <w:rPr>
            <w:rStyle w:val="Hyperlink"/>
            <w:rFonts w:ascii="Times New Roman" w:hAnsi="Times New Roman" w:cs="Times New Roman"/>
          </w:rPr>
          <w:t>https://doi.org/10.2806/148735</w:t>
        </w:r>
      </w:hyperlink>
      <w:r w:rsidR="00966245" w:rsidRPr="0068632F">
        <w:rPr>
          <w:rFonts w:ascii="Times New Roman" w:hAnsi="Times New Roman" w:cs="Times New Roman"/>
          <w:lang w:val="en-US"/>
        </w:rPr>
        <w:t xml:space="preserve">. </w:t>
      </w:r>
    </w:p>
  </w:footnote>
  <w:footnote w:id="628">
    <w:p w14:paraId="2EF619F7" w14:textId="2322B7CE" w:rsidR="00924DA6" w:rsidRPr="0068632F" w:rsidRDefault="00924DA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Eurofound. (2022). Working conditions in the time of COVID-19: Implications for the future. Publications Office of the European Union. </w:t>
      </w:r>
      <w:hyperlink r:id="rId127" w:history="1">
        <w:r w:rsidRPr="0068632F">
          <w:rPr>
            <w:rStyle w:val="Hyperlink"/>
            <w:rFonts w:ascii="Times New Roman" w:hAnsi="Times New Roman" w:cs="Times New Roman"/>
          </w:rPr>
          <w:t>https://doi.org/10.2806/522792</w:t>
        </w:r>
      </w:hyperlink>
      <w:r w:rsidRPr="0068632F">
        <w:rPr>
          <w:rFonts w:ascii="Times New Roman" w:hAnsi="Times New Roman" w:cs="Times New Roman"/>
          <w:lang w:val="en-US"/>
        </w:rPr>
        <w:t xml:space="preserve">. </w:t>
      </w:r>
    </w:p>
  </w:footnote>
  <w:footnote w:id="629">
    <w:p w14:paraId="5D6F72BC" w14:textId="58F38BBE" w:rsidR="00D40BF4" w:rsidRPr="0068632F" w:rsidRDefault="00D40BF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B2574" w:rsidRPr="0068632F">
        <w:rPr>
          <w:rFonts w:ascii="Times New Roman" w:hAnsi="Times New Roman" w:cs="Times New Roman"/>
        </w:rPr>
        <w:t xml:space="preserve">Ljubljanska borza. (2024). Statistika korporativnega upravljanja. </w:t>
      </w:r>
      <w:hyperlink r:id="rId128" w:history="1">
        <w:r w:rsidR="006B2574" w:rsidRPr="0068632F">
          <w:rPr>
            <w:rStyle w:val="Hyperlink"/>
            <w:rFonts w:ascii="Times New Roman" w:hAnsi="Times New Roman" w:cs="Times New Roman"/>
          </w:rPr>
          <w:t>https://www.ljse.si/</w:t>
        </w:r>
      </w:hyperlink>
      <w:r w:rsidR="006B2574" w:rsidRPr="0068632F">
        <w:rPr>
          <w:rFonts w:ascii="Times New Roman" w:hAnsi="Times New Roman" w:cs="Times New Roman"/>
          <w:lang w:val="en-US"/>
        </w:rPr>
        <w:t xml:space="preserve">. </w:t>
      </w:r>
    </w:p>
  </w:footnote>
  <w:footnote w:id="630">
    <w:p w14:paraId="3B75589F" w14:textId="2F19A831" w:rsidR="0013659C" w:rsidRPr="0068632F" w:rsidRDefault="0013659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B6413" w:rsidRPr="0068632F">
        <w:rPr>
          <w:rFonts w:ascii="Times New Roman" w:hAnsi="Times New Roman" w:cs="Times New Roman"/>
        </w:rPr>
        <w:t>Ljubljana Stock Exchange &amp; Slovenian Directors Association</w:t>
      </w:r>
      <w:r w:rsidR="00CF049A" w:rsidRPr="0068632F">
        <w:rPr>
          <w:rFonts w:ascii="Times New Roman" w:hAnsi="Times New Roman" w:cs="Times New Roman"/>
          <w:lang w:val="en-US"/>
        </w:rPr>
        <w:t xml:space="preserve"> </w:t>
      </w:r>
      <w:r w:rsidR="005B6413" w:rsidRPr="0068632F">
        <w:rPr>
          <w:rFonts w:ascii="Times New Roman" w:hAnsi="Times New Roman" w:cs="Times New Roman"/>
        </w:rPr>
        <w:t>(2021). Corporate Governance Code for Listed Comp</w:t>
      </w:r>
      <w:r w:rsidR="001E0B00" w:rsidRPr="0068632F">
        <w:rPr>
          <w:rFonts w:ascii="Times New Roman" w:hAnsi="Times New Roman" w:cs="Times New Roman"/>
          <w:lang w:val="en-US"/>
        </w:rPr>
        <w:t xml:space="preserve">s. </w:t>
      </w:r>
      <w:hyperlink r:id="rId129" w:history="1">
        <w:r w:rsidR="001E0B00" w:rsidRPr="0068632F">
          <w:rPr>
            <w:rStyle w:val="Hyperlink"/>
            <w:rFonts w:ascii="Times New Roman" w:hAnsi="Times New Roman" w:cs="Times New Roman"/>
          </w:rPr>
          <w:t>https://ljse.si/media/5021/slovenian_corporate_governance_code_for_listed_companies_2021.pdf</w:t>
        </w:r>
      </w:hyperlink>
      <w:r w:rsidR="001E0B00" w:rsidRPr="0068632F">
        <w:rPr>
          <w:rFonts w:ascii="Times New Roman" w:hAnsi="Times New Roman" w:cs="Times New Roman"/>
          <w:lang w:val="en-US"/>
        </w:rPr>
        <w:t>.</w:t>
      </w:r>
    </w:p>
  </w:footnote>
  <w:footnote w:id="631">
    <w:p w14:paraId="399D2E41" w14:textId="31F1427C" w:rsidR="0097510F" w:rsidRPr="0068632F" w:rsidRDefault="0097510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12E88" w:rsidRPr="0068632F">
        <w:rPr>
          <w:rFonts w:ascii="Times New Roman" w:hAnsi="Times New Roman" w:cs="Times New Roman"/>
        </w:rPr>
        <w:t xml:space="preserve">Djokić, D., &amp; Duh, M. (2015). Measuring transparency of the corporate governance in Slovenia. In MIC 2015 Management International Conference, Portorož, Slovenia, 28–30 May 2015 (pp. 373–381). University of Primorska &amp; University of Maribor. </w:t>
      </w:r>
      <w:hyperlink r:id="rId130" w:history="1">
        <w:r w:rsidR="00212E88" w:rsidRPr="0068632F">
          <w:rPr>
            <w:rStyle w:val="Hyperlink"/>
            <w:rFonts w:ascii="Times New Roman" w:hAnsi="Times New Roman" w:cs="Times New Roman"/>
          </w:rPr>
          <w:t>https://www.hippocampus.si/ISBN/978-961-7023-31-0.pdf</w:t>
        </w:r>
      </w:hyperlink>
      <w:r w:rsidR="00212E88" w:rsidRPr="0068632F">
        <w:rPr>
          <w:rFonts w:ascii="Times New Roman" w:hAnsi="Times New Roman" w:cs="Times New Roman"/>
          <w:lang w:val="en-US"/>
        </w:rPr>
        <w:t xml:space="preserve">. </w:t>
      </w:r>
    </w:p>
  </w:footnote>
  <w:footnote w:id="632">
    <w:p w14:paraId="4CF196BD" w14:textId="2DCBF800" w:rsidR="007D611E" w:rsidRPr="0068632F" w:rsidRDefault="007D611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33700" w:rsidRPr="0068632F">
        <w:rPr>
          <w:rFonts w:ascii="Times New Roman" w:hAnsi="Times New Roman" w:cs="Times New Roman"/>
        </w:rPr>
        <w:t>Veljanoska, F. (2021). Corporate social responsibility in North Macedonia. In Current Global Practices of Corporate Social Responsibility: In the Era of Sustainable Development Goals (pp. 257-286). Cham: Springer International Publishing.</w:t>
      </w:r>
    </w:p>
  </w:footnote>
  <w:footnote w:id="633">
    <w:p w14:paraId="13BA5329" w14:textId="506CB371" w:rsidR="001B315E" w:rsidRPr="0068632F" w:rsidRDefault="001B315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Veljanoska, F. (2021).</w:t>
      </w:r>
    </w:p>
  </w:footnote>
  <w:footnote w:id="634">
    <w:p w14:paraId="76FCB160" w14:textId="7861A97D" w:rsidR="009A5117" w:rsidRPr="0068632F" w:rsidRDefault="009A511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F6F3A" w:rsidRPr="0068632F">
        <w:rPr>
          <w:rFonts w:ascii="Times New Roman" w:hAnsi="Times New Roman" w:cs="Times New Roman"/>
        </w:rPr>
        <w:t xml:space="preserve">Institut za ekonomska istraživanja. (2022). Participacija zaposlenih u Sloveniji: efekti i izazovi. </w:t>
      </w:r>
      <w:hyperlink r:id="rId131" w:history="1">
        <w:r w:rsidR="007F6F3A" w:rsidRPr="0068632F">
          <w:rPr>
            <w:rStyle w:val="Hyperlink"/>
            <w:rFonts w:ascii="Times New Roman" w:hAnsi="Times New Roman" w:cs="Times New Roman"/>
          </w:rPr>
          <w:t>https://www.ier.si/</w:t>
        </w:r>
      </w:hyperlink>
      <w:r w:rsidR="007F6F3A" w:rsidRPr="0068632F">
        <w:rPr>
          <w:rFonts w:ascii="Times New Roman" w:hAnsi="Times New Roman" w:cs="Times New Roman"/>
          <w:lang w:val="en-US"/>
        </w:rPr>
        <w:t xml:space="preserve">. </w:t>
      </w:r>
    </w:p>
  </w:footnote>
  <w:footnote w:id="635">
    <w:p w14:paraId="7E87C187" w14:textId="672DF293" w:rsidR="0084396A" w:rsidRPr="0068632F" w:rsidRDefault="0084396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02319" w:rsidRPr="0068632F">
        <w:rPr>
          <w:rFonts w:ascii="Times New Roman" w:hAnsi="Times New Roman" w:cs="Times New Roman"/>
        </w:rPr>
        <w:t xml:space="preserve">Franca, V. (2025). BroadVoice: Broadening the spectrum of employee voice in workplace innovation – National Report: Slovenia (Deliverable 3.1). University of Ljubljana. Co-funded by the European Union. </w:t>
      </w:r>
      <w:hyperlink r:id="rId132" w:history="1">
        <w:r w:rsidR="00102319" w:rsidRPr="0068632F">
          <w:rPr>
            <w:rStyle w:val="Hyperlink"/>
            <w:rFonts w:ascii="Times New Roman" w:hAnsi="Times New Roman" w:cs="Times New Roman"/>
          </w:rPr>
          <w:t>https://broadvoiceproject.eu/wp-content/uploads/2025/01/D3.1_National-Report-Slovenia.pdf</w:t>
        </w:r>
      </w:hyperlink>
      <w:r w:rsidR="00102319" w:rsidRPr="0068632F">
        <w:rPr>
          <w:rFonts w:ascii="Times New Roman" w:hAnsi="Times New Roman" w:cs="Times New Roman"/>
          <w:lang w:val="en-US"/>
        </w:rPr>
        <w:t xml:space="preserve">. </w:t>
      </w:r>
    </w:p>
  </w:footnote>
  <w:footnote w:id="636">
    <w:p w14:paraId="5E961510" w14:textId="6109BDAF" w:rsidR="00FF2B8D" w:rsidRPr="0068632F" w:rsidRDefault="00FF2B8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Терминот што се користи за советот на вработени во Словенија е „svet delavcev“.</w:t>
      </w:r>
    </w:p>
  </w:footnote>
  <w:footnote w:id="637">
    <w:p w14:paraId="2BFC8B7E" w14:textId="346709B4" w:rsidR="00812E1E" w:rsidRPr="0068632F" w:rsidRDefault="00812E1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Franca, V. (2025</w:t>
      </w:r>
      <w:r w:rsidRPr="0068632F">
        <w:rPr>
          <w:rFonts w:ascii="Times New Roman" w:hAnsi="Times New Roman" w:cs="Times New Roman"/>
          <w:lang w:val="en-US"/>
        </w:rPr>
        <w:t>).</w:t>
      </w:r>
    </w:p>
  </w:footnote>
  <w:footnote w:id="638">
    <w:p w14:paraId="46DA9CF2" w14:textId="14D8E427" w:rsidR="00D256AF" w:rsidRPr="0068632F" w:rsidRDefault="00D256A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Sandrock, O. (2015). German and international perspectives of the German model of codetermination. European Business Law Review, 26(1).</w:t>
      </w:r>
    </w:p>
  </w:footnote>
  <w:footnote w:id="639">
    <w:p w14:paraId="68645A7D" w14:textId="41375098" w:rsidR="00212302" w:rsidRPr="0068632F" w:rsidRDefault="0021230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F082E" w:rsidRPr="0068632F">
        <w:rPr>
          <w:rFonts w:ascii="Times New Roman" w:hAnsi="Times New Roman" w:cs="Times New Roman"/>
        </w:rPr>
        <w:t>Aufsichtsrat</w:t>
      </w:r>
      <w:r w:rsidR="003F082E" w:rsidRPr="0068632F">
        <w:rPr>
          <w:rFonts w:ascii="Times New Roman" w:hAnsi="Times New Roman" w:cs="Times New Roman"/>
          <w:lang w:val="mk-MK"/>
        </w:rPr>
        <w:t>.</w:t>
      </w:r>
    </w:p>
  </w:footnote>
  <w:footnote w:id="640">
    <w:p w14:paraId="409DBF71" w14:textId="6035CF44" w:rsidR="00256EAD" w:rsidRPr="0068632F" w:rsidRDefault="00256EA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35C8B" w:rsidRPr="0068632F">
        <w:rPr>
          <w:rFonts w:ascii="Times New Roman" w:hAnsi="Times New Roman" w:cs="Times New Roman"/>
        </w:rPr>
        <w:t>Vorstand</w:t>
      </w:r>
      <w:r w:rsidR="00535C8B" w:rsidRPr="0068632F">
        <w:rPr>
          <w:rFonts w:ascii="Times New Roman" w:hAnsi="Times New Roman" w:cs="Times New Roman"/>
          <w:lang w:val="mk-MK"/>
        </w:rPr>
        <w:t>.</w:t>
      </w:r>
    </w:p>
  </w:footnote>
  <w:footnote w:id="641">
    <w:p w14:paraId="046807B7" w14:textId="0301163F" w:rsidR="00535C8B" w:rsidRPr="0068632F" w:rsidRDefault="00535C8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Aufsichtsrat</w:t>
      </w:r>
      <w:r w:rsidRPr="0068632F">
        <w:rPr>
          <w:rFonts w:ascii="Times New Roman" w:hAnsi="Times New Roman" w:cs="Times New Roman"/>
          <w:lang w:val="mk-MK"/>
        </w:rPr>
        <w:t>.</w:t>
      </w:r>
    </w:p>
  </w:footnote>
  <w:footnote w:id="642">
    <w:p w14:paraId="0FBCF84D" w14:textId="1B7B7309" w:rsidR="00531598" w:rsidRPr="0068632F" w:rsidRDefault="005315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Betriebsräte</w:t>
      </w:r>
      <w:r w:rsidRPr="0068632F">
        <w:rPr>
          <w:rFonts w:ascii="Times New Roman" w:hAnsi="Times New Roman" w:cs="Times New Roman"/>
          <w:lang w:val="mk-MK"/>
        </w:rPr>
        <w:t>.</w:t>
      </w:r>
    </w:p>
  </w:footnote>
  <w:footnote w:id="643">
    <w:p w14:paraId="500201C6" w14:textId="52CFE3BC" w:rsidR="007E01BC" w:rsidRPr="0068632F" w:rsidRDefault="007E01B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Betriebsverfassungsgesetz</w:t>
      </w:r>
      <w:r w:rsidRPr="0068632F">
        <w:rPr>
          <w:rFonts w:ascii="Times New Roman" w:hAnsi="Times New Roman" w:cs="Times New Roman"/>
          <w:lang w:val="en-US"/>
        </w:rPr>
        <w:t xml:space="preserve">. </w:t>
      </w:r>
    </w:p>
  </w:footnote>
  <w:footnote w:id="644">
    <w:p w14:paraId="53AE1B21" w14:textId="376EC220" w:rsidR="00037710" w:rsidRPr="0068632F" w:rsidRDefault="0003771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C6610" w:rsidRPr="0068632F">
        <w:rPr>
          <w:rFonts w:ascii="Times New Roman" w:hAnsi="Times New Roman" w:cs="Times New Roman"/>
        </w:rPr>
        <w:t>Замисл</w:t>
      </w:r>
      <w:r w:rsidR="006C6610" w:rsidRPr="0068632F">
        <w:rPr>
          <w:rFonts w:ascii="Times New Roman" w:hAnsi="Times New Roman" w:cs="Times New Roman"/>
          <w:lang w:val="mk-MK"/>
        </w:rPr>
        <w:t>ете</w:t>
      </w:r>
      <w:r w:rsidR="006C6610" w:rsidRPr="0068632F">
        <w:rPr>
          <w:rFonts w:ascii="Times New Roman" w:hAnsi="Times New Roman" w:cs="Times New Roman"/>
        </w:rPr>
        <w:t xml:space="preserve"> голема германска производствена компанија со 1.200 вработени која планира да воведе нов дигитален систем за следење на продуктивноста во фабриката. Во систем без работнички совети, управата еднострано би го вовела системот, со што: се зголемува надзорот</w:t>
      </w:r>
      <w:r w:rsidR="006C6610" w:rsidRPr="0068632F">
        <w:rPr>
          <w:rFonts w:ascii="Times New Roman" w:hAnsi="Times New Roman" w:cs="Times New Roman"/>
          <w:lang w:val="mk-MK"/>
        </w:rPr>
        <w:t>,</w:t>
      </w:r>
      <w:r w:rsidR="006C6610" w:rsidRPr="0068632F">
        <w:rPr>
          <w:rFonts w:ascii="Times New Roman" w:hAnsi="Times New Roman" w:cs="Times New Roman"/>
        </w:rPr>
        <w:t xml:space="preserve"> се создава притисок врз вработените </w:t>
      </w:r>
      <w:r w:rsidR="006C6610" w:rsidRPr="0068632F">
        <w:rPr>
          <w:rFonts w:ascii="Times New Roman" w:hAnsi="Times New Roman" w:cs="Times New Roman"/>
          <w:lang w:val="mk-MK"/>
        </w:rPr>
        <w:t xml:space="preserve">и </w:t>
      </w:r>
      <w:r w:rsidR="006C6610" w:rsidRPr="0068632F">
        <w:rPr>
          <w:rFonts w:ascii="Times New Roman" w:hAnsi="Times New Roman" w:cs="Times New Roman"/>
        </w:rPr>
        <w:t>се отвора ризик за злоупотреба на податоци</w:t>
      </w:r>
      <w:r w:rsidR="006C6610" w:rsidRPr="0068632F">
        <w:rPr>
          <w:rFonts w:ascii="Times New Roman" w:hAnsi="Times New Roman" w:cs="Times New Roman"/>
          <w:lang w:val="mk-MK"/>
        </w:rPr>
        <w:t>.</w:t>
      </w:r>
      <w:r w:rsidR="006C6610" w:rsidRPr="0068632F">
        <w:rPr>
          <w:rFonts w:ascii="Times New Roman" w:hAnsi="Times New Roman" w:cs="Times New Roman"/>
        </w:rPr>
        <w:t xml:space="preserve"> Со работнички совет </w:t>
      </w:r>
      <w:r w:rsidR="006C6610" w:rsidRPr="0068632F">
        <w:rPr>
          <w:rFonts w:ascii="Times New Roman" w:hAnsi="Times New Roman" w:cs="Times New Roman"/>
          <w:lang w:val="mk-MK"/>
        </w:rPr>
        <w:t xml:space="preserve">по </w:t>
      </w:r>
      <w:r w:rsidR="006C6610" w:rsidRPr="0068632F">
        <w:rPr>
          <w:rFonts w:ascii="Times New Roman" w:hAnsi="Times New Roman" w:cs="Times New Roman"/>
        </w:rPr>
        <w:t>германски</w:t>
      </w:r>
      <w:r w:rsidR="006C6610" w:rsidRPr="0068632F">
        <w:rPr>
          <w:rFonts w:ascii="Times New Roman" w:hAnsi="Times New Roman" w:cs="Times New Roman"/>
          <w:lang w:val="mk-MK"/>
        </w:rPr>
        <w:t>от</w:t>
      </w:r>
      <w:r w:rsidR="006C6610" w:rsidRPr="0068632F">
        <w:rPr>
          <w:rFonts w:ascii="Times New Roman" w:hAnsi="Times New Roman" w:cs="Times New Roman"/>
        </w:rPr>
        <w:t xml:space="preserve"> модел</w:t>
      </w:r>
      <w:r w:rsidR="006C6610" w:rsidRPr="0068632F">
        <w:rPr>
          <w:rFonts w:ascii="Times New Roman" w:hAnsi="Times New Roman" w:cs="Times New Roman"/>
          <w:lang w:val="mk-MK"/>
        </w:rPr>
        <w:t>,</w:t>
      </w:r>
      <w:r w:rsidR="006C6610" w:rsidRPr="0068632F">
        <w:rPr>
          <w:rFonts w:ascii="Times New Roman" w:hAnsi="Times New Roman" w:cs="Times New Roman"/>
        </w:rPr>
        <w:t xml:space="preserve"> </w:t>
      </w:r>
      <w:r w:rsidR="0054252F" w:rsidRPr="0068632F">
        <w:rPr>
          <w:rFonts w:ascii="Times New Roman" w:hAnsi="Times New Roman" w:cs="Times New Roman"/>
          <w:lang w:val="mk-MK"/>
        </w:rPr>
        <w:t>советот бара</w:t>
      </w:r>
      <w:r w:rsidR="006C6610" w:rsidRPr="0068632F">
        <w:rPr>
          <w:rFonts w:ascii="Times New Roman" w:hAnsi="Times New Roman" w:cs="Times New Roman"/>
        </w:rPr>
        <w:t xml:space="preserve"> детални информации за системот</w:t>
      </w:r>
      <w:r w:rsidR="0054252F" w:rsidRPr="0068632F">
        <w:rPr>
          <w:rFonts w:ascii="Times New Roman" w:hAnsi="Times New Roman" w:cs="Times New Roman"/>
          <w:lang w:val="mk-MK"/>
        </w:rPr>
        <w:t>, о</w:t>
      </w:r>
      <w:r w:rsidR="006C6610" w:rsidRPr="0068632F">
        <w:rPr>
          <w:rFonts w:ascii="Times New Roman" w:hAnsi="Times New Roman" w:cs="Times New Roman"/>
        </w:rPr>
        <w:t>ценува дали се прекршуваат правила за приватност</w:t>
      </w:r>
      <w:r w:rsidR="0054252F" w:rsidRPr="0068632F">
        <w:rPr>
          <w:rFonts w:ascii="Times New Roman" w:hAnsi="Times New Roman" w:cs="Times New Roman"/>
          <w:lang w:val="mk-MK"/>
        </w:rPr>
        <w:t>, п</w:t>
      </w:r>
      <w:r w:rsidR="006C6610" w:rsidRPr="0068632F">
        <w:rPr>
          <w:rFonts w:ascii="Times New Roman" w:hAnsi="Times New Roman" w:cs="Times New Roman"/>
        </w:rPr>
        <w:t>реговара за ограничување на користењето на податоците</w:t>
      </w:r>
      <w:r w:rsidR="0054252F" w:rsidRPr="0068632F">
        <w:rPr>
          <w:rFonts w:ascii="Times New Roman" w:hAnsi="Times New Roman" w:cs="Times New Roman"/>
          <w:lang w:val="mk-MK"/>
        </w:rPr>
        <w:t>, у</w:t>
      </w:r>
      <w:r w:rsidR="006C6610" w:rsidRPr="0068632F">
        <w:rPr>
          <w:rFonts w:ascii="Times New Roman" w:hAnsi="Times New Roman" w:cs="Times New Roman"/>
        </w:rPr>
        <w:t>словува согласност со јасни гаранции дека податоците нема да се користат за дисциплински мерки</w:t>
      </w:r>
      <w:r w:rsidR="0054252F" w:rsidRPr="0068632F">
        <w:rPr>
          <w:rFonts w:ascii="Times New Roman" w:hAnsi="Times New Roman" w:cs="Times New Roman"/>
          <w:lang w:val="mk-MK"/>
        </w:rPr>
        <w:t xml:space="preserve"> и б</w:t>
      </w:r>
      <w:r w:rsidR="006C6610" w:rsidRPr="0068632F">
        <w:rPr>
          <w:rFonts w:ascii="Times New Roman" w:hAnsi="Times New Roman" w:cs="Times New Roman"/>
        </w:rPr>
        <w:t xml:space="preserve">ез договор, системот не може да се воведе. Ако преговорите пропаднат, одлучува арбитражната комисија. Резултатот е компромис: системот се воведува </w:t>
      </w:r>
      <w:r w:rsidR="00541D08" w:rsidRPr="0068632F">
        <w:rPr>
          <w:rFonts w:ascii="Times New Roman" w:hAnsi="Times New Roman" w:cs="Times New Roman"/>
          <w:lang w:val="mk-MK"/>
        </w:rPr>
        <w:t xml:space="preserve">и </w:t>
      </w:r>
      <w:r w:rsidR="006C6610" w:rsidRPr="0068632F">
        <w:rPr>
          <w:rFonts w:ascii="Times New Roman" w:hAnsi="Times New Roman" w:cs="Times New Roman"/>
        </w:rPr>
        <w:t>продуктивноста се следи</w:t>
      </w:r>
      <w:r w:rsidR="00541D08" w:rsidRPr="0068632F">
        <w:rPr>
          <w:rFonts w:ascii="Times New Roman" w:hAnsi="Times New Roman" w:cs="Times New Roman"/>
          <w:lang w:val="mk-MK"/>
        </w:rPr>
        <w:t>,</w:t>
      </w:r>
      <w:r w:rsidR="006C6610" w:rsidRPr="0068632F">
        <w:rPr>
          <w:rFonts w:ascii="Times New Roman" w:hAnsi="Times New Roman" w:cs="Times New Roman"/>
        </w:rPr>
        <w:t xml:space="preserve"> но правата и достоинството на вработените се заштитени</w:t>
      </w:r>
      <w:r w:rsidR="00541D08" w:rsidRPr="0068632F">
        <w:rPr>
          <w:rFonts w:ascii="Times New Roman" w:hAnsi="Times New Roman" w:cs="Times New Roman"/>
          <w:lang w:val="mk-MK"/>
        </w:rPr>
        <w:t>.</w:t>
      </w:r>
    </w:p>
  </w:footnote>
  <w:footnote w:id="645">
    <w:p w14:paraId="7D8B24DE" w14:textId="205E6011" w:rsidR="00EA5814" w:rsidRPr="0068632F" w:rsidRDefault="00EA581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90B23" w:rsidRPr="0068632F">
        <w:rPr>
          <w:rFonts w:ascii="Times New Roman" w:hAnsi="Times New Roman" w:cs="Times New Roman"/>
        </w:rPr>
        <w:t>Gorton, G., &amp; Schmid, F. A. (2004). Capital, labor, and the firm: A study of German codetermination. Journal of the European Economic Association, 2(5), 863-905</w:t>
      </w:r>
      <w:r w:rsidR="00F90B23" w:rsidRPr="0068632F">
        <w:rPr>
          <w:rFonts w:ascii="Times New Roman" w:hAnsi="Times New Roman" w:cs="Times New Roman"/>
          <w:lang w:val="en-US"/>
        </w:rPr>
        <w:t xml:space="preserve"> </w:t>
      </w:r>
      <w:r w:rsidR="00F90B23" w:rsidRPr="0068632F">
        <w:rPr>
          <w:rFonts w:ascii="Times New Roman" w:hAnsi="Times New Roman" w:cs="Times New Roman"/>
          <w:lang w:val="mk-MK"/>
        </w:rPr>
        <w:t xml:space="preserve">и </w:t>
      </w:r>
      <w:r w:rsidR="000C0E48" w:rsidRPr="0068632F">
        <w:rPr>
          <w:rFonts w:ascii="Times New Roman" w:hAnsi="Times New Roman" w:cs="Times New Roman"/>
          <w:lang w:val="mk-MK"/>
        </w:rPr>
        <w:t>Vitols, S. (2008). The evolving European system of corporate governance: implications for worker participation. Transfer: European Review of Labour and Research, 14(1), 27-43.</w:t>
      </w:r>
    </w:p>
  </w:footnote>
  <w:footnote w:id="646">
    <w:p w14:paraId="745AD65D" w14:textId="13087932" w:rsidR="00AF0039" w:rsidRPr="0068632F" w:rsidRDefault="00AF003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Sandrock, O. (2015).</w:t>
      </w:r>
    </w:p>
  </w:footnote>
  <w:footnote w:id="647">
    <w:p w14:paraId="590793EE" w14:textId="698300BF" w:rsidR="004511D9" w:rsidRPr="0068632F" w:rsidRDefault="004511D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93DF6" w:rsidRPr="0068632F">
        <w:rPr>
          <w:rFonts w:ascii="Times New Roman" w:hAnsi="Times New Roman" w:cs="Times New Roman"/>
          <w:lang w:val="mk-MK"/>
        </w:rPr>
        <w:t>В</w:t>
      </w:r>
      <w:r w:rsidR="00793DF6" w:rsidRPr="0068632F">
        <w:rPr>
          <w:rFonts w:ascii="Times New Roman" w:hAnsi="Times New Roman" w:cs="Times New Roman"/>
        </w:rPr>
        <w:t>клучително и преку групираниот работнички совет</w:t>
      </w:r>
      <w:r w:rsidR="00793DF6" w:rsidRPr="0068632F">
        <w:rPr>
          <w:rFonts w:ascii="Times New Roman" w:hAnsi="Times New Roman" w:cs="Times New Roman"/>
          <w:lang w:val="mk-MK"/>
        </w:rPr>
        <w:t>.</w:t>
      </w:r>
    </w:p>
  </w:footnote>
  <w:footnote w:id="648">
    <w:p w14:paraId="3AC8FBCF" w14:textId="647AEE4D" w:rsidR="00A3441C" w:rsidRPr="0068632F" w:rsidRDefault="00A3441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B56FE" w:rsidRPr="0068632F">
        <w:rPr>
          <w:rFonts w:ascii="Times New Roman" w:hAnsi="Times New Roman" w:cs="Times New Roman"/>
          <w:lang w:val="mk-MK"/>
        </w:rPr>
        <w:t>Сепак, многу почесто вработените учествуваат во одлуки за прашања за распоред на работното време, воведување нови технологии, работна организација и безбедност и здравје при работа</w:t>
      </w:r>
    </w:p>
  </w:footnote>
  <w:footnote w:id="649">
    <w:p w14:paraId="6BF970E6" w14:textId="6C6AAE01" w:rsidR="00E3094A" w:rsidRPr="0068632F" w:rsidRDefault="00E3094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91683" w:rsidRPr="0068632F">
        <w:rPr>
          <w:rFonts w:ascii="Times New Roman" w:hAnsi="Times New Roman" w:cs="Times New Roman"/>
        </w:rPr>
        <w:t>Sozialpläne</w:t>
      </w:r>
      <w:r w:rsidR="00891683" w:rsidRPr="0068632F">
        <w:rPr>
          <w:rFonts w:ascii="Times New Roman" w:hAnsi="Times New Roman" w:cs="Times New Roman"/>
          <w:lang w:val="mk-MK"/>
        </w:rPr>
        <w:t xml:space="preserve">. </w:t>
      </w:r>
    </w:p>
  </w:footnote>
  <w:footnote w:id="650">
    <w:p w14:paraId="7CFACC77" w14:textId="3C69AC2B" w:rsidR="00FB3F3E" w:rsidRPr="0068632F" w:rsidRDefault="00FB3F3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70701" w:rsidRPr="0068632F">
        <w:rPr>
          <w:rFonts w:ascii="Times New Roman" w:hAnsi="Times New Roman" w:cs="Times New Roman"/>
          <w:lang w:val="mk-MK"/>
        </w:rPr>
        <w:t xml:space="preserve">Види и </w:t>
      </w:r>
      <w:r w:rsidR="00791022" w:rsidRPr="0068632F">
        <w:rPr>
          <w:rFonts w:ascii="Times New Roman" w:hAnsi="Times New Roman" w:cs="Times New Roman"/>
          <w:lang w:val="mk-MK"/>
        </w:rPr>
        <w:t xml:space="preserve">за малку поинаков пристап кон слична поента </w:t>
      </w:r>
      <w:r w:rsidR="001977A5" w:rsidRPr="0068632F">
        <w:rPr>
          <w:rFonts w:ascii="Times New Roman" w:hAnsi="Times New Roman" w:cs="Times New Roman"/>
          <w:bCs/>
          <w:lang w:val="mk-MK"/>
        </w:rPr>
        <w:t>Dhanaraj, C., Lyles, M. A., Steensma, H. K., &amp; Tihanyi, L. (2004). Managing tacit and explicit knowledge transfer</w:t>
      </w:r>
      <w:r w:rsidR="001977A5" w:rsidRPr="0068632F">
        <w:rPr>
          <w:rFonts w:ascii="Times New Roman" w:hAnsi="Times New Roman" w:cs="Times New Roman"/>
          <w:lang w:val="en-US"/>
        </w:rPr>
        <w:t xml:space="preserve">: </w:t>
      </w:r>
      <w:r w:rsidR="00E70701" w:rsidRPr="0068632F">
        <w:rPr>
          <w:rFonts w:ascii="Times New Roman" w:hAnsi="Times New Roman" w:cs="Times New Roman"/>
          <w:lang w:val="en-US"/>
        </w:rPr>
        <w:t>t</w:t>
      </w:r>
      <w:r w:rsidR="00E70701" w:rsidRPr="0068632F">
        <w:rPr>
          <w:rFonts w:ascii="Times New Roman" w:hAnsi="Times New Roman" w:cs="Times New Roman"/>
          <w:lang w:val="mk-MK"/>
        </w:rPr>
        <w:t>he role of relational embeddedness and the impact on performance. Journal of International Business Studies, 35(5), 428 – 442.</w:t>
      </w:r>
    </w:p>
  </w:footnote>
  <w:footnote w:id="651">
    <w:p w14:paraId="2BE41E42" w14:textId="6FDD6C57" w:rsidR="007C4079" w:rsidRPr="0068632F" w:rsidRDefault="007C4079"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40730F" w:rsidRPr="0068632F">
        <w:rPr>
          <w:sz w:val="20"/>
          <w:szCs w:val="20"/>
          <w:lang w:val="mk-MK"/>
        </w:rPr>
        <w:t>Слични примери можат да се забеле</w:t>
      </w:r>
      <w:r w:rsidR="00D47BCF" w:rsidRPr="0068632F">
        <w:rPr>
          <w:sz w:val="20"/>
          <w:szCs w:val="20"/>
          <w:lang w:val="mk-MK"/>
        </w:rPr>
        <w:t xml:space="preserve">жат во однос на процеси и системи на пренос не знаења и вештини </w:t>
      </w:r>
      <w:r w:rsidR="00D47BCF" w:rsidRPr="0068632F">
        <w:rPr>
          <w:bCs/>
          <w:sz w:val="20"/>
          <w:szCs w:val="20"/>
          <w:lang w:val="mk-MK"/>
        </w:rPr>
        <w:t>Makino, S., &amp; Delios, A. (1996). Local knowledge transfer and performance: Implications for alliance formation in Asia. Journal of International Business Studies, 27(5), 905–927.</w:t>
      </w:r>
    </w:p>
  </w:footnote>
  <w:footnote w:id="652">
    <w:p w14:paraId="2F27152F" w14:textId="5F12A52D" w:rsidR="00B378A2" w:rsidRPr="0068632F" w:rsidRDefault="00B378A2"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356929" w:rsidRPr="0068632F">
        <w:rPr>
          <w:sz w:val="20"/>
          <w:szCs w:val="20"/>
          <w:lang w:val="mk-MK"/>
        </w:rPr>
        <w:t xml:space="preserve">Види </w:t>
      </w:r>
      <w:r w:rsidR="00356929" w:rsidRPr="0068632F">
        <w:rPr>
          <w:bCs/>
          <w:sz w:val="20"/>
          <w:szCs w:val="20"/>
          <w:lang w:val="mk-MK"/>
        </w:rPr>
        <w:t xml:space="preserve">Federal Reserve. 2020. Distributional Financial Accounts. </w:t>
      </w:r>
      <w:hyperlink r:id="rId133" w:history="1">
        <w:r w:rsidR="00356929" w:rsidRPr="0068632F">
          <w:rPr>
            <w:rStyle w:val="Hyperlink"/>
            <w:bCs/>
            <w:sz w:val="20"/>
            <w:szCs w:val="20"/>
            <w:lang w:val="mk-MK"/>
          </w:rPr>
          <w:t>https://www.federalreserve.gov/releases/z1/dataviz/dfa/index.html</w:t>
        </w:r>
      </w:hyperlink>
      <w:r w:rsidR="00356929" w:rsidRPr="0068632F">
        <w:rPr>
          <w:bCs/>
          <w:sz w:val="20"/>
          <w:szCs w:val="20"/>
          <w:lang w:val="mk-MK"/>
        </w:rPr>
        <w:t xml:space="preserve">. </w:t>
      </w:r>
    </w:p>
  </w:footnote>
  <w:footnote w:id="653">
    <w:p w14:paraId="238FC0E2" w14:textId="4AA80EFB" w:rsidR="00DD2D5A" w:rsidRPr="0068632F" w:rsidRDefault="00DD2D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Tros, F. (2022). Innovating employee participation in the Netherlands. Industrielle Beziehungen. Zeitschrift für Arbeit, Organisation und Management, 29(1), 3-4.</w:t>
      </w:r>
    </w:p>
  </w:footnote>
  <w:footnote w:id="654">
    <w:p w14:paraId="48D000EE" w14:textId="28EB88BC" w:rsidR="00657BB2" w:rsidRPr="0068632F" w:rsidRDefault="00657BB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Wet op de ondernemingsraden</w:t>
      </w:r>
      <w:r w:rsidRPr="0068632F">
        <w:rPr>
          <w:rFonts w:ascii="Times New Roman" w:hAnsi="Times New Roman" w:cs="Times New Roman"/>
          <w:lang w:val="mk-MK"/>
        </w:rPr>
        <w:t xml:space="preserve"> (</w:t>
      </w:r>
      <w:r w:rsidRPr="0068632F">
        <w:rPr>
          <w:rFonts w:ascii="Times New Roman" w:hAnsi="Times New Roman" w:cs="Times New Roman"/>
        </w:rPr>
        <w:t>WOR</w:t>
      </w:r>
      <w:r w:rsidRPr="0068632F">
        <w:rPr>
          <w:rFonts w:ascii="Times New Roman" w:hAnsi="Times New Roman" w:cs="Times New Roman"/>
          <w:lang w:val="mk-MK"/>
        </w:rPr>
        <w:t>).</w:t>
      </w:r>
    </w:p>
  </w:footnote>
  <w:footnote w:id="655">
    <w:p w14:paraId="52661DDE" w14:textId="2BCE1948" w:rsidR="00252325" w:rsidRPr="0068632F" w:rsidRDefault="0025232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Enterprise Chamber</w:t>
      </w:r>
      <w:r w:rsidRPr="0068632F">
        <w:rPr>
          <w:rFonts w:ascii="Times New Roman" w:hAnsi="Times New Roman" w:cs="Times New Roman"/>
          <w:lang w:val="mk-MK"/>
        </w:rPr>
        <w:t xml:space="preserve">. </w:t>
      </w:r>
    </w:p>
  </w:footnote>
  <w:footnote w:id="656">
    <w:p w14:paraId="768A7F11" w14:textId="01E68671" w:rsidR="009021AF" w:rsidRPr="0068632F" w:rsidRDefault="009021A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Structuurregime</w:t>
      </w:r>
      <w:r w:rsidRPr="0068632F">
        <w:rPr>
          <w:rFonts w:ascii="Times New Roman" w:hAnsi="Times New Roman" w:cs="Times New Roman"/>
          <w:lang w:val="mk-MK"/>
        </w:rPr>
        <w:t>.</w:t>
      </w:r>
    </w:p>
  </w:footnote>
  <w:footnote w:id="657">
    <w:p w14:paraId="646CC744" w14:textId="5FDF508A" w:rsidR="002D3802" w:rsidRPr="0068632F" w:rsidRDefault="002D380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A12EB" w:rsidRPr="0068632F">
        <w:rPr>
          <w:rFonts w:ascii="Times New Roman" w:hAnsi="Times New Roman" w:cs="Times New Roman"/>
        </w:rPr>
        <w:t>Burgerlijk Wetboek, Boek 2</w:t>
      </w:r>
      <w:r w:rsidR="00AA12EB" w:rsidRPr="0068632F">
        <w:rPr>
          <w:rFonts w:ascii="Times New Roman" w:hAnsi="Times New Roman" w:cs="Times New Roman"/>
          <w:lang w:val="mk-MK"/>
        </w:rPr>
        <w:t>.</w:t>
      </w:r>
    </w:p>
  </w:footnote>
  <w:footnote w:id="658">
    <w:p w14:paraId="5DDA470A" w14:textId="3F337C4D" w:rsidR="009C3C3F" w:rsidRPr="0068632F" w:rsidRDefault="009C3C3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Овој праг ја одразува намерата режимот да се применува исклучиво на економски значајни и институционално стабилни друштва</w:t>
      </w:r>
      <w:r w:rsidR="007E0472" w:rsidRPr="0068632F">
        <w:rPr>
          <w:rFonts w:ascii="Times New Roman" w:hAnsi="Times New Roman" w:cs="Times New Roman"/>
          <w:lang w:val="mk-MK"/>
        </w:rPr>
        <w:t>.</w:t>
      </w:r>
    </w:p>
  </w:footnote>
  <w:footnote w:id="659">
    <w:p w14:paraId="50D449C6" w14:textId="1CCFDC0A" w:rsidR="00171051" w:rsidRPr="0068632F" w:rsidRDefault="0017105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C3453" w:rsidRPr="0068632F">
        <w:rPr>
          <w:rFonts w:ascii="Times New Roman" w:hAnsi="Times New Roman" w:cs="Times New Roman"/>
        </w:rPr>
        <w:t xml:space="preserve">Притоа, релевантен е бројот на вработени на национално ниво, а не вкупната работна сила на групата на меѓународно ниво. </w:t>
      </w:r>
    </w:p>
  </w:footnote>
  <w:footnote w:id="660">
    <w:p w14:paraId="77F36C2F" w14:textId="6F583223" w:rsidR="006148A0" w:rsidRPr="0068632F" w:rsidRDefault="006148A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A1AD9" w:rsidRPr="0068632F">
        <w:rPr>
          <w:rFonts w:ascii="Times New Roman" w:hAnsi="Times New Roman" w:cs="Times New Roman"/>
        </w:rPr>
        <w:t>Sandrock, O. (2015).</w:t>
      </w:r>
    </w:p>
  </w:footnote>
  <w:footnote w:id="661">
    <w:p w14:paraId="67DCA6EA" w14:textId="0882AADB" w:rsidR="0041305E" w:rsidRPr="0068632F" w:rsidRDefault="0041305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Tros, F. (2022).</w:t>
      </w:r>
    </w:p>
  </w:footnote>
  <w:footnote w:id="662">
    <w:p w14:paraId="0AD2DBD4" w14:textId="7D6A274C" w:rsidR="00B87396" w:rsidRPr="0068632F" w:rsidRDefault="00B87396" w:rsidP="00F01453">
      <w:pPr>
        <w:adjustRightInd w:val="0"/>
        <w:jc w:val="both"/>
        <w:rPr>
          <w:bCs/>
          <w:sz w:val="20"/>
          <w:szCs w:val="20"/>
          <w:lang w:val="mk-MK"/>
        </w:rPr>
      </w:pPr>
      <w:r w:rsidRPr="0068632F">
        <w:rPr>
          <w:rStyle w:val="FootnoteReference"/>
          <w:sz w:val="20"/>
          <w:szCs w:val="20"/>
        </w:rPr>
        <w:footnoteRef/>
      </w:r>
      <w:r w:rsidRPr="0068632F">
        <w:rPr>
          <w:sz w:val="20"/>
          <w:szCs w:val="20"/>
        </w:rPr>
        <w:t xml:space="preserve"> </w:t>
      </w:r>
      <w:r w:rsidR="001F4DD0" w:rsidRPr="0068632F">
        <w:rPr>
          <w:sz w:val="20"/>
          <w:szCs w:val="20"/>
          <w:lang w:val="mk-MK"/>
        </w:rPr>
        <w:t xml:space="preserve">Слични иновативни решенија во легислативите се применуваат и во други сродни области, види на пример </w:t>
      </w:r>
      <w:r w:rsidR="001F4DD0" w:rsidRPr="0068632F">
        <w:rPr>
          <w:bCs/>
          <w:sz w:val="20"/>
          <w:szCs w:val="20"/>
          <w:lang w:val="mk-MK"/>
        </w:rPr>
        <w:t>Mowery, D. C., Oxley, J. E., &amp; Silverman, B. S. (1996).</w:t>
      </w:r>
      <w:r w:rsidR="001F4DD0" w:rsidRPr="0068632F">
        <w:rPr>
          <w:bCs/>
          <w:sz w:val="20"/>
          <w:szCs w:val="20"/>
          <w:lang w:val="en-US"/>
        </w:rPr>
        <w:t xml:space="preserve"> </w:t>
      </w:r>
      <w:r w:rsidR="001F4DD0" w:rsidRPr="0068632F">
        <w:rPr>
          <w:bCs/>
          <w:sz w:val="20"/>
          <w:szCs w:val="20"/>
          <w:lang w:val="mk-MK"/>
        </w:rPr>
        <w:t>Strategic alliances and interfirm knowledge transfer.</w:t>
      </w:r>
      <w:r w:rsidR="001F4DD0" w:rsidRPr="0068632F">
        <w:rPr>
          <w:bCs/>
          <w:sz w:val="20"/>
          <w:szCs w:val="20"/>
          <w:lang w:val="en-US"/>
        </w:rPr>
        <w:t xml:space="preserve"> </w:t>
      </w:r>
      <w:r w:rsidR="001F4DD0" w:rsidRPr="0068632F">
        <w:rPr>
          <w:bCs/>
          <w:sz w:val="20"/>
          <w:szCs w:val="20"/>
          <w:lang w:val="mk-MK"/>
        </w:rPr>
        <w:t>Strategic Management Journal, 17, 77–91.</w:t>
      </w:r>
    </w:p>
  </w:footnote>
  <w:footnote w:id="663">
    <w:p w14:paraId="200BF792" w14:textId="5ACE3B55" w:rsidR="008743CB" w:rsidRPr="0068632F" w:rsidRDefault="008743C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05D34" w:rsidRPr="0068632F">
        <w:rPr>
          <w:rFonts w:ascii="Times New Roman" w:hAnsi="Times New Roman" w:cs="Times New Roman"/>
          <w:lang w:val="mk-MK"/>
        </w:rPr>
        <w:t>Д</w:t>
      </w:r>
      <w:r w:rsidR="00205D34" w:rsidRPr="0068632F">
        <w:rPr>
          <w:rFonts w:ascii="Times New Roman" w:hAnsi="Times New Roman" w:cs="Times New Roman"/>
        </w:rPr>
        <w:t>одека фидуцијарната должност</w:t>
      </w:r>
      <w:r w:rsidR="00205D34" w:rsidRPr="0068632F">
        <w:rPr>
          <w:rFonts w:ascii="Times New Roman" w:hAnsi="Times New Roman" w:cs="Times New Roman"/>
          <w:lang w:val="mk-MK"/>
        </w:rPr>
        <w:t xml:space="preserve"> лежи кај</w:t>
      </w:r>
      <w:r w:rsidR="00205D34" w:rsidRPr="0068632F">
        <w:rPr>
          <w:rFonts w:ascii="Times New Roman" w:hAnsi="Times New Roman" w:cs="Times New Roman"/>
        </w:rPr>
        <w:t xml:space="preserve"> членовите на одборите</w:t>
      </w:r>
      <w:r w:rsidR="006841F0" w:rsidRPr="0068632F">
        <w:rPr>
          <w:rFonts w:ascii="Times New Roman" w:hAnsi="Times New Roman" w:cs="Times New Roman"/>
          <w:lang w:val="mk-MK"/>
        </w:rPr>
        <w:t>, кои имаат обврска</w:t>
      </w:r>
      <w:r w:rsidR="00205D34" w:rsidRPr="0068632F">
        <w:rPr>
          <w:rFonts w:ascii="Times New Roman" w:hAnsi="Times New Roman" w:cs="Times New Roman"/>
        </w:rPr>
        <w:t xml:space="preserve"> да ги штитат долгорочните интереси на друштвото и на сите засегнати страни</w:t>
      </w:r>
      <w:r w:rsidR="00205D34" w:rsidRPr="0068632F">
        <w:rPr>
          <w:rFonts w:ascii="Times New Roman" w:hAnsi="Times New Roman" w:cs="Times New Roman"/>
          <w:lang w:val="mk-MK"/>
        </w:rPr>
        <w:t>.</w:t>
      </w:r>
    </w:p>
  </w:footnote>
  <w:footnote w:id="664">
    <w:p w14:paraId="214F79D3" w14:textId="65018C58" w:rsidR="0077367F" w:rsidRPr="0068632F" w:rsidRDefault="0077367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2970" w:rsidRPr="0068632F">
        <w:rPr>
          <w:rFonts w:ascii="Times New Roman" w:hAnsi="Times New Roman" w:cs="Times New Roman"/>
          <w:lang w:val="mk-MK"/>
        </w:rPr>
        <w:t xml:space="preserve">За процесот на компаративни анализи види и </w:t>
      </w:r>
      <w:r w:rsidR="00D90340" w:rsidRPr="0068632F">
        <w:rPr>
          <w:rFonts w:ascii="Times New Roman" w:hAnsi="Times New Roman" w:cs="Times New Roman"/>
          <w:lang w:val="mk-MK"/>
        </w:rPr>
        <w:t>Shenkar, O., &amp; Li, J. T. (1999). Knowledge search in international cooperative ventures. Organization Science, 10(2), 134 –143.</w:t>
      </w:r>
    </w:p>
  </w:footnote>
  <w:footnote w:id="665">
    <w:p w14:paraId="322D0BB9" w14:textId="679522FA" w:rsidR="006A4B23" w:rsidRPr="0068632F" w:rsidRDefault="006A4B23" w:rsidP="00F01453">
      <w:pPr>
        <w:adjustRightInd w:val="0"/>
        <w:jc w:val="both"/>
        <w:rPr>
          <w:bCs/>
          <w:sz w:val="20"/>
          <w:szCs w:val="20"/>
          <w:lang w:val="en-US"/>
        </w:rPr>
      </w:pPr>
      <w:r w:rsidRPr="0068632F">
        <w:rPr>
          <w:rStyle w:val="FootnoteReference"/>
          <w:sz w:val="20"/>
          <w:szCs w:val="20"/>
        </w:rPr>
        <w:footnoteRef/>
      </w:r>
      <w:r w:rsidRPr="0068632F">
        <w:rPr>
          <w:sz w:val="20"/>
          <w:szCs w:val="20"/>
        </w:rPr>
        <w:t xml:space="preserve"> </w:t>
      </w:r>
      <w:r w:rsidR="002F2079" w:rsidRPr="0068632F">
        <w:rPr>
          <w:sz w:val="20"/>
          <w:szCs w:val="20"/>
          <w:lang w:val="mk-MK"/>
        </w:rPr>
        <w:t xml:space="preserve">Споредбени примери од други области можат да се согледаат и во </w:t>
      </w:r>
      <w:r w:rsidR="002F2079" w:rsidRPr="0068632F">
        <w:rPr>
          <w:bCs/>
          <w:sz w:val="20"/>
          <w:szCs w:val="20"/>
          <w:lang w:val="mk-MK"/>
        </w:rPr>
        <w:t>Nicholls-Nixon, C. L., &amp; Woo, C. Y. (2003). Technology</w:t>
      </w:r>
      <w:r w:rsidR="002F2079" w:rsidRPr="0068632F">
        <w:rPr>
          <w:bCs/>
          <w:sz w:val="20"/>
          <w:szCs w:val="20"/>
          <w:lang w:val="en-US"/>
        </w:rPr>
        <w:t xml:space="preserve"> </w:t>
      </w:r>
      <w:r w:rsidR="002F2079" w:rsidRPr="0068632F">
        <w:rPr>
          <w:bCs/>
          <w:sz w:val="20"/>
          <w:szCs w:val="20"/>
          <w:lang w:val="mk-MK"/>
        </w:rPr>
        <w:t>sourcing and output of established firms in a regime of</w:t>
      </w:r>
      <w:r w:rsidR="002F2079" w:rsidRPr="0068632F">
        <w:rPr>
          <w:bCs/>
          <w:sz w:val="20"/>
          <w:szCs w:val="20"/>
          <w:lang w:val="en-US"/>
        </w:rPr>
        <w:t xml:space="preserve"> </w:t>
      </w:r>
      <w:r w:rsidR="002F2079" w:rsidRPr="0068632F">
        <w:rPr>
          <w:bCs/>
          <w:sz w:val="20"/>
          <w:szCs w:val="20"/>
          <w:lang w:val="mk-MK"/>
        </w:rPr>
        <w:t>encompassing technological change. Strategic Management Journal, 24(7), 651– 666.</w:t>
      </w:r>
    </w:p>
  </w:footnote>
  <w:footnote w:id="666">
    <w:p w14:paraId="0B960BA4" w14:textId="100F275A" w:rsidR="00B43580" w:rsidRPr="0068632F" w:rsidRDefault="00B4358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Tros, F. (2022).</w:t>
      </w:r>
    </w:p>
  </w:footnote>
  <w:footnote w:id="667">
    <w:p w14:paraId="4ABC4763" w14:textId="4E61169C" w:rsidR="005A5BE1" w:rsidRPr="0068632F" w:rsidRDefault="005A5BE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3024C" w:rsidRPr="0068632F">
        <w:rPr>
          <w:rFonts w:ascii="Times New Roman" w:hAnsi="Times New Roman" w:cs="Times New Roman"/>
          <w:lang w:val="mk-MK"/>
        </w:rPr>
        <w:t xml:space="preserve">Види и низ призма на: </w:t>
      </w:r>
      <w:r w:rsidR="00F3024C" w:rsidRPr="0068632F">
        <w:rPr>
          <w:rFonts w:ascii="Times New Roman" w:hAnsi="Times New Roman" w:cs="Times New Roman"/>
        </w:rPr>
        <w:t>Veljanoska, F. (2021).</w:t>
      </w:r>
    </w:p>
  </w:footnote>
  <w:footnote w:id="668">
    <w:p w14:paraId="3B26124B" w14:textId="6A1CF041" w:rsidR="00102572" w:rsidRPr="0068632F" w:rsidRDefault="0010257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626E8" w:rsidRPr="0068632F">
        <w:rPr>
          <w:rFonts w:ascii="Times New Roman" w:hAnsi="Times New Roman" w:cs="Times New Roman"/>
          <w:lang w:val="mk-MK"/>
        </w:rPr>
        <w:t xml:space="preserve">Ова е уште една од причините зошто Италија е предмет на анализа. </w:t>
      </w:r>
    </w:p>
  </w:footnote>
  <w:footnote w:id="669">
    <w:p w14:paraId="0EAF0BA9" w14:textId="1FCCC2FF" w:rsidR="00D77160" w:rsidRPr="0068632F" w:rsidRDefault="00D77160"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 xml:space="preserve">Civil law. </w:t>
      </w:r>
    </w:p>
  </w:footnote>
  <w:footnote w:id="670">
    <w:p w14:paraId="4D8E2099" w14:textId="6BB1133E" w:rsidR="001677CC" w:rsidRPr="0068632F" w:rsidRDefault="001677C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E5EE9" w:rsidRPr="0068632F">
        <w:rPr>
          <w:rFonts w:ascii="Times New Roman" w:hAnsi="Times New Roman" w:cs="Times New Roman"/>
        </w:rPr>
        <w:t>Leonardi, S., &amp; Gottardi, D. (2019). Why no board-level employee representation in Italy? Actor preferences and political ideologies. European Journal of Industrial Relations, 25(3), 291-304.</w:t>
      </w:r>
    </w:p>
  </w:footnote>
  <w:footnote w:id="671">
    <w:p w14:paraId="2FCEC91A" w14:textId="296CC0CD" w:rsidR="00CD07F9" w:rsidRPr="0068632F" w:rsidRDefault="00CD07F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C4085" w:rsidRPr="0068632F">
        <w:rPr>
          <w:rFonts w:ascii="Times New Roman" w:hAnsi="Times New Roman" w:cs="Times New Roman"/>
          <w:lang w:val="mk-MK"/>
        </w:rPr>
        <w:t>Е</w:t>
      </w:r>
      <w:r w:rsidRPr="0068632F">
        <w:rPr>
          <w:rFonts w:ascii="Times New Roman" w:hAnsi="Times New Roman" w:cs="Times New Roman"/>
        </w:rPr>
        <w:t>x</w:t>
      </w:r>
      <w:r w:rsidR="004C4085" w:rsidRPr="0068632F">
        <w:rPr>
          <w:rFonts w:ascii="Times New Roman" w:hAnsi="Times New Roman" w:cs="Times New Roman"/>
          <w:lang w:val="mk-MK"/>
        </w:rPr>
        <w:t>-</w:t>
      </w:r>
      <w:r w:rsidRPr="0068632F">
        <w:rPr>
          <w:rFonts w:ascii="Times New Roman" w:hAnsi="Times New Roman" w:cs="Times New Roman"/>
        </w:rPr>
        <w:t>post</w:t>
      </w:r>
      <w:r w:rsidRPr="0068632F">
        <w:rPr>
          <w:rFonts w:ascii="Times New Roman" w:hAnsi="Times New Roman" w:cs="Times New Roman"/>
          <w:lang w:val="mk-MK"/>
        </w:rPr>
        <w:t>.</w:t>
      </w:r>
    </w:p>
  </w:footnote>
  <w:footnote w:id="672">
    <w:p w14:paraId="4E9806A3" w14:textId="7104C1FF" w:rsidR="00BB6CA6" w:rsidRPr="0068632F" w:rsidRDefault="00BB6CA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60AC9" w:rsidRPr="0068632F">
        <w:rPr>
          <w:rFonts w:ascii="Times New Roman" w:hAnsi="Times New Roman" w:cs="Times New Roman"/>
        </w:rPr>
        <w:t>Testo Unico della Finanza – TUF, Законски декрет бр. 58/1998</w:t>
      </w:r>
      <w:r w:rsidR="00660AC9" w:rsidRPr="0068632F">
        <w:rPr>
          <w:rFonts w:ascii="Times New Roman" w:hAnsi="Times New Roman" w:cs="Times New Roman"/>
          <w:lang w:val="en-US"/>
        </w:rPr>
        <w:t>.</w:t>
      </w:r>
    </w:p>
  </w:footnote>
  <w:footnote w:id="673">
    <w:p w14:paraId="2C9029EE" w14:textId="4A3DDE4B" w:rsidR="00CA3B17" w:rsidRPr="0068632F" w:rsidRDefault="00CA3B1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Leonardi, S., &amp; Gottardi, D. (2019).</w:t>
      </w:r>
    </w:p>
  </w:footnote>
  <w:footnote w:id="674">
    <w:p w14:paraId="77758D0F" w14:textId="7326EE5B" w:rsidR="00003CA6" w:rsidRPr="0068632F" w:rsidRDefault="00003CA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B1C0E" w:rsidRPr="0068632F">
        <w:rPr>
          <w:rFonts w:ascii="Times New Roman" w:hAnsi="Times New Roman" w:cs="Times New Roman"/>
          <w:lang w:val="mk-MK"/>
        </w:rPr>
        <w:t>Т</w:t>
      </w:r>
      <w:r w:rsidR="00DB1C0E" w:rsidRPr="0068632F">
        <w:rPr>
          <w:rFonts w:ascii="Times New Roman" w:hAnsi="Times New Roman" w:cs="Times New Roman"/>
        </w:rPr>
        <w:t>.н. „Golfo–Mosca“ закон</w:t>
      </w:r>
      <w:r w:rsidR="00DB1C0E" w:rsidRPr="0068632F">
        <w:rPr>
          <w:rFonts w:ascii="Times New Roman" w:hAnsi="Times New Roman" w:cs="Times New Roman"/>
          <w:lang w:val="mk-MK"/>
        </w:rPr>
        <w:t>.</w:t>
      </w:r>
    </w:p>
  </w:footnote>
  <w:footnote w:id="675">
    <w:p w14:paraId="69C3AC98" w14:textId="34B71C5C" w:rsidR="008525E1" w:rsidRPr="0068632F" w:rsidRDefault="008525E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F43B4" w:rsidRPr="0068632F">
        <w:rPr>
          <w:rFonts w:ascii="Times New Roman" w:hAnsi="Times New Roman" w:cs="Times New Roman"/>
          <w:lang w:val="mk-MK"/>
        </w:rPr>
        <w:t xml:space="preserve">Модел 231. </w:t>
      </w:r>
    </w:p>
  </w:footnote>
  <w:footnote w:id="676">
    <w:p w14:paraId="4F864514" w14:textId="1CB8AA29" w:rsidR="00A12F88" w:rsidRPr="0068632F" w:rsidRDefault="00A12F8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Leonardi, S., &amp; Gottardi, D. (2019).</w:t>
      </w:r>
    </w:p>
  </w:footnote>
  <w:footnote w:id="677">
    <w:p w14:paraId="1EA7F7A2" w14:textId="69E3558D" w:rsidR="00A12F88" w:rsidRPr="0068632F" w:rsidRDefault="00A12F8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470C7" w:rsidRPr="0068632F">
        <w:rPr>
          <w:rFonts w:ascii="Times New Roman" w:hAnsi="Times New Roman" w:cs="Times New Roman"/>
        </w:rPr>
        <w:t>Директива 2002/14/ЕЗ</w:t>
      </w:r>
      <w:r w:rsidR="003470C7" w:rsidRPr="0068632F">
        <w:rPr>
          <w:rFonts w:ascii="Times New Roman" w:hAnsi="Times New Roman" w:cs="Times New Roman"/>
          <w:lang w:val="mk-MK"/>
        </w:rPr>
        <w:t>.</w:t>
      </w:r>
    </w:p>
  </w:footnote>
  <w:footnote w:id="678">
    <w:p w14:paraId="67EA2B43" w14:textId="197606A4" w:rsidR="005A6935" w:rsidRPr="0068632F" w:rsidRDefault="005A693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246B5" w:rsidRPr="0068632F">
        <w:rPr>
          <w:rFonts w:ascii="Times New Roman" w:hAnsi="Times New Roman" w:cs="Times New Roman"/>
          <w:lang w:val="mk-MK"/>
        </w:rPr>
        <w:t>З</w:t>
      </w:r>
      <w:r w:rsidR="004246B5" w:rsidRPr="0068632F">
        <w:rPr>
          <w:rFonts w:ascii="Times New Roman" w:hAnsi="Times New Roman" w:cs="Times New Roman"/>
        </w:rPr>
        <w:t>аеднички комисии за организација на работата и обука</w:t>
      </w:r>
      <w:r w:rsidR="004246B5" w:rsidRPr="0068632F">
        <w:rPr>
          <w:rFonts w:ascii="Times New Roman" w:hAnsi="Times New Roman" w:cs="Times New Roman"/>
          <w:lang w:val="mk-MK"/>
        </w:rPr>
        <w:t>.</w:t>
      </w:r>
    </w:p>
  </w:footnote>
  <w:footnote w:id="679">
    <w:p w14:paraId="285B1801" w14:textId="7C999465" w:rsidR="004246B5" w:rsidRPr="0068632F" w:rsidRDefault="004246B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w:t>
      </w:r>
      <w:r w:rsidRPr="0068632F">
        <w:rPr>
          <w:rFonts w:ascii="Times New Roman" w:hAnsi="Times New Roman" w:cs="Times New Roman"/>
        </w:rPr>
        <w:t>граничени и факултативни форми на вклучување во корпоративното управување</w:t>
      </w:r>
      <w:r w:rsidR="00C73CC8" w:rsidRPr="0068632F">
        <w:rPr>
          <w:rFonts w:ascii="Times New Roman" w:hAnsi="Times New Roman" w:cs="Times New Roman"/>
          <w:lang w:val="mk-MK"/>
        </w:rPr>
        <w:t>.</w:t>
      </w:r>
    </w:p>
  </w:footnote>
  <w:footnote w:id="680">
    <w:p w14:paraId="660DE30F" w14:textId="2ADF2237" w:rsidR="00BD02E7" w:rsidRPr="0068632F" w:rsidRDefault="00BD02E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C3FF6" w:rsidRPr="0068632F">
        <w:rPr>
          <w:rFonts w:ascii="Times New Roman" w:hAnsi="Times New Roman" w:cs="Times New Roman"/>
        </w:rPr>
        <w:t>Leonardi, S., &amp; Gottardi, D. (2019).</w:t>
      </w:r>
    </w:p>
  </w:footnote>
  <w:footnote w:id="681">
    <w:p w14:paraId="38F05B0F" w14:textId="031F793A" w:rsidR="003860E4" w:rsidRPr="0068632F" w:rsidRDefault="003860E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F53FB" w:rsidRPr="0068632F">
        <w:rPr>
          <w:rFonts w:ascii="Times New Roman" w:hAnsi="Times New Roman" w:cs="Times New Roman"/>
        </w:rPr>
        <w:t>Kodeks spółek handlowych, KSH</w:t>
      </w:r>
      <w:r w:rsidR="005F53FB" w:rsidRPr="0068632F">
        <w:rPr>
          <w:rFonts w:ascii="Times New Roman" w:hAnsi="Times New Roman" w:cs="Times New Roman"/>
          <w:lang w:val="en-US"/>
        </w:rPr>
        <w:t xml:space="preserve">. </w:t>
      </w:r>
    </w:p>
  </w:footnote>
  <w:footnote w:id="682">
    <w:p w14:paraId="3B538237" w14:textId="7B2902A9" w:rsidR="007E4211" w:rsidRPr="0068632F" w:rsidRDefault="007E421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7606D" w:rsidRPr="0068632F">
        <w:rPr>
          <w:rFonts w:ascii="Times New Roman" w:hAnsi="Times New Roman" w:cs="Times New Roman"/>
          <w:lang w:val="mk-MK"/>
        </w:rPr>
        <w:t xml:space="preserve">Види Zybała, A. (2021). Direct Participation in Poland Compared with Other European Countries. Gospodarka Narodowa. The Polish Journal of Economics, 305(1), 9-31. </w:t>
      </w:r>
    </w:p>
  </w:footnote>
  <w:footnote w:id="683">
    <w:p w14:paraId="784A85AD" w14:textId="549FB634" w:rsidR="00166A53" w:rsidRPr="0068632F" w:rsidRDefault="00166A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172BC" w:rsidRPr="0068632F">
        <w:rPr>
          <w:rFonts w:ascii="Times New Roman" w:hAnsi="Times New Roman" w:cs="Times New Roman"/>
          <w:lang w:val="mk-MK"/>
        </w:rPr>
        <w:t>Ова особено во поглед на економската реалност на глобално ниво, која вели дека речиси целото богатство е сконцентирано во рацете на 0.001</w:t>
      </w:r>
      <w:r w:rsidR="00C82770" w:rsidRPr="0068632F">
        <w:rPr>
          <w:rFonts w:ascii="Times New Roman" w:hAnsi="Times New Roman" w:cs="Times New Roman"/>
          <w:lang w:val="mk-MK"/>
        </w:rPr>
        <w:t xml:space="preserve">% од популацијата, види: </w:t>
      </w:r>
      <w:hyperlink r:id="rId134" w:history="1">
        <w:r w:rsidR="00C82770" w:rsidRPr="0068632F">
          <w:rPr>
            <w:rStyle w:val="Hyperlink"/>
            <w:rFonts w:ascii="Times New Roman" w:hAnsi="Times New Roman" w:cs="Times New Roman"/>
            <w:lang w:val="bg-BG"/>
          </w:rPr>
          <w:t>Just 0.001% hold three times the wealth of poorest half of humanity, report finds | Inequality | The Guardian</w:t>
        </w:r>
      </w:hyperlink>
      <w:r w:rsidR="00C82770" w:rsidRPr="0068632F">
        <w:rPr>
          <w:rFonts w:ascii="Times New Roman" w:hAnsi="Times New Roman" w:cs="Times New Roman"/>
          <w:lang w:val="mk-MK"/>
        </w:rPr>
        <w:t>.</w:t>
      </w:r>
    </w:p>
  </w:footnote>
  <w:footnote w:id="684">
    <w:p w14:paraId="60283AE6" w14:textId="3A6626F8" w:rsidR="00166A53" w:rsidRPr="0068632F" w:rsidRDefault="00166A5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82770" w:rsidRPr="0068632F">
        <w:rPr>
          <w:rFonts w:ascii="Times New Roman" w:hAnsi="Times New Roman" w:cs="Times New Roman"/>
          <w:lang w:val="mk-MK"/>
        </w:rPr>
        <w:t xml:space="preserve">Во насока на претходните тврдења, види и </w:t>
      </w:r>
      <w:hyperlink r:id="rId135" w:history="1">
        <w:r w:rsidR="00C82770" w:rsidRPr="0068632F">
          <w:rPr>
            <w:rStyle w:val="Hyperlink"/>
            <w:rFonts w:ascii="Times New Roman" w:hAnsi="Times New Roman" w:cs="Times New Roman"/>
            <w:lang w:val="bg-BG"/>
          </w:rPr>
          <w:t>‘The 0.001%’: a quick visual breakdown of the world’s wealthiest people | The super-rich | The Guardian</w:t>
        </w:r>
      </w:hyperlink>
      <w:r w:rsidR="00C82770" w:rsidRPr="0068632F">
        <w:rPr>
          <w:rFonts w:ascii="Times New Roman" w:hAnsi="Times New Roman" w:cs="Times New Roman"/>
          <w:lang w:val="mk-MK"/>
        </w:rPr>
        <w:t xml:space="preserve">. </w:t>
      </w:r>
    </w:p>
  </w:footnote>
  <w:footnote w:id="685">
    <w:p w14:paraId="755DB846" w14:textId="32532197" w:rsidR="008A5B3B" w:rsidRPr="0068632F" w:rsidRDefault="008A5B3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w:t>
      </w:r>
      <w:r w:rsidRPr="0068632F">
        <w:rPr>
          <w:rFonts w:ascii="Times New Roman" w:hAnsi="Times New Roman" w:cs="Times New Roman"/>
        </w:rPr>
        <w:t>дносот на членови на синдикати во вкупниот број вработени</w:t>
      </w:r>
      <w:r w:rsidRPr="0068632F">
        <w:rPr>
          <w:rFonts w:ascii="Times New Roman" w:hAnsi="Times New Roman" w:cs="Times New Roman"/>
          <w:lang w:val="mk-MK"/>
        </w:rPr>
        <w:t>.</w:t>
      </w:r>
    </w:p>
  </w:footnote>
  <w:footnote w:id="686">
    <w:p w14:paraId="10D5B792" w14:textId="3FFD5550" w:rsidR="00757420" w:rsidRPr="0068632F" w:rsidRDefault="0075742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24F7C" w:rsidRPr="0068632F">
        <w:rPr>
          <w:rFonts w:ascii="Times New Roman" w:hAnsi="Times New Roman" w:cs="Times New Roman"/>
          <w:lang w:val="mk-MK"/>
        </w:rPr>
        <w:t>П</w:t>
      </w:r>
      <w:r w:rsidR="00224F7C" w:rsidRPr="0068632F">
        <w:rPr>
          <w:rFonts w:ascii="Times New Roman" w:hAnsi="Times New Roman" w:cs="Times New Roman"/>
        </w:rPr>
        <w:t>роцентот на вработени чија плата и услови на работа се уредени со колективни договори</w:t>
      </w:r>
      <w:r w:rsidR="00224F7C" w:rsidRPr="0068632F">
        <w:rPr>
          <w:rFonts w:ascii="Times New Roman" w:hAnsi="Times New Roman" w:cs="Times New Roman"/>
          <w:lang w:val="mk-MK"/>
        </w:rPr>
        <w:t>.</w:t>
      </w:r>
    </w:p>
  </w:footnote>
  <w:footnote w:id="687">
    <w:p w14:paraId="24C69854" w14:textId="4056C068" w:rsidR="002504F7" w:rsidRPr="0068632F" w:rsidRDefault="002504F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Zybała, A. (2021).</w:t>
      </w:r>
    </w:p>
  </w:footnote>
  <w:footnote w:id="688">
    <w:p w14:paraId="5DC38D99" w14:textId="5F7F8EBE" w:rsidR="00EE10CE" w:rsidRPr="0068632F" w:rsidRDefault="00EE10C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E20A3" w:rsidRPr="0068632F">
        <w:rPr>
          <w:rFonts w:ascii="Times New Roman" w:hAnsi="Times New Roman" w:cs="Times New Roman"/>
          <w:lang w:val="mk-MK"/>
        </w:rPr>
        <w:t xml:space="preserve">Дополнително, многу од факторите кои во моментот претставуваат значајни влијанија и ќе стануваат се повлијателни, не се земени предвид во полскиот случај. На пример, види International Labour Organization. (2024). World social protection report 2024–26: Universal social protection for climate action and a just transition. </w:t>
      </w:r>
      <w:hyperlink r:id="rId136" w:history="1">
        <w:r w:rsidR="005E20A3" w:rsidRPr="0068632F">
          <w:rPr>
            <w:rStyle w:val="Hyperlink"/>
            <w:rFonts w:ascii="Times New Roman" w:hAnsi="Times New Roman" w:cs="Times New Roman"/>
            <w:lang w:val="mk-MK"/>
          </w:rPr>
          <w:t>https://doi.org/10.54394/FCZB5305</w:t>
        </w:r>
      </w:hyperlink>
      <w:r w:rsidR="005E20A3" w:rsidRPr="0068632F">
        <w:rPr>
          <w:rFonts w:ascii="Times New Roman" w:hAnsi="Times New Roman" w:cs="Times New Roman"/>
          <w:lang w:val="mk-MK"/>
        </w:rPr>
        <w:t xml:space="preserve">. </w:t>
      </w:r>
    </w:p>
  </w:footnote>
  <w:footnote w:id="689">
    <w:p w14:paraId="31AEF46A" w14:textId="4279665F" w:rsidR="007A16E5" w:rsidRPr="0068632F" w:rsidRDefault="007A16E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45EF8" w:rsidRPr="0068632F">
        <w:rPr>
          <w:rFonts w:ascii="Times New Roman" w:hAnsi="Times New Roman" w:cs="Times New Roman"/>
        </w:rPr>
        <w:t>Companies Act 2006, s 1(1)</w:t>
      </w:r>
      <w:r w:rsidR="00845EF8" w:rsidRPr="0068632F">
        <w:rPr>
          <w:rFonts w:ascii="Times New Roman" w:hAnsi="Times New Roman" w:cs="Times New Roman"/>
          <w:lang w:val="en-US"/>
        </w:rPr>
        <w:t>.</w:t>
      </w:r>
    </w:p>
  </w:footnote>
  <w:footnote w:id="690">
    <w:p w14:paraId="4B12AE20" w14:textId="51F15833" w:rsidR="00236F12" w:rsidRPr="0068632F" w:rsidRDefault="00236F1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20FD9" w:rsidRPr="0068632F">
        <w:rPr>
          <w:rFonts w:ascii="Times New Roman" w:hAnsi="Times New Roman" w:cs="Times New Roman"/>
          <w:lang w:val="mk-MK"/>
        </w:rPr>
        <w:t xml:space="preserve">Види </w:t>
      </w:r>
      <w:hyperlink r:id="rId137" w:history="1">
        <w:r w:rsidR="00420FD9" w:rsidRPr="0068632F">
          <w:rPr>
            <w:rStyle w:val="Hyperlink"/>
            <w:rFonts w:ascii="Times New Roman" w:hAnsi="Times New Roman" w:cs="Times New Roman"/>
            <w:lang w:val="bg-BG"/>
          </w:rPr>
          <w:t>UK Corporate Governance Code 2024</w:t>
        </w:r>
      </w:hyperlink>
      <w:r w:rsidR="00420FD9" w:rsidRPr="0068632F">
        <w:rPr>
          <w:rFonts w:ascii="Times New Roman" w:hAnsi="Times New Roman" w:cs="Times New Roman"/>
          <w:lang w:val="mk-MK"/>
        </w:rPr>
        <w:t xml:space="preserve">. </w:t>
      </w:r>
    </w:p>
  </w:footnote>
  <w:footnote w:id="691">
    <w:p w14:paraId="2DD47019" w14:textId="792CDC31" w:rsidR="004C578C" w:rsidRPr="0068632F" w:rsidRDefault="004C578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07FF5" w:rsidRPr="0068632F">
        <w:rPr>
          <w:rFonts w:ascii="Times New Roman" w:hAnsi="Times New Roman" w:cs="Times New Roman"/>
        </w:rPr>
        <w:t>Wates, J. (Chair). (2018). The Wates Corporate Governance Principles for Large Private Companies. Financial Reporting Council</w:t>
      </w:r>
      <w:r w:rsidR="003B51F8" w:rsidRPr="0068632F">
        <w:rPr>
          <w:rFonts w:ascii="Times New Roman" w:hAnsi="Times New Roman" w:cs="Times New Roman"/>
          <w:lang w:val="en-US"/>
        </w:rPr>
        <w:t>:</w:t>
      </w:r>
      <w:r w:rsidR="00407FF5" w:rsidRPr="0068632F">
        <w:rPr>
          <w:rFonts w:ascii="Times New Roman" w:hAnsi="Times New Roman" w:cs="Times New Roman"/>
        </w:rPr>
        <w:t xml:space="preserve"> </w:t>
      </w:r>
      <w:hyperlink r:id="rId138" w:history="1">
        <w:r w:rsidR="00C85AD2" w:rsidRPr="0068632F">
          <w:rPr>
            <w:rStyle w:val="Hyperlink"/>
            <w:rFonts w:ascii="Times New Roman" w:hAnsi="Times New Roman" w:cs="Times New Roman"/>
            <w:lang w:val="bg-BG"/>
          </w:rPr>
          <w:t>The_Wates_Corporate_Governance_Principles_for_Large_Private_Companies.pdf</w:t>
        </w:r>
      </w:hyperlink>
      <w:r w:rsidR="003B51F8" w:rsidRPr="0068632F">
        <w:rPr>
          <w:rFonts w:ascii="Times New Roman" w:hAnsi="Times New Roman" w:cs="Times New Roman"/>
          <w:lang w:val="en-US"/>
        </w:rPr>
        <w:t xml:space="preserve">. </w:t>
      </w:r>
    </w:p>
  </w:footnote>
  <w:footnote w:id="692">
    <w:p w14:paraId="1E61B9DC" w14:textId="58F967A5" w:rsidR="00D111CD" w:rsidRPr="0068632F" w:rsidRDefault="00D111C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6665F" w:rsidRPr="0068632F">
        <w:rPr>
          <w:rFonts w:ascii="Times New Roman" w:hAnsi="Times New Roman" w:cs="Times New Roman"/>
        </w:rPr>
        <w:t>Ова значи дека во Велика Британија работодавачот нема автоматска обврска да воспостави тела за информирање и консултација на вработените, туку таквата обврска настанува само ако самите вработени ја побараат. Од 2020 година, доволно е тоа барање да го поддржат најмалку 2 проценти од вработените, но не помалку од 15 лица, што правно го снижува прагот и го прави полесно формално активирањето на консултативни механизми. Сепак, и покрај ова олеснување, системот останува реактивен и условен од иницијатива оддолу, што во пракса значи дека информирањето и консултацијата се нерамномерно присутни и зависат од степенот на организираност и подготвеност на вработените да ја активираат законската постапка.</w:t>
      </w:r>
    </w:p>
  </w:footnote>
  <w:footnote w:id="693">
    <w:p w14:paraId="0A109573" w14:textId="13E7C825" w:rsidR="002E7CC1" w:rsidRPr="0068632F" w:rsidRDefault="002E7CC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265B6" w:rsidRPr="0068632F">
        <w:rPr>
          <w:rFonts w:ascii="Times New Roman" w:hAnsi="Times New Roman" w:cs="Times New Roman"/>
          <w:lang w:val="mk-MK"/>
        </w:rPr>
        <w:t>Види Mallin, C. A. (2011). Corporate governance developments in the UK. In Handbook on international corporate governance. Edward Elgar Publishing.</w:t>
      </w:r>
    </w:p>
  </w:footnote>
  <w:footnote w:id="694">
    <w:p w14:paraId="3BC4D533" w14:textId="6139DC34" w:rsidR="00EE407B" w:rsidRPr="0068632F" w:rsidRDefault="00EE407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6600D" w:rsidRPr="0068632F">
        <w:rPr>
          <w:rFonts w:ascii="Times New Roman" w:hAnsi="Times New Roman" w:cs="Times New Roman"/>
          <w:lang w:val="mk-MK"/>
        </w:rPr>
        <w:t>Mallin, C. A. (2011).</w:t>
      </w:r>
    </w:p>
  </w:footnote>
  <w:footnote w:id="695">
    <w:p w14:paraId="303DDA72" w14:textId="69FC7515" w:rsidR="00126880" w:rsidRPr="0068632F" w:rsidRDefault="0012688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E0CD0" w:rsidRPr="0068632F">
        <w:rPr>
          <w:rFonts w:ascii="Times New Roman" w:hAnsi="Times New Roman" w:cs="Times New Roman"/>
          <w:lang w:val="mk-MK"/>
        </w:rPr>
        <w:t xml:space="preserve">Наспроти автоматските законски механизми кои </w:t>
      </w:r>
      <w:r w:rsidR="001B4A54" w:rsidRPr="0068632F">
        <w:rPr>
          <w:rFonts w:ascii="Times New Roman" w:hAnsi="Times New Roman" w:cs="Times New Roman"/>
          <w:lang w:val="mk-MK"/>
        </w:rPr>
        <w:t xml:space="preserve">треба да произведат резултати во пракса. </w:t>
      </w:r>
    </w:p>
  </w:footnote>
  <w:footnote w:id="696">
    <w:p w14:paraId="71983F28" w14:textId="40DC97BA" w:rsidR="00725E01" w:rsidRPr="0068632F" w:rsidRDefault="00725E0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A3C14" w:rsidRPr="0068632F">
        <w:rPr>
          <w:rFonts w:ascii="Times New Roman" w:hAnsi="Times New Roman" w:cs="Times New Roman"/>
          <w:lang w:val="mk-MK"/>
        </w:rPr>
        <w:t>Mallin, C. A. (2011).</w:t>
      </w:r>
    </w:p>
  </w:footnote>
  <w:footnote w:id="697">
    <w:p w14:paraId="023C1711" w14:textId="09415F72" w:rsidR="0017442F" w:rsidRPr="0068632F" w:rsidRDefault="0017442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C2D65" w:rsidRPr="0068632F">
        <w:rPr>
          <w:rFonts w:ascii="Times New Roman" w:hAnsi="Times New Roman" w:cs="Times New Roman"/>
          <w:lang w:val="mk-MK"/>
        </w:rPr>
        <w:t>Види Jager, S., Noy, S., &amp; Schoefer, B. (2022). Codetermination and Power in the Workplace. JL &amp; Pol. Econ., 3, 198.</w:t>
      </w:r>
    </w:p>
  </w:footnote>
  <w:footnote w:id="698">
    <w:p w14:paraId="25D954F6" w14:textId="65794A34" w:rsidR="00700614" w:rsidRPr="0068632F" w:rsidRDefault="0070061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76885" w:rsidRPr="0068632F">
        <w:rPr>
          <w:rFonts w:ascii="Times New Roman" w:hAnsi="Times New Roman" w:cs="Times New Roman"/>
        </w:rPr>
        <w:t>B. Sanders &amp; E. Warren, 2023, 2024.</w:t>
      </w:r>
    </w:p>
  </w:footnote>
  <w:footnote w:id="699">
    <w:p w14:paraId="7F31B7DA" w14:textId="576C58E6" w:rsidR="009479EB" w:rsidRPr="0068632F" w:rsidRDefault="009479E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6232B" w:rsidRPr="0068632F">
        <w:rPr>
          <w:rFonts w:ascii="Times New Roman" w:hAnsi="Times New Roman" w:cs="Times New Roman"/>
          <w:lang w:val="mk-MK"/>
        </w:rPr>
        <w:t>И</w:t>
      </w:r>
      <w:r w:rsidR="00122C45" w:rsidRPr="0068632F">
        <w:rPr>
          <w:rFonts w:ascii="Times New Roman" w:hAnsi="Times New Roman" w:cs="Times New Roman"/>
          <w:lang w:val="mk-MK"/>
        </w:rPr>
        <w:t xml:space="preserve"> </w:t>
      </w:r>
      <w:r w:rsidR="00122C45" w:rsidRPr="0068632F">
        <w:rPr>
          <w:rFonts w:ascii="Times New Roman" w:hAnsi="Times New Roman" w:cs="Times New Roman"/>
        </w:rPr>
        <w:t>Blasi, J., Scharf, A., &amp; Kruse, D. (2024). Employee ownership in the US: Some issues on ESO</w:t>
      </w:r>
      <w:r w:rsidR="00E6232B" w:rsidRPr="0068632F">
        <w:rPr>
          <w:rFonts w:ascii="Times New Roman" w:hAnsi="Times New Roman" w:cs="Times New Roman"/>
          <w:lang w:val="en-US"/>
        </w:rPr>
        <w:t>Ps</w:t>
      </w:r>
      <w:r w:rsidR="00122C45" w:rsidRPr="0068632F">
        <w:rPr>
          <w:rFonts w:ascii="Times New Roman" w:hAnsi="Times New Roman" w:cs="Times New Roman"/>
        </w:rPr>
        <w:t>–overcoming the barriers to further development. Journal of Participation and Employee Ownership, 7(1), 26-45.</w:t>
      </w:r>
    </w:p>
  </w:footnote>
  <w:footnote w:id="700">
    <w:p w14:paraId="19FEEA27" w14:textId="658D6ECD" w:rsidR="00A7007E" w:rsidRPr="0068632F" w:rsidRDefault="00A7007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A1E13" w:rsidRPr="0068632F">
        <w:rPr>
          <w:rFonts w:ascii="Times New Roman" w:hAnsi="Times New Roman" w:cs="Times New Roman"/>
        </w:rPr>
        <w:t>Blasi, J., Scharf, A., &amp; Kruse, D. (2024).</w:t>
      </w:r>
    </w:p>
  </w:footnote>
  <w:footnote w:id="701">
    <w:p w14:paraId="79CFBF75" w14:textId="367EF3A8" w:rsidR="007635FA" w:rsidRPr="0068632F" w:rsidRDefault="007635F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144FD" w:rsidRPr="0068632F">
        <w:rPr>
          <w:rFonts w:ascii="Times New Roman" w:hAnsi="Times New Roman" w:cs="Times New Roman"/>
        </w:rPr>
        <w:t>Blasi, J., Scharf, A., &amp; Kruse, D. (2024).</w:t>
      </w:r>
    </w:p>
  </w:footnote>
  <w:footnote w:id="702">
    <w:p w14:paraId="623F58BB" w14:textId="05980C10" w:rsidR="00AA495A" w:rsidRPr="0068632F" w:rsidRDefault="00AA49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36FE2" w:rsidRPr="0068632F">
        <w:rPr>
          <w:rFonts w:ascii="Times New Roman" w:hAnsi="Times New Roman" w:cs="Times New Roman"/>
          <w:lang w:val="mk-MK"/>
        </w:rPr>
        <w:t>Види Brodeur, G. L. (2016). Shareholders as stakeholders: a future paradigm for institutional activism in Japan. Duke J. Comp. &amp; Int'l L., 27, 291.</w:t>
      </w:r>
    </w:p>
  </w:footnote>
  <w:footnote w:id="703">
    <w:p w14:paraId="707D1182" w14:textId="32526140" w:rsidR="003A0D6C" w:rsidRPr="0068632F" w:rsidRDefault="003A0D6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635FA" w:rsidRPr="0068632F">
        <w:rPr>
          <w:rFonts w:ascii="Times New Roman" w:hAnsi="Times New Roman" w:cs="Times New Roman"/>
          <w:lang w:val="mk-MK"/>
        </w:rPr>
        <w:t>Ч</w:t>
      </w:r>
      <w:r w:rsidR="007635FA" w:rsidRPr="0068632F">
        <w:rPr>
          <w:rFonts w:ascii="Times New Roman" w:hAnsi="Times New Roman" w:cs="Times New Roman"/>
        </w:rPr>
        <w:t>ленови 295–327</w:t>
      </w:r>
      <w:r w:rsidR="007635FA" w:rsidRPr="0068632F">
        <w:rPr>
          <w:rFonts w:ascii="Times New Roman" w:hAnsi="Times New Roman" w:cs="Times New Roman"/>
          <w:lang w:val="mk-MK"/>
        </w:rPr>
        <w:t xml:space="preserve"> од јапонскиот</w:t>
      </w:r>
      <w:r w:rsidR="007635FA" w:rsidRPr="0068632F">
        <w:rPr>
          <w:rFonts w:ascii="Times New Roman" w:hAnsi="Times New Roman" w:cs="Times New Roman"/>
        </w:rPr>
        <w:t xml:space="preserve"> Companies Act</w:t>
      </w:r>
      <w:r w:rsidR="007635FA" w:rsidRPr="0068632F">
        <w:rPr>
          <w:rFonts w:ascii="Times New Roman" w:hAnsi="Times New Roman" w:cs="Times New Roman"/>
          <w:lang w:val="mk-MK"/>
        </w:rPr>
        <w:t>.</w:t>
      </w:r>
    </w:p>
  </w:footnote>
  <w:footnote w:id="704">
    <w:p w14:paraId="27093BE9" w14:textId="4D5BF593" w:rsidR="00E60F0B" w:rsidRPr="0068632F" w:rsidRDefault="00E60F0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B456B" w:rsidRPr="0068632F">
        <w:rPr>
          <w:rFonts w:ascii="Times New Roman" w:hAnsi="Times New Roman" w:cs="Times New Roman"/>
        </w:rPr>
        <w:t>Членови 381–389 од јапонскиот Companies Act.</w:t>
      </w:r>
    </w:p>
  </w:footnote>
  <w:footnote w:id="705">
    <w:p w14:paraId="54A4E5C0" w14:textId="56DE6622" w:rsidR="00484FDE" w:rsidRPr="0068632F" w:rsidRDefault="00484FD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B456B" w:rsidRPr="0068632F">
        <w:rPr>
          <w:rFonts w:ascii="Times New Roman" w:hAnsi="Times New Roman" w:cs="Times New Roman"/>
        </w:rPr>
        <w:t>Член</w:t>
      </w:r>
      <w:r w:rsidR="003B456B" w:rsidRPr="0068632F">
        <w:rPr>
          <w:rFonts w:ascii="Times New Roman" w:hAnsi="Times New Roman" w:cs="Times New Roman"/>
          <w:lang w:val="mk-MK"/>
        </w:rPr>
        <w:t xml:space="preserve"> 404-2 </w:t>
      </w:r>
      <w:r w:rsidR="003B456B" w:rsidRPr="0068632F">
        <w:rPr>
          <w:rFonts w:ascii="Times New Roman" w:hAnsi="Times New Roman" w:cs="Times New Roman"/>
        </w:rPr>
        <w:t>од јапонскиот Companies Act.</w:t>
      </w:r>
    </w:p>
  </w:footnote>
  <w:footnote w:id="706">
    <w:p w14:paraId="71D57A40" w14:textId="40AFEE59" w:rsidR="009C55D8" w:rsidRPr="0068632F" w:rsidRDefault="009C55D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Кеиретсу е јапонска деловна мрежа на независни компании</w:t>
      </w:r>
      <w:r w:rsidRPr="0068632F">
        <w:rPr>
          <w:rFonts w:ascii="Times New Roman" w:hAnsi="Times New Roman" w:cs="Times New Roman"/>
          <w:lang w:val="en-US"/>
        </w:rPr>
        <w:t>,</w:t>
      </w:r>
      <w:r w:rsidRPr="0068632F">
        <w:rPr>
          <w:rFonts w:ascii="Times New Roman" w:hAnsi="Times New Roman" w:cs="Times New Roman"/>
        </w:rPr>
        <w:t xml:space="preserve"> честопати вклучувајќи банка, производител и добавувачи</w:t>
      </w:r>
      <w:r w:rsidRPr="0068632F">
        <w:rPr>
          <w:rFonts w:ascii="Times New Roman" w:hAnsi="Times New Roman" w:cs="Times New Roman"/>
          <w:lang w:val="en-US"/>
        </w:rPr>
        <w:t>,</w:t>
      </w:r>
      <w:r w:rsidRPr="0068632F">
        <w:rPr>
          <w:rFonts w:ascii="Times New Roman" w:hAnsi="Times New Roman" w:cs="Times New Roman"/>
        </w:rPr>
        <w:t xml:space="preserve"> поврзани преку долгорочни, блиски партнерства и вкрстени акционерски удели. Оваа структура, која се појави</w:t>
      </w:r>
      <w:r w:rsidR="00AE048A" w:rsidRPr="0068632F">
        <w:rPr>
          <w:rFonts w:ascii="Times New Roman" w:hAnsi="Times New Roman" w:cs="Times New Roman"/>
          <w:lang w:val="mk-MK"/>
        </w:rPr>
        <w:t>ла</w:t>
      </w:r>
      <w:r w:rsidRPr="0068632F">
        <w:rPr>
          <w:rFonts w:ascii="Times New Roman" w:hAnsi="Times New Roman" w:cs="Times New Roman"/>
        </w:rPr>
        <w:t xml:space="preserve"> по Втората светска војна, промовира соработка, стабилно финансирање и ефикасност на синџирот на снабдување, иако може да ја ограничи конкуренцијата.</w:t>
      </w:r>
    </w:p>
  </w:footnote>
  <w:footnote w:id="707">
    <w:p w14:paraId="38D1D253" w14:textId="2589F45B" w:rsidR="00EC7578" w:rsidRPr="0068632F" w:rsidRDefault="00EC757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Brodeur, G. L. (2016).</w:t>
      </w:r>
    </w:p>
  </w:footnote>
  <w:footnote w:id="708">
    <w:p w14:paraId="0A2005EA" w14:textId="28B310F0" w:rsidR="00803B29" w:rsidRPr="0068632F" w:rsidRDefault="00803B2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Види повеќе во Buchanan, J. (2022). Japan’s Corporate Governance Code 2015–2021: Legitimacy and the Transition from Principles to Prescription. Zeitschrift für Japanisches Recht, 27(53), 19-44.</w:t>
      </w:r>
    </w:p>
  </w:footnote>
  <w:footnote w:id="709">
    <w:p w14:paraId="59718708" w14:textId="3F52A76B" w:rsidR="00E73A74" w:rsidRPr="0068632F" w:rsidRDefault="00E73A7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Buchanan, J. (2022).</w:t>
      </w:r>
    </w:p>
  </w:footnote>
  <w:footnote w:id="710">
    <w:p w14:paraId="6F0FF2E9" w14:textId="3E440BF0" w:rsidR="00E12651" w:rsidRPr="0068632F" w:rsidRDefault="00E12651"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F53B0" w:rsidRPr="0068632F">
        <w:rPr>
          <w:rFonts w:ascii="Times New Roman" w:hAnsi="Times New Roman" w:cs="Times New Roman"/>
        </w:rPr>
        <w:t>Jiang, F., &amp; Kim, K. A. (2020). Corporate governance in China: A survey. Review of Finance, 24(4), 733-772.</w:t>
      </w:r>
    </w:p>
  </w:footnote>
  <w:footnote w:id="711">
    <w:p w14:paraId="210B39C5" w14:textId="3D58DA1F" w:rsidR="00BD5EFD" w:rsidRPr="0068632F" w:rsidRDefault="00BD5EF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Jiang, F., &amp; Kim, K. A. (2020).</w:t>
      </w:r>
    </w:p>
  </w:footnote>
  <w:footnote w:id="712">
    <w:p w14:paraId="5E1D58BB" w14:textId="7EAF9451" w:rsidR="00EA54A8" w:rsidRPr="0068632F" w:rsidRDefault="00EA54A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en-US"/>
        </w:rPr>
        <w:t>ACFTU.</w:t>
      </w:r>
    </w:p>
  </w:footnote>
  <w:footnote w:id="713">
    <w:p w14:paraId="63737269" w14:textId="2D57E432" w:rsidR="000B5D20" w:rsidRPr="0068632F" w:rsidRDefault="000B5D2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E67A0" w:rsidRPr="0068632F">
        <w:rPr>
          <w:rFonts w:ascii="Times New Roman" w:hAnsi="Times New Roman" w:cs="Times New Roman"/>
        </w:rPr>
        <w:t>Jiang, F., &amp; Kim, K. A. (2024). Understanding corporate governance in China. The British Accounting Review, 56(5), 101459.</w:t>
      </w:r>
    </w:p>
  </w:footnote>
  <w:footnote w:id="714">
    <w:p w14:paraId="3513FE18" w14:textId="4CF1223D" w:rsidR="00CA01A4" w:rsidRPr="0068632F" w:rsidRDefault="00CA01A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Jiang, F., &amp; Kim, K. A. (2024).</w:t>
      </w:r>
    </w:p>
  </w:footnote>
  <w:footnote w:id="715">
    <w:p w14:paraId="6AD1201F" w14:textId="2378F532" w:rsidR="007D1C61" w:rsidRPr="0068632F" w:rsidRDefault="007D1C6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Сепак, постојат јасни чекори кои Германија ги преземала за да стигне до овој стадиум на развој. </w:t>
      </w:r>
    </w:p>
  </w:footnote>
  <w:footnote w:id="716">
    <w:p w14:paraId="24A7D4BB" w14:textId="070D356F" w:rsidR="008B27E7" w:rsidRPr="0068632F" w:rsidRDefault="008B27E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94360" w:rsidRPr="0068632F">
        <w:rPr>
          <w:rFonts w:ascii="Times New Roman" w:hAnsi="Times New Roman" w:cs="Times New Roman"/>
        </w:rPr>
        <w:t>International Labour Office. (2024). World Social Protection Report 2024–26: Universal social protection for climate action and a just transition. Geneva: ILO.</w:t>
      </w:r>
    </w:p>
  </w:footnote>
  <w:footnote w:id="717">
    <w:p w14:paraId="30DDD038" w14:textId="3B2DC800" w:rsidR="00EA6FAD" w:rsidRPr="0068632F" w:rsidRDefault="00EA6FA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Иако оваа докторска дисертација заради просторни ограничувања, </w:t>
      </w:r>
      <w:r w:rsidR="008E24BD" w:rsidRPr="0068632F">
        <w:rPr>
          <w:rFonts w:ascii="Times New Roman" w:hAnsi="Times New Roman" w:cs="Times New Roman"/>
          <w:lang w:val="mk-MK"/>
        </w:rPr>
        <w:t>се фокусираше само на неколку од државите од регионот.</w:t>
      </w:r>
    </w:p>
  </w:footnote>
  <w:footnote w:id="718">
    <w:p w14:paraId="685ABE14" w14:textId="2D1C2067" w:rsidR="001966B4" w:rsidRPr="0068632F" w:rsidRDefault="001966B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64CB4" w:rsidRPr="0068632F">
        <w:rPr>
          <w:rFonts w:ascii="Times New Roman" w:hAnsi="Times New Roman" w:cs="Times New Roman"/>
        </w:rPr>
        <w:t>Amable, B</w:t>
      </w:r>
      <w:r w:rsidR="00D64CB4" w:rsidRPr="0068632F">
        <w:rPr>
          <w:rFonts w:ascii="Times New Roman" w:hAnsi="Times New Roman" w:cs="Times New Roman"/>
          <w:lang w:val="en-US"/>
        </w:rPr>
        <w:t>. (2003)</w:t>
      </w:r>
      <w:r w:rsidR="00D64CB4" w:rsidRPr="0068632F">
        <w:rPr>
          <w:rFonts w:ascii="Times New Roman" w:hAnsi="Times New Roman" w:cs="Times New Roman"/>
        </w:rPr>
        <w:t>. The Diversity of Modern Capitalism. Oxford: Oxford University Press</w:t>
      </w:r>
      <w:r w:rsidR="00D64CB4" w:rsidRPr="0068632F">
        <w:rPr>
          <w:rFonts w:ascii="Times New Roman" w:hAnsi="Times New Roman" w:cs="Times New Roman"/>
          <w:lang w:val="en-US"/>
        </w:rPr>
        <w:t>.</w:t>
      </w:r>
    </w:p>
  </w:footnote>
  <w:footnote w:id="719">
    <w:p w14:paraId="2197BE48" w14:textId="3AE792FC" w:rsidR="004A5DAC" w:rsidRPr="0068632F" w:rsidRDefault="004A5DA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Amable, B</w:t>
      </w:r>
      <w:r w:rsidRPr="0068632F">
        <w:rPr>
          <w:rFonts w:ascii="Times New Roman" w:hAnsi="Times New Roman" w:cs="Times New Roman"/>
          <w:lang w:val="en-US"/>
        </w:rPr>
        <w:t>. (2003)</w:t>
      </w:r>
      <w:r w:rsidRPr="0068632F">
        <w:rPr>
          <w:rFonts w:ascii="Times New Roman" w:hAnsi="Times New Roman" w:cs="Times New Roman"/>
        </w:rPr>
        <w:t>.</w:t>
      </w:r>
    </w:p>
  </w:footnote>
  <w:footnote w:id="720">
    <w:p w14:paraId="5C9672AE" w14:textId="19EC3A2D" w:rsidR="008517A4" w:rsidRPr="0068632F" w:rsidRDefault="008517A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C7C18" w:rsidRPr="0068632F">
        <w:rPr>
          <w:rFonts w:ascii="Times New Roman" w:hAnsi="Times New Roman" w:cs="Times New Roman"/>
        </w:rPr>
        <w:t>Hall, P. A., &amp; Soskice D., eds. (2001). Varieties of Capitalism: The Institutional Foundations of Comparative Advantage. Oxford: Oxford University Press.</w:t>
      </w:r>
    </w:p>
  </w:footnote>
  <w:footnote w:id="721">
    <w:p w14:paraId="4B71995C" w14:textId="34D3CC63" w:rsidR="00ED230C" w:rsidRPr="0068632F" w:rsidRDefault="00ED230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OECD, 2015/2023</w:t>
      </w:r>
      <w:r w:rsidRPr="0068632F">
        <w:rPr>
          <w:rFonts w:ascii="Times New Roman" w:hAnsi="Times New Roman" w:cs="Times New Roman"/>
          <w:lang w:val="mk-MK"/>
        </w:rPr>
        <w:t>.</w:t>
      </w:r>
    </w:p>
  </w:footnote>
  <w:footnote w:id="722">
    <w:p w14:paraId="71E172F3" w14:textId="7008F774" w:rsidR="00ED230C" w:rsidRPr="0068632F" w:rsidRDefault="00ED230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C190B" w:rsidRPr="0068632F">
        <w:rPr>
          <w:rFonts w:ascii="Times New Roman" w:hAnsi="Times New Roman" w:cs="Times New Roman"/>
        </w:rPr>
        <w:t>World Bank, 2014</w:t>
      </w:r>
      <w:r w:rsidR="007C190B" w:rsidRPr="0068632F">
        <w:rPr>
          <w:rFonts w:ascii="Times New Roman" w:hAnsi="Times New Roman" w:cs="Times New Roman"/>
          <w:lang w:val="mk-MK"/>
        </w:rPr>
        <w:t>.</w:t>
      </w:r>
    </w:p>
  </w:footnote>
  <w:footnote w:id="723">
    <w:p w14:paraId="5C833AA6" w14:textId="0DD6971B" w:rsidR="00652F06" w:rsidRPr="0068632F" w:rsidRDefault="00652F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Hall, P. A., &amp; Soskice D., eds. (2001).</w:t>
      </w:r>
    </w:p>
  </w:footnote>
  <w:footnote w:id="724">
    <w:p w14:paraId="017A52F6" w14:textId="32BD38FA" w:rsidR="00683768" w:rsidRPr="0068632F" w:rsidRDefault="0068376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D5346" w:rsidRPr="0068632F">
        <w:rPr>
          <w:rFonts w:ascii="Times New Roman" w:hAnsi="Times New Roman" w:cs="Times New Roman"/>
        </w:rPr>
        <w:t>Amable, B</w:t>
      </w:r>
      <w:r w:rsidR="009D5346" w:rsidRPr="0068632F">
        <w:rPr>
          <w:rFonts w:ascii="Times New Roman" w:hAnsi="Times New Roman" w:cs="Times New Roman"/>
          <w:lang w:val="en-US"/>
        </w:rPr>
        <w:t>. (2003)</w:t>
      </w:r>
      <w:r w:rsidR="009D5346" w:rsidRPr="0068632F">
        <w:rPr>
          <w:rFonts w:ascii="Times New Roman" w:hAnsi="Times New Roman" w:cs="Times New Roman"/>
        </w:rPr>
        <w:t>.</w:t>
      </w:r>
    </w:p>
  </w:footnote>
  <w:footnote w:id="725">
    <w:p w14:paraId="48AA97AD" w14:textId="41003D90" w:rsidR="009D5346" w:rsidRPr="0068632F" w:rsidRDefault="009D534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Hall, P. A., &amp; Soskice D., eds. (2001).</w:t>
      </w:r>
    </w:p>
  </w:footnote>
  <w:footnote w:id="726">
    <w:p w14:paraId="50653D02" w14:textId="4FE1D9EB" w:rsidR="00CF358B" w:rsidRPr="0068632F" w:rsidRDefault="00CF358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A11A8" w:rsidRPr="0068632F">
        <w:rPr>
          <w:rFonts w:ascii="Times New Roman" w:hAnsi="Times New Roman" w:cs="Times New Roman"/>
          <w:lang w:val="mk-MK"/>
        </w:rPr>
        <w:t>На пример, в</w:t>
      </w:r>
      <w:r w:rsidR="00047AA0" w:rsidRPr="0068632F">
        <w:rPr>
          <w:rFonts w:ascii="Times New Roman" w:hAnsi="Times New Roman" w:cs="Times New Roman"/>
        </w:rPr>
        <w:t>о стартап екосистемите, особено во САД и Западна Европа, е многу честа појавата клучни вработени да добијат мал процент од сопственоста.</w:t>
      </w:r>
    </w:p>
  </w:footnote>
  <w:footnote w:id="727">
    <w:p w14:paraId="419F974C" w14:textId="150916C8" w:rsidR="00035B0A" w:rsidRPr="0068632F" w:rsidRDefault="00035B0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40868" w:rsidRPr="0068632F">
        <w:rPr>
          <w:rFonts w:ascii="Times New Roman" w:hAnsi="Times New Roman" w:cs="Times New Roman"/>
          <w:lang w:val="mk-MK"/>
        </w:rPr>
        <w:t>Lindblom, C. E. (1959). “The Science of Muddling Through.” Public Administration Review, 19(2), 79–88.</w:t>
      </w:r>
    </w:p>
  </w:footnote>
  <w:footnote w:id="728">
    <w:p w14:paraId="58201474" w14:textId="70CE9A80" w:rsidR="00CA32C5" w:rsidRPr="0068632F" w:rsidRDefault="00CA32C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Lindblom, C. E. (1959).</w:t>
      </w:r>
    </w:p>
  </w:footnote>
  <w:footnote w:id="729">
    <w:p w14:paraId="07879437" w14:textId="18A6050D" w:rsidR="000F2639" w:rsidRPr="0068632F" w:rsidRDefault="000F263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147BF" w:rsidRPr="0068632F">
        <w:rPr>
          <w:rFonts w:ascii="Times New Roman" w:hAnsi="Times New Roman" w:cs="Times New Roman"/>
        </w:rPr>
        <w:t>Hacker, J. S., &amp; Pierson, P. (2014). “After the ‘Master Theory’: Policy Feedback and the Rebirth of Policy-Focused Analysis.” Perspectives on Politics, 12(3), 643–660.</w:t>
      </w:r>
    </w:p>
  </w:footnote>
  <w:footnote w:id="730">
    <w:p w14:paraId="25BE33BA" w14:textId="78A5AEEC" w:rsidR="000F2639" w:rsidRPr="0068632F" w:rsidRDefault="000F263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147BF" w:rsidRPr="0068632F">
        <w:rPr>
          <w:rFonts w:ascii="Times New Roman" w:hAnsi="Times New Roman" w:cs="Times New Roman"/>
        </w:rPr>
        <w:t>Hacker, J. S., &amp; Pierson, P. (2014).</w:t>
      </w:r>
    </w:p>
  </w:footnote>
  <w:footnote w:id="731">
    <w:p w14:paraId="0B77ACC9" w14:textId="4C3FCE4A" w:rsidR="003341E7" w:rsidRPr="0068632F" w:rsidRDefault="003341E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Petreski, M., &amp; Petreski, B. (2024). Enhancing business productivity: A comprehensive analysis of productivity and its drivers in firms in North Macedonia. Finance Think – Economic Research and Policy Institute; Organization of Employers of Macedonia.</w:t>
      </w:r>
    </w:p>
  </w:footnote>
  <w:footnote w:id="732">
    <w:p w14:paraId="3C9F0110" w14:textId="7B67DE62" w:rsidR="00380CD7" w:rsidRPr="0068632F" w:rsidRDefault="00380C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4118C" w:rsidRPr="0068632F">
        <w:rPr>
          <w:rFonts w:ascii="Times New Roman" w:hAnsi="Times New Roman" w:cs="Times New Roman"/>
        </w:rPr>
        <w:t>Petreski, M., &amp; Petreski, B. (2024).</w:t>
      </w:r>
    </w:p>
  </w:footnote>
  <w:footnote w:id="733">
    <w:p w14:paraId="3CA24F05" w14:textId="05390243" w:rsidR="00905B57" w:rsidRPr="0068632F" w:rsidRDefault="00905B5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Hooghe, L., &amp; Marks, G. (1999). “The Making of a Polity: The Struggle over European Integration.” In H. Kitschelt et al. (Eds.), Continuity and Change in Contemporary Capitalism. Cambridge: Cambridge University Press.</w:t>
      </w:r>
    </w:p>
  </w:footnote>
  <w:footnote w:id="734">
    <w:p w14:paraId="547235F5" w14:textId="79CD6F47" w:rsidR="00905B57" w:rsidRPr="0068632F" w:rsidRDefault="00905B5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Дел од нив елаборирани во </w:t>
      </w:r>
      <w:r w:rsidRPr="0068632F">
        <w:rPr>
          <w:rFonts w:ascii="Times New Roman" w:hAnsi="Times New Roman" w:cs="Times New Roman"/>
        </w:rPr>
        <w:t>Hooghe, L., &amp; Marks, G. (1999).</w:t>
      </w:r>
    </w:p>
  </w:footnote>
  <w:footnote w:id="735">
    <w:p w14:paraId="76AC0BC0" w14:textId="549ADCDA" w:rsidR="008F7B80" w:rsidRPr="0068632F" w:rsidRDefault="008F7B8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65088" w:rsidRPr="0068632F">
        <w:rPr>
          <w:rFonts w:ascii="Times New Roman" w:hAnsi="Times New Roman" w:cs="Times New Roman"/>
          <w:lang w:val="mk-MK"/>
        </w:rPr>
        <w:t>Lindblom, C. E. (1959).</w:t>
      </w:r>
    </w:p>
  </w:footnote>
  <w:footnote w:id="736">
    <w:p w14:paraId="143FB84D" w14:textId="70F84022" w:rsidR="00A30EB0" w:rsidRPr="0068632F" w:rsidRDefault="00A30EB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Предлогот е во согласност со програмата </w:t>
      </w:r>
      <w:r w:rsidR="008A6146" w:rsidRPr="0068632F">
        <w:rPr>
          <w:rFonts w:ascii="Times New Roman" w:hAnsi="Times New Roman" w:cs="Times New Roman"/>
          <w:lang w:val="mk-MK"/>
        </w:rPr>
        <w:t>на ИПА фондовите за Македонија за 2026 и 2027 година.</w:t>
      </w:r>
    </w:p>
  </w:footnote>
  <w:footnote w:id="737">
    <w:p w14:paraId="1B3073F2" w14:textId="72794AEB" w:rsidR="00BF1BE1" w:rsidRPr="0068632F" w:rsidRDefault="00BF1BE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464A0" w:rsidRPr="0068632F">
        <w:rPr>
          <w:rFonts w:ascii="Times New Roman" w:hAnsi="Times New Roman" w:cs="Times New Roman"/>
        </w:rPr>
        <w:t>Palmer, E. (2002). Swedish pension reform: How did it evolve, and what does it mean for the future?. In Social security pension reform in Europe (pp. 171-210). University of Chicago Press.</w:t>
      </w:r>
    </w:p>
  </w:footnote>
  <w:footnote w:id="738">
    <w:p w14:paraId="45ECD244" w14:textId="6E725182" w:rsidR="009B5A18" w:rsidRPr="0068632F" w:rsidRDefault="009B5A1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41B5C" w:rsidRPr="0068632F">
        <w:rPr>
          <w:rFonts w:ascii="Times New Roman" w:hAnsi="Times New Roman" w:cs="Times New Roman"/>
        </w:rPr>
        <w:t>Russo, L., Sandri, G., &amp; Seddone, A. (2023). Italy: political developments and data in 2022: from Draghi to Meloni. Political Data Yearbook, 62(1), 264-287.</w:t>
      </w:r>
    </w:p>
  </w:footnote>
  <w:footnote w:id="739">
    <w:p w14:paraId="1BC51F68" w14:textId="6604D4AD" w:rsidR="00161DA4" w:rsidRPr="0068632F" w:rsidRDefault="00161DA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23EB1" w:rsidRPr="0068632F">
        <w:rPr>
          <w:rFonts w:ascii="Times New Roman" w:hAnsi="Times New Roman" w:cs="Times New Roman"/>
        </w:rPr>
        <w:t>Kochanowicz, J., Kozarzewski, P., &amp; Woodward, R. (2005). Understanding reform: the case of Poland.</w:t>
      </w:r>
    </w:p>
  </w:footnote>
  <w:footnote w:id="740">
    <w:p w14:paraId="74B83F53" w14:textId="5309BE2F" w:rsidR="00D17E05" w:rsidRPr="0068632F" w:rsidRDefault="00D17E0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International Labour Organization, United Nations Economic Commission for Europe, &amp; United Nations Population Fund. (2025). Demographic change in Europe and Central Asia: A call for labour force inclusion. Geneva: ILO.</w:t>
      </w:r>
    </w:p>
  </w:footnote>
  <w:footnote w:id="741">
    <w:p w14:paraId="19B60AB3" w14:textId="01784E9E" w:rsidR="00F96E64" w:rsidRPr="0068632F" w:rsidRDefault="00F96E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64A3F" w:rsidRPr="0068632F">
        <w:rPr>
          <w:rFonts w:ascii="Times New Roman" w:hAnsi="Times New Roman" w:cs="Times New Roman"/>
        </w:rPr>
        <w:t xml:space="preserve">International Labour Organization, United Nations Economic Commission for Europe, &amp; </w:t>
      </w:r>
      <w:r w:rsidR="00064A3F" w:rsidRPr="0068632F">
        <w:rPr>
          <w:rFonts w:ascii="Times New Roman" w:hAnsi="Times New Roman" w:cs="Times New Roman"/>
          <w:lang w:val="en-US"/>
        </w:rPr>
        <w:t>UNPF</w:t>
      </w:r>
      <w:r w:rsidR="00064A3F" w:rsidRPr="0068632F">
        <w:rPr>
          <w:rFonts w:ascii="Times New Roman" w:hAnsi="Times New Roman" w:cs="Times New Roman"/>
        </w:rPr>
        <w:t xml:space="preserve"> (2025).</w:t>
      </w:r>
    </w:p>
  </w:footnote>
  <w:footnote w:id="742">
    <w:p w14:paraId="4CD9115B" w14:textId="37969B13" w:rsidR="007C2E5D" w:rsidRPr="0068632F" w:rsidRDefault="007C2E5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82A55" w:rsidRPr="0068632F">
        <w:rPr>
          <w:rFonts w:ascii="Times New Roman" w:hAnsi="Times New Roman" w:cs="Times New Roman"/>
        </w:rPr>
        <w:t>Tsebelis, G. (2002). Veto Players: How Political Institutions Work. New York: Russell Sage Foundation.</w:t>
      </w:r>
    </w:p>
  </w:footnote>
  <w:footnote w:id="743">
    <w:p w14:paraId="63D00945" w14:textId="577CD7B7" w:rsidR="008C73CA" w:rsidRPr="0068632F" w:rsidRDefault="008C73C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A526D" w:rsidRPr="0068632F">
        <w:rPr>
          <w:rFonts w:ascii="Times New Roman" w:hAnsi="Times New Roman" w:cs="Times New Roman"/>
        </w:rPr>
        <w:t>Scharpf, F. W. (2006). “The Joint-Decision Trap Revisited.” Journal of Common Market Studies, 44(4), 845–864.</w:t>
      </w:r>
    </w:p>
  </w:footnote>
  <w:footnote w:id="744">
    <w:p w14:paraId="6DC993F0" w14:textId="3BBE6EE0" w:rsidR="008C23B8" w:rsidRPr="0068632F" w:rsidRDefault="008C23B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374C8" w:rsidRPr="0068632F">
        <w:rPr>
          <w:rFonts w:ascii="Times New Roman" w:hAnsi="Times New Roman" w:cs="Times New Roman"/>
        </w:rPr>
        <w:t>Scharpf, F. W. (2006).</w:t>
      </w:r>
    </w:p>
  </w:footnote>
  <w:footnote w:id="745">
    <w:p w14:paraId="68F1E494" w14:textId="0CF1D5D1" w:rsidR="003E2D9E" w:rsidRPr="0068632F" w:rsidRDefault="003E2D9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D28C5" w:rsidRPr="0068632F">
        <w:rPr>
          <w:rFonts w:ascii="Times New Roman" w:hAnsi="Times New Roman" w:cs="Times New Roman"/>
        </w:rPr>
        <w:t>Fischer, F. (1995). Evaluating public policy. Nelson-Hall Publishers.</w:t>
      </w:r>
    </w:p>
  </w:footnote>
  <w:footnote w:id="746">
    <w:p w14:paraId="38B2DDBA" w14:textId="16986437" w:rsidR="00C049F0" w:rsidRPr="0068632F" w:rsidRDefault="00C049F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34FEB" w:rsidRPr="0068632F">
        <w:rPr>
          <w:rFonts w:ascii="Times New Roman" w:hAnsi="Times New Roman" w:cs="Times New Roman"/>
        </w:rPr>
        <w:t>Fischer, F. (1995).</w:t>
      </w:r>
    </w:p>
  </w:footnote>
  <w:footnote w:id="747">
    <w:p w14:paraId="6468E8AE" w14:textId="29A7F469" w:rsidR="004F5DE4" w:rsidRPr="0068632F" w:rsidRDefault="004F5DE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30853" w:rsidRPr="0068632F">
        <w:rPr>
          <w:rFonts w:ascii="Times New Roman" w:hAnsi="Times New Roman" w:cs="Times New Roman"/>
          <w:lang w:val="mk-MK"/>
        </w:rPr>
        <w:t xml:space="preserve">Види </w:t>
      </w:r>
      <w:hyperlink r:id="rId139" w:history="1">
        <w:r w:rsidR="00730853" w:rsidRPr="0068632F">
          <w:rPr>
            <w:rStyle w:val="Hyperlink"/>
            <w:rFonts w:ascii="Times New Roman" w:hAnsi="Times New Roman" w:cs="Times New Roman"/>
            <w:lang w:val="bg-BG"/>
          </w:rPr>
          <w:t>10_hemerijck.pdf</w:t>
        </w:r>
      </w:hyperlink>
      <w:r w:rsidR="001D467B" w:rsidRPr="0068632F">
        <w:rPr>
          <w:rFonts w:ascii="Times New Roman" w:hAnsi="Times New Roman" w:cs="Times New Roman"/>
          <w:lang w:val="mk-MK"/>
        </w:rPr>
        <w:t>.</w:t>
      </w:r>
    </w:p>
  </w:footnote>
  <w:footnote w:id="748">
    <w:p w14:paraId="382B7A7F" w14:textId="578552EB" w:rsidR="009F7259" w:rsidRPr="0068632F" w:rsidRDefault="009F725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026CB" w:rsidRPr="0068632F">
        <w:rPr>
          <w:rFonts w:ascii="Times New Roman" w:hAnsi="Times New Roman" w:cs="Times New Roman"/>
          <w:lang w:val="mk-MK"/>
        </w:rPr>
        <w:t>Види Brodeur, G. L. (2016).</w:t>
      </w:r>
    </w:p>
  </w:footnote>
  <w:footnote w:id="749">
    <w:p w14:paraId="55CED911" w14:textId="463B8604" w:rsidR="004F3120" w:rsidRPr="0068632F" w:rsidRDefault="004F312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F3691" w:rsidRPr="0068632F">
        <w:rPr>
          <w:rFonts w:ascii="Times New Roman" w:hAnsi="Times New Roman" w:cs="Times New Roman"/>
        </w:rPr>
        <w:t>Bartosch, J., Nicklich, M., &amp; Jackson, G. (2025).</w:t>
      </w:r>
    </w:p>
  </w:footnote>
  <w:footnote w:id="750">
    <w:p w14:paraId="29387316" w14:textId="5C6B766F" w:rsidR="004F3120" w:rsidRPr="0068632F" w:rsidRDefault="004F312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F3691" w:rsidRPr="0068632F">
        <w:rPr>
          <w:rFonts w:ascii="Times New Roman" w:hAnsi="Times New Roman" w:cs="Times New Roman"/>
        </w:rPr>
        <w:t>Fahy, J., Hooley, G., Cox, T., Beracs, J., Fonfara, K., &amp; Snoj, B. (2000).</w:t>
      </w:r>
    </w:p>
  </w:footnote>
  <w:footnote w:id="751">
    <w:p w14:paraId="6E46947A" w14:textId="6F3F229B" w:rsidR="0045185F" w:rsidRPr="0068632F" w:rsidRDefault="0045185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E5117" w:rsidRPr="0068632F">
        <w:rPr>
          <w:rFonts w:ascii="Times New Roman" w:hAnsi="Times New Roman" w:cs="Times New Roman"/>
        </w:rPr>
        <w:t xml:space="preserve">Parsons, C., Garcé, A., &amp; Béland, D. (2023). Taking Ideas Seriously in Political Science: The Diffusion of Presidentialism in Latin America after Independence. Political Science Quarterly, 138(2), 217–238. </w:t>
      </w:r>
      <w:hyperlink r:id="rId140" w:history="1">
        <w:r w:rsidR="005E5117" w:rsidRPr="0068632F">
          <w:rPr>
            <w:rStyle w:val="Hyperlink"/>
            <w:rFonts w:ascii="Times New Roman" w:hAnsi="Times New Roman" w:cs="Times New Roman"/>
          </w:rPr>
          <w:t>https://doi.org/10.1093/psquar/qqad008</w:t>
        </w:r>
      </w:hyperlink>
      <w:r w:rsidR="005E5117" w:rsidRPr="0068632F">
        <w:rPr>
          <w:rFonts w:ascii="Times New Roman" w:hAnsi="Times New Roman" w:cs="Times New Roman"/>
          <w:lang w:val="en-US"/>
        </w:rPr>
        <w:t xml:space="preserve">. </w:t>
      </w:r>
    </w:p>
  </w:footnote>
  <w:footnote w:id="752">
    <w:p w14:paraId="4DD02F2A" w14:textId="0D07563D" w:rsidR="00980C8F" w:rsidRPr="0068632F" w:rsidRDefault="00980C8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Parsons, C., Garcé, A., &amp; Béland, D. (2023).</w:t>
      </w:r>
    </w:p>
  </w:footnote>
  <w:footnote w:id="753">
    <w:p w14:paraId="3AA5E6AA" w14:textId="325BBE83" w:rsidR="001154FA" w:rsidRPr="0068632F" w:rsidRDefault="001154F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F6E4C" w:rsidRPr="0068632F">
        <w:rPr>
          <w:rFonts w:ascii="Times New Roman" w:hAnsi="Times New Roman" w:cs="Times New Roman"/>
        </w:rPr>
        <w:t>Parsons, C., Garcé, A., &amp; Béland, D. (2023).</w:t>
      </w:r>
    </w:p>
  </w:footnote>
  <w:footnote w:id="754">
    <w:p w14:paraId="6BE12FD6" w14:textId="2D033136" w:rsidR="001F6E4C" w:rsidRPr="0068632F" w:rsidRDefault="001F6E4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C6232" w:rsidRPr="0068632F">
        <w:rPr>
          <w:rFonts w:ascii="Times New Roman" w:hAnsi="Times New Roman" w:cs="Times New Roman"/>
        </w:rPr>
        <w:t>Palmer, M., &amp; Lambert, J. (2025</w:t>
      </w:r>
      <w:r w:rsidR="004D46A9" w:rsidRPr="0068632F">
        <w:rPr>
          <w:rFonts w:ascii="Times New Roman" w:hAnsi="Times New Roman" w:cs="Times New Roman"/>
          <w:lang w:val="en-US"/>
        </w:rPr>
        <w:t>).</w:t>
      </w:r>
    </w:p>
  </w:footnote>
  <w:footnote w:id="755">
    <w:p w14:paraId="4F6CDEED" w14:textId="557FC180" w:rsidR="000D34F8" w:rsidRPr="0068632F" w:rsidRDefault="000D34F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3249C" w:rsidRPr="0068632F">
        <w:rPr>
          <w:rFonts w:ascii="Times New Roman" w:hAnsi="Times New Roman" w:cs="Times New Roman"/>
          <w:lang w:val="mk-MK"/>
        </w:rPr>
        <w:t xml:space="preserve">Формата на прашалниците е прикачена како анекс кон </w:t>
      </w:r>
      <w:r w:rsidR="00354A44" w:rsidRPr="0068632F">
        <w:rPr>
          <w:rFonts w:ascii="Times New Roman" w:hAnsi="Times New Roman" w:cs="Times New Roman"/>
          <w:lang w:val="mk-MK"/>
        </w:rPr>
        <w:t xml:space="preserve">дисертацијата. </w:t>
      </w:r>
    </w:p>
  </w:footnote>
  <w:footnote w:id="756">
    <w:p w14:paraId="6D9C4AA9" w14:textId="50DEF2F8" w:rsidR="004B02F2" w:rsidRPr="0068632F" w:rsidRDefault="004B02F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E7C3E" w:rsidRPr="0068632F">
        <w:rPr>
          <w:rFonts w:ascii="Times New Roman" w:hAnsi="Times New Roman" w:cs="Times New Roman"/>
          <w:lang w:val="mk-MK"/>
        </w:rPr>
        <w:t>Brodeur, G. L. (2016).</w:t>
      </w:r>
    </w:p>
  </w:footnote>
  <w:footnote w:id="757">
    <w:p w14:paraId="4843BAFE" w14:textId="67B303E1" w:rsidR="0062554C" w:rsidRPr="0068632F" w:rsidRDefault="0062554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80AAF" w:rsidRPr="0068632F">
        <w:rPr>
          <w:rFonts w:ascii="Times New Roman" w:hAnsi="Times New Roman" w:cs="Times New Roman"/>
        </w:rPr>
        <w:t>Pierson, P. (1994). Dismantling the Welfare State? Cambridge University Press.</w:t>
      </w:r>
    </w:p>
  </w:footnote>
  <w:footnote w:id="758">
    <w:p w14:paraId="3803625A" w14:textId="3E77DF12" w:rsidR="00480AAF" w:rsidRPr="0068632F" w:rsidRDefault="00480AA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Pierson, P. (1994).</w:t>
      </w:r>
    </w:p>
  </w:footnote>
  <w:footnote w:id="759">
    <w:p w14:paraId="3470673C" w14:textId="06E22F1E" w:rsidR="004879A2" w:rsidRPr="0068632F" w:rsidRDefault="004879A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876BA" w:rsidRPr="0068632F">
        <w:rPr>
          <w:rFonts w:ascii="Times New Roman" w:hAnsi="Times New Roman" w:cs="Times New Roman"/>
        </w:rPr>
        <w:t>Hacker, J. S., &amp; Pierson, P. (2014).</w:t>
      </w:r>
    </w:p>
  </w:footnote>
  <w:footnote w:id="760">
    <w:p w14:paraId="54FBD795" w14:textId="2B83F06B" w:rsidR="00F8563C" w:rsidRPr="0068632F" w:rsidRDefault="00F8563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9543C" w:rsidRPr="0068632F">
        <w:rPr>
          <w:rFonts w:ascii="Times New Roman" w:hAnsi="Times New Roman" w:cs="Times New Roman"/>
        </w:rPr>
        <w:t>Hooghe, L., &amp; Marks, G. (1999).</w:t>
      </w:r>
    </w:p>
  </w:footnote>
  <w:footnote w:id="761">
    <w:p w14:paraId="22B371B1" w14:textId="4E4254D6" w:rsidR="0029543C" w:rsidRPr="0068632F" w:rsidRDefault="0029543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Hooghe, L., &amp; Marks, G. (1999)</w:t>
      </w:r>
      <w:r w:rsidRPr="0068632F">
        <w:rPr>
          <w:rFonts w:ascii="Times New Roman" w:hAnsi="Times New Roman" w:cs="Times New Roman"/>
          <w:lang w:val="en-US"/>
        </w:rPr>
        <w:t>, pp. 11-31.</w:t>
      </w:r>
    </w:p>
  </w:footnote>
  <w:footnote w:id="762">
    <w:p w14:paraId="3FB2A0D0" w14:textId="21F4E644" w:rsidR="000D2669" w:rsidRPr="0068632F" w:rsidRDefault="000D266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B50A9" w:rsidRPr="0068632F">
        <w:rPr>
          <w:rFonts w:ascii="Times New Roman" w:hAnsi="Times New Roman" w:cs="Times New Roman"/>
        </w:rPr>
        <w:t>Hacker, J. S., &amp; Pierson, P. (2014).</w:t>
      </w:r>
    </w:p>
  </w:footnote>
  <w:footnote w:id="763">
    <w:p w14:paraId="4C138711" w14:textId="3A871CCE" w:rsidR="00502550" w:rsidRPr="0068632F" w:rsidRDefault="0050255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536B8" w:rsidRPr="0068632F">
        <w:rPr>
          <w:rFonts w:ascii="Times New Roman" w:hAnsi="Times New Roman" w:cs="Times New Roman"/>
        </w:rPr>
        <w:t>Tsebelis, G. (2002)</w:t>
      </w:r>
      <w:r w:rsidR="00F536B8" w:rsidRPr="0068632F">
        <w:rPr>
          <w:rFonts w:ascii="Times New Roman" w:hAnsi="Times New Roman" w:cs="Times New Roman"/>
          <w:lang w:val="mk-MK"/>
        </w:rPr>
        <w:t xml:space="preserve">. </w:t>
      </w:r>
    </w:p>
  </w:footnote>
  <w:footnote w:id="764">
    <w:p w14:paraId="49ED2BAA" w14:textId="4BD06B06" w:rsidR="00055659" w:rsidRPr="0068632F" w:rsidRDefault="0005565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Scharpf,</w:t>
      </w:r>
      <w:r w:rsidRPr="0068632F">
        <w:rPr>
          <w:rFonts w:ascii="Times New Roman" w:hAnsi="Times New Roman" w:cs="Times New Roman"/>
          <w:lang w:val="mk-MK"/>
        </w:rPr>
        <w:t xml:space="preserve"> </w:t>
      </w:r>
      <w:r w:rsidRPr="0068632F">
        <w:rPr>
          <w:rFonts w:ascii="Times New Roman" w:hAnsi="Times New Roman" w:cs="Times New Roman"/>
          <w:lang w:val="en-US"/>
        </w:rPr>
        <w:t>F.</w:t>
      </w:r>
      <w:r w:rsidRPr="0068632F">
        <w:rPr>
          <w:rFonts w:ascii="Times New Roman" w:hAnsi="Times New Roman" w:cs="Times New Roman"/>
        </w:rPr>
        <w:t xml:space="preserve"> </w:t>
      </w:r>
      <w:r w:rsidRPr="0068632F">
        <w:rPr>
          <w:rFonts w:ascii="Times New Roman" w:hAnsi="Times New Roman" w:cs="Times New Roman"/>
          <w:lang w:val="en-US"/>
        </w:rPr>
        <w:t>(</w:t>
      </w:r>
      <w:r w:rsidRPr="0068632F">
        <w:rPr>
          <w:rFonts w:ascii="Times New Roman" w:hAnsi="Times New Roman" w:cs="Times New Roman"/>
        </w:rPr>
        <w:t>2006</w:t>
      </w:r>
      <w:r w:rsidRPr="0068632F">
        <w:rPr>
          <w:rFonts w:ascii="Times New Roman" w:hAnsi="Times New Roman" w:cs="Times New Roman"/>
          <w:lang w:val="en-US"/>
        </w:rPr>
        <w:t>).</w:t>
      </w:r>
    </w:p>
  </w:footnote>
  <w:footnote w:id="765">
    <w:p w14:paraId="6BF17D9D" w14:textId="757AAD0D" w:rsidR="00F562DF" w:rsidRPr="0068632F" w:rsidRDefault="00F562D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A01AA" w:rsidRPr="0068632F">
        <w:rPr>
          <w:rFonts w:ascii="Times New Roman" w:hAnsi="Times New Roman" w:cs="Times New Roman"/>
        </w:rPr>
        <w:t>Scharpf,</w:t>
      </w:r>
      <w:r w:rsidR="008A01AA" w:rsidRPr="0068632F">
        <w:rPr>
          <w:rFonts w:ascii="Times New Roman" w:hAnsi="Times New Roman" w:cs="Times New Roman"/>
          <w:lang w:val="mk-MK"/>
        </w:rPr>
        <w:t xml:space="preserve"> </w:t>
      </w:r>
      <w:r w:rsidR="008A01AA" w:rsidRPr="0068632F">
        <w:rPr>
          <w:rFonts w:ascii="Times New Roman" w:hAnsi="Times New Roman" w:cs="Times New Roman"/>
          <w:lang w:val="en-US"/>
        </w:rPr>
        <w:t>F.</w:t>
      </w:r>
      <w:r w:rsidR="008A01AA" w:rsidRPr="0068632F">
        <w:rPr>
          <w:rFonts w:ascii="Times New Roman" w:hAnsi="Times New Roman" w:cs="Times New Roman"/>
        </w:rPr>
        <w:t xml:space="preserve"> </w:t>
      </w:r>
      <w:r w:rsidR="008A01AA" w:rsidRPr="0068632F">
        <w:rPr>
          <w:rFonts w:ascii="Times New Roman" w:hAnsi="Times New Roman" w:cs="Times New Roman"/>
          <w:lang w:val="en-US"/>
        </w:rPr>
        <w:t>(</w:t>
      </w:r>
      <w:r w:rsidR="008A01AA" w:rsidRPr="0068632F">
        <w:rPr>
          <w:rFonts w:ascii="Times New Roman" w:hAnsi="Times New Roman" w:cs="Times New Roman"/>
        </w:rPr>
        <w:t>2006</w:t>
      </w:r>
      <w:r w:rsidR="008A01AA" w:rsidRPr="0068632F">
        <w:rPr>
          <w:rFonts w:ascii="Times New Roman" w:hAnsi="Times New Roman" w:cs="Times New Roman"/>
          <w:lang w:val="en-US"/>
        </w:rPr>
        <w:t>).</w:t>
      </w:r>
    </w:p>
  </w:footnote>
  <w:footnote w:id="766">
    <w:p w14:paraId="2EB5E428" w14:textId="1C3314D0" w:rsidR="00767B42" w:rsidRPr="0068632F" w:rsidRDefault="00767B4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Kingdon, J. W. (1984). Agendas, Alternatives, and Public Policies. Boston: Little, Brown.</w:t>
      </w:r>
    </w:p>
  </w:footnote>
  <w:footnote w:id="767">
    <w:p w14:paraId="4250CBA2" w14:textId="25A2A394" w:rsidR="00652B00" w:rsidRPr="0068632F" w:rsidRDefault="00652B0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Kingdon, J. W. (1984).</w:t>
      </w:r>
    </w:p>
  </w:footnote>
  <w:footnote w:id="768">
    <w:p w14:paraId="6A96275D" w14:textId="77A4268E" w:rsidR="00690D67" w:rsidRPr="0068632F" w:rsidRDefault="00690D6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761CB" w:rsidRPr="0068632F">
        <w:rPr>
          <w:rFonts w:ascii="Times New Roman" w:hAnsi="Times New Roman" w:cs="Times New Roman"/>
        </w:rPr>
        <w:t>Hall, P. A., &amp; Soskice D., eds. (2001).</w:t>
      </w:r>
    </w:p>
  </w:footnote>
  <w:footnote w:id="769">
    <w:p w14:paraId="4CE05722" w14:textId="395768BF" w:rsidR="009F3B9E" w:rsidRPr="0068632F" w:rsidRDefault="009F3B9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F4D17" w:rsidRPr="0068632F">
        <w:rPr>
          <w:rFonts w:ascii="Times New Roman" w:hAnsi="Times New Roman" w:cs="Times New Roman"/>
        </w:rPr>
        <w:t>Hooghe, L., &amp; Marks, G. (1999).</w:t>
      </w:r>
    </w:p>
  </w:footnote>
  <w:footnote w:id="770">
    <w:p w14:paraId="46E6EE1D" w14:textId="71E816D6" w:rsidR="009F3B9E" w:rsidRPr="0068632F" w:rsidRDefault="009F3B9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3197E" w:rsidRPr="0068632F">
        <w:rPr>
          <w:rFonts w:ascii="Times New Roman" w:hAnsi="Times New Roman" w:cs="Times New Roman"/>
        </w:rPr>
        <w:t>Kingdon, J. W. (1984).</w:t>
      </w:r>
    </w:p>
  </w:footnote>
  <w:footnote w:id="771">
    <w:p w14:paraId="55EEFA71" w14:textId="4550C1B5" w:rsidR="00D21C84" w:rsidRPr="0068632F" w:rsidRDefault="00D21C8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246DA" w:rsidRPr="0068632F">
        <w:rPr>
          <w:rFonts w:ascii="Times New Roman" w:hAnsi="Times New Roman" w:cs="Times New Roman"/>
        </w:rPr>
        <w:t>Hacker, J. S., &amp; Pierson, P. (2014).</w:t>
      </w:r>
    </w:p>
  </w:footnote>
  <w:footnote w:id="772">
    <w:p w14:paraId="72EFADDB" w14:textId="1C72ED3F" w:rsidR="002D6943" w:rsidRPr="0068632F" w:rsidRDefault="002D694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531D5" w:rsidRPr="0068632F">
        <w:rPr>
          <w:rFonts w:ascii="Times New Roman" w:hAnsi="Times New Roman" w:cs="Times New Roman"/>
          <w:lang w:val="en-US"/>
        </w:rPr>
        <w:t xml:space="preserve"> </w:t>
      </w:r>
      <w:r w:rsidR="00394DFF" w:rsidRPr="0068632F">
        <w:rPr>
          <w:rFonts w:ascii="Times New Roman" w:hAnsi="Times New Roman" w:cs="Times New Roman"/>
        </w:rPr>
        <w:t>Fischer, F. (1995).</w:t>
      </w:r>
    </w:p>
  </w:footnote>
  <w:footnote w:id="773">
    <w:p w14:paraId="72BCBC1D" w14:textId="22D21B21" w:rsidR="00873200" w:rsidRPr="0068632F" w:rsidRDefault="0087320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141" w:history="1">
        <w:r w:rsidR="005C5077" w:rsidRPr="0068632F">
          <w:rPr>
            <w:rStyle w:val="Hyperlink"/>
            <w:rFonts w:ascii="Times New Roman" w:hAnsi="Times New Roman" w:cs="Times New Roman"/>
            <w:lang w:val="bg-BG"/>
          </w:rPr>
          <w:t>Спогодба за стабилизација и асоцијација - Спогодба за стабилизација и асоцијација - ЕУ интеграција - Министерство за европски прашања - Република Северна Македонија</w:t>
        </w:r>
      </w:hyperlink>
      <w:r w:rsidR="005C5077" w:rsidRPr="0068632F">
        <w:rPr>
          <w:rFonts w:ascii="Times New Roman" w:hAnsi="Times New Roman" w:cs="Times New Roman"/>
          <w:lang w:val="mk-MK"/>
        </w:rPr>
        <w:t xml:space="preserve">. </w:t>
      </w:r>
    </w:p>
  </w:footnote>
  <w:footnote w:id="774">
    <w:p w14:paraId="351F21BE" w14:textId="0BAFC4B9" w:rsidR="00A83B52" w:rsidRPr="0068632F" w:rsidRDefault="00A83B5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142" w:history="1">
        <w:r w:rsidR="00355542" w:rsidRPr="0068632F">
          <w:rPr>
            <w:rStyle w:val="Hyperlink"/>
            <w:rFonts w:ascii="Times New Roman" w:hAnsi="Times New Roman" w:cs="Times New Roman"/>
            <w:lang w:val="bg-BG"/>
          </w:rPr>
          <w:t>Harmonization of national legislation with the EU and monitoring and evaluation of the NPAA | CCM</w:t>
        </w:r>
      </w:hyperlink>
      <w:r w:rsidR="00355542" w:rsidRPr="0068632F">
        <w:rPr>
          <w:rFonts w:ascii="Times New Roman" w:hAnsi="Times New Roman" w:cs="Times New Roman"/>
          <w:lang w:val="mk-MK"/>
        </w:rPr>
        <w:t>.</w:t>
      </w:r>
    </w:p>
  </w:footnote>
  <w:footnote w:id="775">
    <w:p w14:paraId="664EDA67" w14:textId="7B118281" w:rsidR="00BC37DE" w:rsidRPr="0068632F" w:rsidRDefault="00BC37D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143" w:history="1">
        <w:r w:rsidR="000402EF" w:rsidRPr="0068632F">
          <w:rPr>
            <w:rStyle w:val="Hyperlink"/>
            <w:rFonts w:ascii="Times New Roman" w:hAnsi="Times New Roman" w:cs="Times New Roman"/>
            <w:lang w:val="bg-BG"/>
          </w:rPr>
          <w:t>EUR-Lex - 52008PC0396 - EN - EUR-Lex</w:t>
        </w:r>
      </w:hyperlink>
      <w:r w:rsidR="000402EF" w:rsidRPr="0068632F">
        <w:rPr>
          <w:rFonts w:ascii="Times New Roman" w:hAnsi="Times New Roman" w:cs="Times New Roman"/>
          <w:lang w:val="mk-MK"/>
        </w:rPr>
        <w:t>.</w:t>
      </w:r>
    </w:p>
  </w:footnote>
  <w:footnote w:id="776">
    <w:p w14:paraId="1C886155" w14:textId="2454CA81" w:rsidR="000F3332" w:rsidRPr="0068632F" w:rsidRDefault="000F333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E1B33" w:rsidRPr="0068632F">
        <w:rPr>
          <w:rFonts w:ascii="Times New Roman" w:hAnsi="Times New Roman" w:cs="Times New Roman"/>
          <w:lang w:val="mk-MK"/>
        </w:rPr>
        <w:t xml:space="preserve">Види: </w:t>
      </w:r>
      <w:hyperlink r:id="rId144" w:history="1">
        <w:r w:rsidR="003E1B33" w:rsidRPr="0068632F">
          <w:rPr>
            <w:rStyle w:val="Hyperlink"/>
            <w:rFonts w:ascii="Times New Roman" w:hAnsi="Times New Roman" w:cs="Times New Roman"/>
            <w:lang w:val="bg-BG"/>
          </w:rPr>
          <w:t>North Macedonia - financial assistance under IPA - Enlargement and Eastern Neighbourhood</w:t>
        </w:r>
      </w:hyperlink>
      <w:r w:rsidR="003E1B33" w:rsidRPr="0068632F">
        <w:rPr>
          <w:rFonts w:ascii="Times New Roman" w:hAnsi="Times New Roman" w:cs="Times New Roman"/>
          <w:lang w:val="mk-MK"/>
        </w:rPr>
        <w:t xml:space="preserve">. </w:t>
      </w:r>
    </w:p>
  </w:footnote>
  <w:footnote w:id="777">
    <w:p w14:paraId="714CDC28" w14:textId="374700E8" w:rsidR="00D95611" w:rsidRPr="0068632F" w:rsidRDefault="00D9561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1411B" w:rsidRPr="0068632F">
        <w:rPr>
          <w:rFonts w:ascii="Times New Roman" w:hAnsi="Times New Roman" w:cs="Times New Roman"/>
          <w:lang w:val="mk-MK"/>
        </w:rPr>
        <w:t xml:space="preserve">Види </w:t>
      </w:r>
      <w:hyperlink r:id="rId145" w:history="1">
        <w:r w:rsidR="00B1411B" w:rsidRPr="0068632F">
          <w:rPr>
            <w:rStyle w:val="Hyperlink"/>
            <w:rFonts w:ascii="Times New Roman" w:hAnsi="Times New Roman" w:cs="Times New Roman"/>
            <w:lang w:val="bg-BG"/>
          </w:rPr>
          <w:t>Harmonization of national legislation with the EU and monitoring and evaluation of the NPAA | CCM</w:t>
        </w:r>
      </w:hyperlink>
      <w:r w:rsidR="00B1411B" w:rsidRPr="0068632F">
        <w:rPr>
          <w:rFonts w:ascii="Times New Roman" w:hAnsi="Times New Roman" w:cs="Times New Roman"/>
          <w:lang w:val="mk-MK"/>
        </w:rPr>
        <w:t xml:space="preserve">. </w:t>
      </w:r>
    </w:p>
  </w:footnote>
  <w:footnote w:id="778">
    <w:p w14:paraId="1816A7D7" w14:textId="06FFD1CC" w:rsidR="00B01515" w:rsidRPr="0068632F" w:rsidRDefault="00B0151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72DE5" w:rsidRPr="0068632F">
        <w:rPr>
          <w:rFonts w:ascii="Times New Roman" w:hAnsi="Times New Roman" w:cs="Times New Roman"/>
          <w:lang w:val="mk-MK"/>
        </w:rPr>
        <w:t xml:space="preserve">На пример, види </w:t>
      </w:r>
      <w:hyperlink r:id="rId146" w:history="1">
        <w:r w:rsidR="00172DE5" w:rsidRPr="0068632F">
          <w:rPr>
            <w:rStyle w:val="Hyperlink"/>
            <w:rFonts w:ascii="Times New Roman" w:hAnsi="Times New Roman" w:cs="Times New Roman"/>
            <w:lang w:val="bg-BG"/>
          </w:rPr>
          <w:t>EU funding opportunities in North Macedonia | EU projects | WeBalkans</w:t>
        </w:r>
      </w:hyperlink>
      <w:r w:rsidR="00172DE5" w:rsidRPr="0068632F">
        <w:rPr>
          <w:rFonts w:ascii="Times New Roman" w:hAnsi="Times New Roman" w:cs="Times New Roman"/>
          <w:lang w:val="mk-MK"/>
        </w:rPr>
        <w:t xml:space="preserve">. </w:t>
      </w:r>
    </w:p>
  </w:footnote>
  <w:footnote w:id="779">
    <w:p w14:paraId="62BDBE84" w14:textId="5EDF4294" w:rsidR="008C06BE" w:rsidRPr="0068632F" w:rsidRDefault="008C06B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71E38" w:rsidRPr="0068632F">
        <w:rPr>
          <w:rFonts w:ascii="Times New Roman" w:hAnsi="Times New Roman" w:cs="Times New Roman"/>
          <w:lang w:val="mk-MK"/>
        </w:rPr>
        <w:t xml:space="preserve">Повеќе на </w:t>
      </w:r>
      <w:hyperlink r:id="rId147" w:history="1">
        <w:r w:rsidR="00771E38" w:rsidRPr="0068632F">
          <w:rPr>
            <w:rStyle w:val="Hyperlink"/>
            <w:rFonts w:ascii="Times New Roman" w:hAnsi="Times New Roman" w:cs="Times New Roman"/>
            <w:lang w:val="bg-BG"/>
          </w:rPr>
          <w:t>Акциски план ПОВ 2024-2026.pdf</w:t>
        </w:r>
      </w:hyperlink>
      <w:r w:rsidR="00771E38" w:rsidRPr="0068632F">
        <w:rPr>
          <w:rFonts w:ascii="Times New Roman" w:hAnsi="Times New Roman" w:cs="Times New Roman"/>
          <w:lang w:val="mk-MK"/>
        </w:rPr>
        <w:t>.</w:t>
      </w:r>
    </w:p>
  </w:footnote>
  <w:footnote w:id="780">
    <w:p w14:paraId="407E0925" w14:textId="79CE5C61" w:rsidR="00B1347F" w:rsidRPr="0068632F" w:rsidRDefault="00B1347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02726" w:rsidRPr="0068632F">
        <w:rPr>
          <w:rFonts w:ascii="Times New Roman" w:hAnsi="Times New Roman" w:cs="Times New Roman"/>
          <w:lang w:val="mk-MK"/>
        </w:rPr>
        <w:t xml:space="preserve">Види ја последната верзија на предлог-законот за трговски друштва: </w:t>
      </w:r>
      <w:hyperlink r:id="rId148" w:history="1">
        <w:r w:rsidR="00802726" w:rsidRPr="0068632F">
          <w:rPr>
            <w:rStyle w:val="Hyperlink"/>
            <w:rFonts w:ascii="Times New Roman" w:hAnsi="Times New Roman" w:cs="Times New Roman"/>
            <w:lang w:val="bg-BG"/>
          </w:rPr>
          <w:t>51_1051724084Нацрт_-_закон_Предлог_на_Закон_за_трговските_друштва.pdf</w:t>
        </w:r>
      </w:hyperlink>
      <w:r w:rsidR="00802726" w:rsidRPr="0068632F">
        <w:rPr>
          <w:rFonts w:ascii="Times New Roman" w:hAnsi="Times New Roman" w:cs="Times New Roman"/>
          <w:lang w:val="mk-MK"/>
        </w:rPr>
        <w:t xml:space="preserve">. </w:t>
      </w:r>
    </w:p>
  </w:footnote>
  <w:footnote w:id="781">
    <w:p w14:paraId="471AD66C" w14:textId="461F6095" w:rsidR="00455743" w:rsidRPr="0068632F" w:rsidRDefault="0045574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A4820" w:rsidRPr="0068632F">
        <w:rPr>
          <w:rFonts w:ascii="Times New Roman" w:hAnsi="Times New Roman" w:cs="Times New Roman"/>
          <w:lang w:val="mk-MK"/>
        </w:rPr>
        <w:t xml:space="preserve">Види </w:t>
      </w:r>
      <w:hyperlink r:id="rId149" w:history="1">
        <w:r w:rsidR="00AA4820" w:rsidRPr="0068632F">
          <w:rPr>
            <w:rStyle w:val="Hyperlink"/>
            <w:rFonts w:ascii="Times New Roman" w:hAnsi="Times New Roman" w:cs="Times New Roman"/>
            <w:lang w:val="bg-BG"/>
          </w:rPr>
          <w:t>EUR-Lex - 52008PC0396 - EN - EUR-Lex</w:t>
        </w:r>
      </w:hyperlink>
      <w:r w:rsidR="00AA4820" w:rsidRPr="0068632F">
        <w:rPr>
          <w:rFonts w:ascii="Times New Roman" w:hAnsi="Times New Roman" w:cs="Times New Roman"/>
          <w:lang w:val="mk-MK"/>
        </w:rPr>
        <w:t>.</w:t>
      </w:r>
    </w:p>
  </w:footnote>
  <w:footnote w:id="782">
    <w:p w14:paraId="1488128E" w14:textId="078F5471" w:rsidR="00BA55BC" w:rsidRPr="0068632F" w:rsidRDefault="00BA55B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75FA7" w:rsidRPr="0068632F">
        <w:rPr>
          <w:rFonts w:ascii="Times New Roman" w:hAnsi="Times New Roman" w:cs="Times New Roman"/>
        </w:rPr>
        <w:t>Barradas, R. (2019).</w:t>
      </w:r>
    </w:p>
  </w:footnote>
  <w:footnote w:id="783">
    <w:p w14:paraId="60E4113D" w14:textId="26A2C805" w:rsidR="00407400" w:rsidRPr="0068632F" w:rsidRDefault="0040740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93377" w:rsidRPr="0068632F">
        <w:rPr>
          <w:rFonts w:ascii="Times New Roman" w:hAnsi="Times New Roman" w:cs="Times New Roman"/>
          <w:lang w:val="mk-MK"/>
        </w:rPr>
        <w:t xml:space="preserve">Види </w:t>
      </w:r>
      <w:hyperlink r:id="rId150" w:history="1">
        <w:r w:rsidR="00F93377" w:rsidRPr="0068632F">
          <w:rPr>
            <w:rStyle w:val="Hyperlink"/>
            <w:rFonts w:ascii="Times New Roman" w:hAnsi="Times New Roman" w:cs="Times New Roman"/>
            <w:lang w:val="bg-BG"/>
          </w:rPr>
          <w:t>Harmonization of national legislation with the EU and monitoring and evaluation of the NPAA | CCM</w:t>
        </w:r>
      </w:hyperlink>
      <w:r w:rsidR="00F93377" w:rsidRPr="0068632F">
        <w:rPr>
          <w:rFonts w:ascii="Times New Roman" w:hAnsi="Times New Roman" w:cs="Times New Roman"/>
          <w:lang w:val="mk-MK"/>
        </w:rPr>
        <w:t xml:space="preserve">. </w:t>
      </w:r>
    </w:p>
  </w:footnote>
  <w:footnote w:id="784">
    <w:p w14:paraId="022B8B01" w14:textId="188657FB" w:rsidR="00575941" w:rsidRPr="0068632F" w:rsidRDefault="0057594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855DE" w:rsidRPr="0068632F">
        <w:rPr>
          <w:rFonts w:ascii="Times New Roman" w:hAnsi="Times New Roman" w:cs="Times New Roman"/>
          <w:lang w:val="mk-MK"/>
        </w:rPr>
        <w:t xml:space="preserve">Види на пример: </w:t>
      </w:r>
      <w:hyperlink r:id="rId151" w:history="1">
        <w:r w:rsidR="00C855DE" w:rsidRPr="0068632F">
          <w:rPr>
            <w:rStyle w:val="Hyperlink"/>
            <w:rFonts w:ascii="Times New Roman" w:hAnsi="Times New Roman" w:cs="Times New Roman"/>
            <w:lang w:val="bg-BG"/>
          </w:rPr>
          <w:t>Legislation and regulation | Worker Participation</w:t>
        </w:r>
      </w:hyperlink>
      <w:r w:rsidR="00C855DE" w:rsidRPr="0068632F">
        <w:rPr>
          <w:rFonts w:ascii="Times New Roman" w:hAnsi="Times New Roman" w:cs="Times New Roman"/>
          <w:lang w:val="mk-MK"/>
        </w:rPr>
        <w:t xml:space="preserve">. </w:t>
      </w:r>
    </w:p>
  </w:footnote>
  <w:footnote w:id="785">
    <w:p w14:paraId="5513F844" w14:textId="58288AC3" w:rsidR="00464599" w:rsidRPr="0068632F" w:rsidRDefault="0046459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11290" w:rsidRPr="0068632F">
        <w:rPr>
          <w:rFonts w:ascii="Times New Roman" w:hAnsi="Times New Roman" w:cs="Times New Roman"/>
          <w:lang w:val="mk-MK"/>
        </w:rPr>
        <w:t xml:space="preserve">Види споредба на областите на: </w:t>
      </w:r>
      <w:hyperlink r:id="rId152" w:history="1">
        <w:r w:rsidR="00C11290" w:rsidRPr="0068632F">
          <w:rPr>
            <w:rStyle w:val="Hyperlink"/>
            <w:rFonts w:ascii="Times New Roman" w:hAnsi="Times New Roman" w:cs="Times New Roman"/>
            <w:lang w:val="bg-BG"/>
          </w:rPr>
          <w:t>Employee Involvement - Employment, Social Affairs and Inclusion</w:t>
        </w:r>
      </w:hyperlink>
      <w:r w:rsidR="00C11290" w:rsidRPr="0068632F">
        <w:rPr>
          <w:rFonts w:ascii="Times New Roman" w:hAnsi="Times New Roman" w:cs="Times New Roman"/>
          <w:lang w:val="mk-MK"/>
        </w:rPr>
        <w:t>.</w:t>
      </w:r>
    </w:p>
  </w:footnote>
  <w:footnote w:id="786">
    <w:p w14:paraId="63EDD674" w14:textId="5FCBFDE3" w:rsidR="00DB03CE" w:rsidRPr="0068632F" w:rsidRDefault="00DB03C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Lindblom, C. E. (1959).</w:t>
      </w:r>
    </w:p>
  </w:footnote>
  <w:footnote w:id="787">
    <w:p w14:paraId="6A9D12D4" w14:textId="7834C89B" w:rsidR="0002350D" w:rsidRPr="0068632F" w:rsidRDefault="0002350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23E4B" w:rsidRPr="0068632F">
        <w:rPr>
          <w:rFonts w:ascii="Times New Roman" w:hAnsi="Times New Roman" w:cs="Times New Roman"/>
        </w:rPr>
        <w:t>Lasswell, H. D. (1951). “The Policy Orientation.” In D. Lerner &amp; H. D. Lasswell (Eds.), The Policy Sciences. Stanford: Stanford University Press.</w:t>
      </w:r>
    </w:p>
  </w:footnote>
  <w:footnote w:id="788">
    <w:p w14:paraId="4DB25546" w14:textId="63AB1F83" w:rsidR="00FC626F" w:rsidRPr="0068632F" w:rsidRDefault="00FC626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C11EC" w:rsidRPr="0068632F">
        <w:rPr>
          <w:rFonts w:ascii="Times New Roman" w:hAnsi="Times New Roman" w:cs="Times New Roman"/>
        </w:rPr>
        <w:t xml:space="preserve">Lasswell, H. D. (1951). </w:t>
      </w:r>
    </w:p>
  </w:footnote>
  <w:footnote w:id="789">
    <w:p w14:paraId="18937959" w14:textId="24CD5D64" w:rsidR="006C11EC" w:rsidRPr="0068632F" w:rsidRDefault="006C11E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Easton, D. (1965). A Systems Analysis of Political Life. New York: Wiley.</w:t>
      </w:r>
    </w:p>
  </w:footnote>
  <w:footnote w:id="790">
    <w:p w14:paraId="1BCBBFF3" w14:textId="5B1C667C" w:rsidR="00115524" w:rsidRPr="0068632F" w:rsidRDefault="0011552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Simon, H. A. (1947). Administrative Behavior. New York: Macmillan.</w:t>
      </w:r>
    </w:p>
  </w:footnote>
  <w:footnote w:id="791">
    <w:p w14:paraId="673B7452" w14:textId="701E4993" w:rsidR="00AE3205" w:rsidRPr="0068632F" w:rsidRDefault="00AE320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C39DD" w:rsidRPr="0068632F">
        <w:rPr>
          <w:rFonts w:ascii="Times New Roman" w:hAnsi="Times New Roman" w:cs="Times New Roman"/>
          <w:lang w:val="mk-MK"/>
        </w:rPr>
        <w:t>Lindblom, C. E. (1959).</w:t>
      </w:r>
    </w:p>
  </w:footnote>
  <w:footnote w:id="792">
    <w:p w14:paraId="50749F3A" w14:textId="3C43C39E" w:rsidR="00B44328" w:rsidRPr="0068632F" w:rsidRDefault="00B4432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Kingdon, J. W. (1984).</w:t>
      </w:r>
    </w:p>
  </w:footnote>
  <w:footnote w:id="793">
    <w:p w14:paraId="6D9BA747" w14:textId="574540D9" w:rsidR="00F86C55" w:rsidRPr="0068632F" w:rsidRDefault="00F86C5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Easton, D. (1965)</w:t>
      </w:r>
      <w:r w:rsidRPr="0068632F">
        <w:rPr>
          <w:rFonts w:ascii="Times New Roman" w:hAnsi="Times New Roman" w:cs="Times New Roman"/>
          <w:lang w:val="mk-MK"/>
        </w:rPr>
        <w:t xml:space="preserve"> </w:t>
      </w:r>
      <w:r w:rsidRPr="0068632F">
        <w:rPr>
          <w:rFonts w:ascii="Times New Roman" w:hAnsi="Times New Roman" w:cs="Times New Roman"/>
          <w:lang w:val="en-US"/>
        </w:rPr>
        <w:t xml:space="preserve">&amp; </w:t>
      </w:r>
      <w:r w:rsidRPr="0068632F">
        <w:rPr>
          <w:rFonts w:ascii="Times New Roman" w:hAnsi="Times New Roman" w:cs="Times New Roman"/>
        </w:rPr>
        <w:t>Simon, H. A. (1947).</w:t>
      </w:r>
    </w:p>
  </w:footnote>
  <w:footnote w:id="794">
    <w:p w14:paraId="27F3CC1B" w14:textId="02CD1829" w:rsidR="003772A8" w:rsidRPr="0068632F" w:rsidRDefault="003772A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153" w:history="1">
        <w:r w:rsidRPr="0068632F">
          <w:rPr>
            <w:rStyle w:val="Hyperlink"/>
            <w:rFonts w:ascii="Times New Roman" w:hAnsi="Times New Roman" w:cs="Times New Roman"/>
            <w:lang w:val="bg-BG"/>
          </w:rPr>
          <w:t>EU funding opportunities in North Macedonia | EU projects | WeBalkans</w:t>
        </w:r>
      </w:hyperlink>
      <w:r w:rsidR="008910B0" w:rsidRPr="0068632F">
        <w:rPr>
          <w:rFonts w:ascii="Times New Roman" w:hAnsi="Times New Roman" w:cs="Times New Roman"/>
          <w:lang w:val="mk-MK"/>
        </w:rPr>
        <w:t xml:space="preserve">. </w:t>
      </w:r>
    </w:p>
  </w:footnote>
  <w:footnote w:id="795">
    <w:p w14:paraId="68BAC698" w14:textId="7DBE9992" w:rsidR="003B32D8" w:rsidRPr="0068632F" w:rsidRDefault="003B32D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4618F" w:rsidRPr="0068632F">
        <w:rPr>
          <w:rFonts w:ascii="Times New Roman" w:hAnsi="Times New Roman" w:cs="Times New Roman"/>
        </w:rPr>
        <w:t>Streeck, W., &amp; Thelen, K. (Eds.). (2005). Beyond continuity: Institutional change in advanced political economies. Oxford University Press.</w:t>
      </w:r>
    </w:p>
  </w:footnote>
  <w:footnote w:id="796">
    <w:p w14:paraId="2B67246D" w14:textId="02D23DC3" w:rsidR="003B32D8" w:rsidRPr="0068632F" w:rsidRDefault="003B32D8"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4618F" w:rsidRPr="0068632F">
        <w:rPr>
          <w:rFonts w:ascii="Times New Roman" w:hAnsi="Times New Roman" w:cs="Times New Roman"/>
        </w:rPr>
        <w:t>Streeck, W., &amp; Thelen, K. (Eds.). (2005).</w:t>
      </w:r>
    </w:p>
  </w:footnote>
  <w:footnote w:id="797">
    <w:p w14:paraId="7A1D7E1D" w14:textId="3D63F080" w:rsidR="005F59C7" w:rsidRPr="0068632F" w:rsidRDefault="005F59C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322EC" w:rsidRPr="0068632F">
        <w:rPr>
          <w:rFonts w:ascii="Times New Roman" w:hAnsi="Times New Roman" w:cs="Times New Roman"/>
        </w:rPr>
        <w:t>Hall, P. A. (1993). Policy paradigms, social learning, and the state: The case of economic policymaking in Britain. Comparative politics, 275-296.</w:t>
      </w:r>
    </w:p>
  </w:footnote>
  <w:footnote w:id="798">
    <w:p w14:paraId="18A04C9F" w14:textId="3A8E3508" w:rsidR="00E322EC" w:rsidRPr="0068632F" w:rsidRDefault="00E322E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Hall, P. A. (1993).</w:t>
      </w:r>
    </w:p>
  </w:footnote>
  <w:footnote w:id="799">
    <w:p w14:paraId="03065F75" w14:textId="6A9A6146" w:rsidR="003B5FB7" w:rsidRPr="0068632F" w:rsidRDefault="003B5FB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67067" w:rsidRPr="0068632F">
        <w:rPr>
          <w:rFonts w:ascii="Times New Roman" w:hAnsi="Times New Roman" w:cs="Times New Roman"/>
        </w:rPr>
        <w:t>Heclo, H. (1974). Modern Social Politics in Britain and Sweden: From Relief to Income Maintenance. New Haven: Yale University Press.</w:t>
      </w:r>
    </w:p>
  </w:footnote>
  <w:footnote w:id="800">
    <w:p w14:paraId="088C0AE2" w14:textId="05DE80ED" w:rsidR="0025019E" w:rsidRPr="0068632F" w:rsidRDefault="0025019E"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B5FB7" w:rsidRPr="0068632F">
        <w:rPr>
          <w:rFonts w:ascii="Times New Roman" w:hAnsi="Times New Roman" w:cs="Times New Roman"/>
        </w:rPr>
        <w:t>Deutsch, K. (1963). The Nerves of Government: Models of Political Communication and Control. New York: Free Press</w:t>
      </w:r>
      <w:r w:rsidR="003B5FB7" w:rsidRPr="0068632F">
        <w:rPr>
          <w:rFonts w:ascii="Times New Roman" w:hAnsi="Times New Roman" w:cs="Times New Roman"/>
          <w:lang w:val="en-US"/>
        </w:rPr>
        <w:t>.</w:t>
      </w:r>
    </w:p>
  </w:footnote>
  <w:footnote w:id="801">
    <w:p w14:paraId="37031BF8" w14:textId="15773626" w:rsidR="008A26F3" w:rsidRPr="0068632F" w:rsidRDefault="008A26F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56ED3" w:rsidRPr="0068632F">
        <w:rPr>
          <w:rFonts w:ascii="Times New Roman" w:hAnsi="Times New Roman" w:cs="Times New Roman"/>
        </w:rPr>
        <w:t>Heclo, H. (1974).</w:t>
      </w:r>
    </w:p>
  </w:footnote>
  <w:footnote w:id="802">
    <w:p w14:paraId="5F6B76AD" w14:textId="18173244" w:rsidR="00B56ED3" w:rsidRPr="0068632F" w:rsidRDefault="00B56ED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Deutsch, K. (1963).</w:t>
      </w:r>
    </w:p>
  </w:footnote>
  <w:footnote w:id="803">
    <w:p w14:paraId="438DE6A7" w14:textId="3529B93E" w:rsidR="007F5AB9" w:rsidRPr="0068632F" w:rsidRDefault="007F5AB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73D39" w:rsidRPr="0068632F">
        <w:rPr>
          <w:rFonts w:ascii="Times New Roman" w:hAnsi="Times New Roman" w:cs="Times New Roman"/>
          <w:lang w:val="mk-MK"/>
        </w:rPr>
        <w:t xml:space="preserve">Види </w:t>
      </w:r>
      <w:hyperlink r:id="rId154" w:history="1">
        <w:r w:rsidR="00C73D39" w:rsidRPr="0068632F">
          <w:rPr>
            <w:rStyle w:val="Hyperlink"/>
            <w:rFonts w:ascii="Times New Roman" w:hAnsi="Times New Roman" w:cs="Times New Roman"/>
            <w:lang w:val="bg-BG"/>
          </w:rPr>
          <w:t>Legislation and regulation | Worker Participation</w:t>
        </w:r>
      </w:hyperlink>
      <w:r w:rsidR="00D069BD" w:rsidRPr="0068632F">
        <w:rPr>
          <w:rFonts w:ascii="Times New Roman" w:hAnsi="Times New Roman" w:cs="Times New Roman"/>
          <w:lang w:val="mk-MK"/>
        </w:rPr>
        <w:t>.</w:t>
      </w:r>
    </w:p>
  </w:footnote>
  <w:footnote w:id="804">
    <w:p w14:paraId="25EE52C9" w14:textId="683830C3" w:rsidR="007F5AB9" w:rsidRPr="0068632F" w:rsidRDefault="007F5AB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069BD" w:rsidRPr="0068632F">
        <w:rPr>
          <w:rFonts w:ascii="Times New Roman" w:hAnsi="Times New Roman" w:cs="Times New Roman"/>
          <w:lang w:val="mk-MK"/>
        </w:rPr>
        <w:t xml:space="preserve">Повеќе на: </w:t>
      </w:r>
      <w:hyperlink r:id="rId155" w:history="1">
        <w:r w:rsidR="00D069BD" w:rsidRPr="0068632F">
          <w:rPr>
            <w:rStyle w:val="Hyperlink"/>
            <w:rFonts w:ascii="Times New Roman" w:hAnsi="Times New Roman" w:cs="Times New Roman"/>
            <w:lang w:val="bg-BG"/>
          </w:rPr>
          <w:t>Legislation and regulation | Worker Participation</w:t>
        </w:r>
      </w:hyperlink>
      <w:r w:rsidR="00D069BD" w:rsidRPr="0068632F">
        <w:rPr>
          <w:rFonts w:ascii="Times New Roman" w:hAnsi="Times New Roman" w:cs="Times New Roman"/>
          <w:lang w:val="mk-MK"/>
        </w:rPr>
        <w:t>.</w:t>
      </w:r>
    </w:p>
  </w:footnote>
  <w:footnote w:id="805">
    <w:p w14:paraId="7D3849CE" w14:textId="76553CF4" w:rsidR="00D82EBF" w:rsidRPr="0068632F" w:rsidRDefault="00D82EB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47E23" w:rsidRPr="0068632F">
        <w:rPr>
          <w:rFonts w:ascii="Times New Roman" w:hAnsi="Times New Roman" w:cs="Times New Roman"/>
          <w:lang w:val="mk-MK"/>
        </w:rPr>
        <w:t xml:space="preserve">Види </w:t>
      </w:r>
      <w:hyperlink r:id="rId156" w:history="1">
        <w:r w:rsidR="00E47E23" w:rsidRPr="0068632F">
          <w:rPr>
            <w:rStyle w:val="Hyperlink"/>
            <w:rFonts w:ascii="Times New Roman" w:hAnsi="Times New Roman" w:cs="Times New Roman"/>
            <w:lang w:val="bg-BG"/>
          </w:rPr>
          <w:t>Harmonization with the EU acquis - Министерство за финансии</w:t>
        </w:r>
      </w:hyperlink>
      <w:r w:rsidR="00E47E23" w:rsidRPr="0068632F">
        <w:rPr>
          <w:rFonts w:ascii="Times New Roman" w:hAnsi="Times New Roman" w:cs="Times New Roman"/>
          <w:lang w:val="mk-MK"/>
        </w:rPr>
        <w:t>.</w:t>
      </w:r>
    </w:p>
  </w:footnote>
  <w:footnote w:id="806">
    <w:p w14:paraId="7F2170B2" w14:textId="6A5ECD80" w:rsidR="00D15941" w:rsidRPr="0068632F" w:rsidRDefault="00D1594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C4743" w:rsidRPr="0068632F">
        <w:rPr>
          <w:rFonts w:ascii="Times New Roman" w:hAnsi="Times New Roman" w:cs="Times New Roman"/>
          <w:lang w:val="mk-MK"/>
        </w:rPr>
        <w:t>Член 384-а од ЗТД, в</w:t>
      </w:r>
      <w:r w:rsidR="002A52BD" w:rsidRPr="0068632F">
        <w:rPr>
          <w:rFonts w:ascii="Times New Roman" w:hAnsi="Times New Roman" w:cs="Times New Roman"/>
          <w:lang w:val="mk-MK"/>
        </w:rPr>
        <w:t>иди</w:t>
      </w:r>
      <w:r w:rsidR="003C4743" w:rsidRPr="0068632F">
        <w:rPr>
          <w:rFonts w:ascii="Times New Roman" w:hAnsi="Times New Roman" w:cs="Times New Roman"/>
          <w:lang w:val="mk-MK"/>
        </w:rPr>
        <w:t xml:space="preserve"> и</w:t>
      </w:r>
      <w:r w:rsidR="002A52BD" w:rsidRPr="0068632F">
        <w:rPr>
          <w:rFonts w:ascii="Times New Roman" w:hAnsi="Times New Roman" w:cs="Times New Roman"/>
          <w:lang w:val="mk-MK"/>
        </w:rPr>
        <w:t xml:space="preserve">: </w:t>
      </w:r>
      <w:hyperlink r:id="rId157" w:history="1">
        <w:r w:rsidR="002A52BD" w:rsidRPr="0068632F">
          <w:rPr>
            <w:rStyle w:val="Hyperlink"/>
            <w:rFonts w:ascii="Times New Roman" w:hAnsi="Times New Roman" w:cs="Times New Roman"/>
            <w:lang w:val="bg-BG"/>
          </w:rPr>
          <w:t>EUR-Lex - 52008PC0396 - EN - EUR-Lex</w:t>
        </w:r>
      </w:hyperlink>
      <w:r w:rsidR="002A52BD" w:rsidRPr="0068632F">
        <w:rPr>
          <w:rFonts w:ascii="Times New Roman" w:hAnsi="Times New Roman" w:cs="Times New Roman"/>
          <w:lang w:val="mk-MK"/>
        </w:rPr>
        <w:t>.</w:t>
      </w:r>
    </w:p>
  </w:footnote>
  <w:footnote w:id="807">
    <w:p w14:paraId="04CE6CCD" w14:textId="503252C8" w:rsidR="00B8724C" w:rsidRPr="0068632F" w:rsidRDefault="00B8724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A3D2E" w:rsidRPr="0068632F">
        <w:rPr>
          <w:rFonts w:ascii="Times New Roman" w:hAnsi="Times New Roman" w:cs="Times New Roman"/>
          <w:lang w:val="mk-MK"/>
        </w:rPr>
        <w:t xml:space="preserve">Види: </w:t>
      </w:r>
      <w:hyperlink r:id="rId158" w:history="1">
        <w:r w:rsidR="004A3D2E" w:rsidRPr="0068632F">
          <w:rPr>
            <w:rStyle w:val="Hyperlink"/>
            <w:rFonts w:ascii="Times New Roman" w:hAnsi="Times New Roman" w:cs="Times New Roman"/>
            <w:lang w:val="bg-BG"/>
          </w:rPr>
          <w:t>Company law | Fact Sheets on the European Union | European Parliament</w:t>
        </w:r>
      </w:hyperlink>
      <w:r w:rsidR="004A3D2E" w:rsidRPr="0068632F">
        <w:rPr>
          <w:rFonts w:ascii="Times New Roman" w:hAnsi="Times New Roman" w:cs="Times New Roman"/>
          <w:lang w:val="mk-MK"/>
        </w:rPr>
        <w:t xml:space="preserve">. </w:t>
      </w:r>
    </w:p>
  </w:footnote>
  <w:footnote w:id="808">
    <w:p w14:paraId="3E66BB5E" w14:textId="3D9905E2" w:rsidR="00884F9D" w:rsidRPr="0068632F" w:rsidRDefault="00884F9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E3225" w:rsidRPr="0068632F">
        <w:rPr>
          <w:rFonts w:ascii="Times New Roman" w:hAnsi="Times New Roman" w:cs="Times New Roman"/>
          <w:lang w:val="mk-MK"/>
        </w:rPr>
        <w:t xml:space="preserve">Види: </w:t>
      </w:r>
      <w:hyperlink r:id="rId159" w:history="1">
        <w:r w:rsidR="005E3225" w:rsidRPr="0068632F">
          <w:rPr>
            <w:rStyle w:val="Hyperlink"/>
            <w:rFonts w:ascii="Times New Roman" w:hAnsi="Times New Roman" w:cs="Times New Roman"/>
            <w:lang w:val="bg-BG"/>
          </w:rPr>
          <w:t>EUR-Lex - 52008PC0396 - EN - EUR-Lex</w:t>
        </w:r>
      </w:hyperlink>
      <w:r w:rsidR="005E3225" w:rsidRPr="0068632F">
        <w:rPr>
          <w:rFonts w:ascii="Times New Roman" w:hAnsi="Times New Roman" w:cs="Times New Roman"/>
          <w:lang w:val="mk-MK"/>
        </w:rPr>
        <w:t xml:space="preserve">. </w:t>
      </w:r>
    </w:p>
  </w:footnote>
  <w:footnote w:id="809">
    <w:p w14:paraId="03DE08B8" w14:textId="60B22475" w:rsidR="0081346A" w:rsidRPr="0068632F" w:rsidRDefault="0081346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C3311" w:rsidRPr="0068632F">
        <w:rPr>
          <w:rFonts w:ascii="Times New Roman" w:hAnsi="Times New Roman" w:cs="Times New Roman"/>
          <w:lang w:val="mk-MK"/>
        </w:rPr>
        <w:t xml:space="preserve">Повеќе на: </w:t>
      </w:r>
      <w:hyperlink r:id="rId160" w:history="1">
        <w:r w:rsidR="001C3311" w:rsidRPr="0068632F">
          <w:rPr>
            <w:rStyle w:val="Hyperlink"/>
            <w:rFonts w:ascii="Times New Roman" w:hAnsi="Times New Roman" w:cs="Times New Roman"/>
            <w:lang w:val="bg-BG"/>
          </w:rPr>
          <w:t>Employee Involvement - Employment, Social Affairs and Inclusion</w:t>
        </w:r>
      </w:hyperlink>
      <w:r w:rsidR="001C3311" w:rsidRPr="0068632F">
        <w:rPr>
          <w:rFonts w:ascii="Times New Roman" w:hAnsi="Times New Roman" w:cs="Times New Roman"/>
          <w:lang w:val="mk-MK"/>
        </w:rPr>
        <w:t xml:space="preserve">. </w:t>
      </w:r>
    </w:p>
  </w:footnote>
  <w:footnote w:id="810">
    <w:p w14:paraId="49636406" w14:textId="4394322D" w:rsidR="00C518AA" w:rsidRPr="0068632F" w:rsidRDefault="00C518A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hyperlink r:id="rId161" w:history="1">
        <w:r w:rsidRPr="0068632F">
          <w:rPr>
            <w:rStyle w:val="Hyperlink"/>
            <w:rFonts w:ascii="Times New Roman" w:hAnsi="Times New Roman" w:cs="Times New Roman"/>
            <w:lang w:val="bg-BG"/>
          </w:rPr>
          <w:t>ETUC Position on a new EU framework on information, consultation and board-level representation for European company forms and for companies making use of EU company law instruments enabling company mobility | ETUC</w:t>
        </w:r>
      </w:hyperlink>
      <w:r w:rsidRPr="0068632F">
        <w:rPr>
          <w:rFonts w:ascii="Times New Roman" w:hAnsi="Times New Roman" w:cs="Times New Roman"/>
          <w:lang w:val="mk-MK"/>
        </w:rPr>
        <w:t xml:space="preserve">. </w:t>
      </w:r>
    </w:p>
  </w:footnote>
  <w:footnote w:id="811">
    <w:p w14:paraId="09AC234E" w14:textId="043E3A65" w:rsidR="00361806" w:rsidRPr="0068632F" w:rsidRDefault="003618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F5079" w:rsidRPr="0068632F">
        <w:rPr>
          <w:rFonts w:ascii="Times New Roman" w:hAnsi="Times New Roman" w:cs="Times New Roman"/>
        </w:rPr>
        <w:t>Sandrock, O. (2015).</w:t>
      </w:r>
    </w:p>
  </w:footnote>
  <w:footnote w:id="812">
    <w:p w14:paraId="76C652D2" w14:textId="0B013E33" w:rsidR="00AD14DB" w:rsidRPr="0068632F" w:rsidRDefault="00AD14D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3040F" w:rsidRPr="0068632F">
        <w:rPr>
          <w:rFonts w:ascii="Times New Roman" w:hAnsi="Times New Roman" w:cs="Times New Roman"/>
        </w:rPr>
        <w:t>Eurofound, &amp; Cedefop. (2020).</w:t>
      </w:r>
    </w:p>
  </w:footnote>
  <w:footnote w:id="813">
    <w:p w14:paraId="3219981C" w14:textId="45CA65EC" w:rsidR="00803081" w:rsidRPr="0068632F" w:rsidRDefault="0080308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E7BDE" w:rsidRPr="0068632F">
        <w:rPr>
          <w:rFonts w:ascii="Times New Roman" w:hAnsi="Times New Roman" w:cs="Times New Roman"/>
        </w:rPr>
        <w:t>Hall, P. A. (1993).</w:t>
      </w:r>
    </w:p>
  </w:footnote>
  <w:footnote w:id="814">
    <w:p w14:paraId="5454A2FA" w14:textId="3CE587C2" w:rsidR="00803081" w:rsidRPr="0068632F" w:rsidRDefault="0080308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E7BDE" w:rsidRPr="0068632F">
        <w:rPr>
          <w:rFonts w:ascii="Times New Roman" w:hAnsi="Times New Roman" w:cs="Times New Roman"/>
        </w:rPr>
        <w:t>Streeck, W., &amp; Thelen, K. (Eds.). (2005).</w:t>
      </w:r>
    </w:p>
  </w:footnote>
  <w:footnote w:id="815">
    <w:p w14:paraId="3B5BB117" w14:textId="2313DEE7" w:rsidR="00CD54CA" w:rsidRPr="0068632F" w:rsidRDefault="00CD54C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Streeck, W., &amp; Thelen, K. (Eds.). (2005).</w:t>
      </w:r>
    </w:p>
  </w:footnote>
  <w:footnote w:id="816">
    <w:p w14:paraId="44BF9A3C" w14:textId="04BC6EBC" w:rsidR="005F70ED" w:rsidRPr="0068632F" w:rsidRDefault="005F70E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751D0" w:rsidRPr="0068632F">
        <w:rPr>
          <w:rFonts w:ascii="Times New Roman" w:hAnsi="Times New Roman" w:cs="Times New Roman"/>
        </w:rPr>
        <w:t>Bartolini, S. (2005). Restructuring Europe: Centre Formation, System Building, and Political Structuring between the Nation State and the European Union. Oxford University Press</w:t>
      </w:r>
    </w:p>
  </w:footnote>
  <w:footnote w:id="817">
    <w:p w14:paraId="5BF2F41E" w14:textId="1917D068" w:rsidR="009808BE" w:rsidRPr="0068632F" w:rsidRDefault="009808B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Bartolini, S. (2005).</w:t>
      </w:r>
    </w:p>
  </w:footnote>
  <w:footnote w:id="818">
    <w:p w14:paraId="64D5AAF4" w14:textId="10B8737C" w:rsidR="00D60CDD" w:rsidRPr="0068632F" w:rsidRDefault="00D60CD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Rokkan, S., Flora, P., Kuhnle, S., &amp; Urwin, D. W. (1999). State Formation, Nation-Building, and Mass Politics in Europe: The Theory of Stein Rokkan. Oxford University Press.</w:t>
      </w:r>
    </w:p>
  </w:footnote>
  <w:footnote w:id="819">
    <w:p w14:paraId="34B11611" w14:textId="30A328B9" w:rsidR="009F4F5A" w:rsidRPr="0068632F" w:rsidRDefault="009F4F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E2463" w:rsidRPr="0068632F">
        <w:rPr>
          <w:rFonts w:ascii="Times New Roman" w:hAnsi="Times New Roman" w:cs="Times New Roman"/>
        </w:rPr>
        <w:t>Rokkan, S., Flora, P., Kuhnle, S., &amp; Urwin, D. W. (1999).</w:t>
      </w:r>
    </w:p>
  </w:footnote>
  <w:footnote w:id="820">
    <w:p w14:paraId="0A68BE54" w14:textId="5E051052" w:rsidR="003A4B57" w:rsidRPr="0068632F" w:rsidRDefault="003A4B5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E2463" w:rsidRPr="0068632F">
        <w:rPr>
          <w:rFonts w:ascii="Times New Roman" w:hAnsi="Times New Roman" w:cs="Times New Roman"/>
        </w:rPr>
        <w:t>Hirschman, A. O. (1970). Exit, Voice, and Loyalty: Responses to Decline in Firms, Organizations, and States. Harvard University Press.</w:t>
      </w:r>
    </w:p>
  </w:footnote>
  <w:footnote w:id="821">
    <w:p w14:paraId="68E827C6" w14:textId="485CAFDA" w:rsidR="003A4B57" w:rsidRPr="0068632F" w:rsidRDefault="003A4B5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E2463" w:rsidRPr="0068632F">
        <w:rPr>
          <w:rFonts w:ascii="Times New Roman" w:hAnsi="Times New Roman" w:cs="Times New Roman"/>
        </w:rPr>
        <w:t>Hirschman, A. O. (1970).</w:t>
      </w:r>
    </w:p>
  </w:footnote>
  <w:footnote w:id="822">
    <w:p w14:paraId="458A75A2" w14:textId="4829C53C" w:rsidR="00723B4E" w:rsidRPr="0068632F" w:rsidRDefault="00723B4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10BDB" w:rsidRPr="0068632F">
        <w:rPr>
          <w:rFonts w:ascii="Times New Roman" w:hAnsi="Times New Roman" w:cs="Times New Roman"/>
        </w:rPr>
        <w:t>Ferrera, M., Kriesi, H., &amp; Schelkle, W. (2024). Maintaining the EU’s Compound Polity during the Long Crisis Decade. West European Politics, 47(3), 1–26.</w:t>
      </w:r>
    </w:p>
  </w:footnote>
  <w:footnote w:id="823">
    <w:p w14:paraId="610CF886" w14:textId="5E6DAA0D" w:rsidR="009A0E0A" w:rsidRPr="0068632F" w:rsidRDefault="009A0E0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10BDB" w:rsidRPr="0068632F">
        <w:rPr>
          <w:rFonts w:ascii="Times New Roman" w:hAnsi="Times New Roman" w:cs="Times New Roman"/>
        </w:rPr>
        <w:t>Ferrera, M., Kriesi, H., &amp; Schelkle, W. (2024).</w:t>
      </w:r>
    </w:p>
  </w:footnote>
  <w:footnote w:id="824">
    <w:p w14:paraId="1BCEFF88" w14:textId="671C35CD" w:rsidR="003E1F33" w:rsidRPr="0068632F" w:rsidRDefault="003E1F3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1380B" w:rsidRPr="0068632F">
        <w:rPr>
          <w:rFonts w:ascii="Times New Roman" w:hAnsi="Times New Roman" w:cs="Times New Roman"/>
        </w:rPr>
        <w:t xml:space="preserve">Tilly, C. (1975). The Formation of National States in Western Europe. Princeton University Press. </w:t>
      </w:r>
    </w:p>
  </w:footnote>
  <w:footnote w:id="825">
    <w:p w14:paraId="7F48E2CE" w14:textId="2D77E398" w:rsidR="003E1F33" w:rsidRPr="0068632F" w:rsidRDefault="003E1F3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1380B" w:rsidRPr="0068632F">
        <w:rPr>
          <w:rFonts w:ascii="Times New Roman" w:hAnsi="Times New Roman" w:cs="Times New Roman"/>
        </w:rPr>
        <w:t>Tilly, C. (1975).</w:t>
      </w:r>
    </w:p>
  </w:footnote>
  <w:footnote w:id="826">
    <w:p w14:paraId="42BDDE76" w14:textId="47FE91C8" w:rsidR="00AD5EFF" w:rsidRPr="0068632F" w:rsidRDefault="00AD5EF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1380B" w:rsidRPr="0068632F">
        <w:rPr>
          <w:rFonts w:ascii="Times New Roman" w:hAnsi="Times New Roman" w:cs="Times New Roman"/>
        </w:rPr>
        <w:t>Tilly, C. (1990). Coercion, Capital, and European States, AD 990–1990. Blackwell.</w:t>
      </w:r>
    </w:p>
  </w:footnote>
  <w:footnote w:id="827">
    <w:p w14:paraId="540C2626" w14:textId="6B62FE21" w:rsidR="00571D04" w:rsidRPr="0068632F" w:rsidRDefault="00571D0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1380B" w:rsidRPr="0068632F">
        <w:rPr>
          <w:rFonts w:ascii="Times New Roman" w:hAnsi="Times New Roman" w:cs="Times New Roman"/>
        </w:rPr>
        <w:t xml:space="preserve">Tilly, C. (1990). </w:t>
      </w:r>
    </w:p>
  </w:footnote>
  <w:footnote w:id="828">
    <w:p w14:paraId="7BE1E357" w14:textId="577FE72D" w:rsidR="00C23790" w:rsidRPr="0068632F" w:rsidRDefault="00C2379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Ferrera, M., Kriesi, H., &amp; Schelkle, W. (2024).</w:t>
      </w:r>
    </w:p>
  </w:footnote>
  <w:footnote w:id="829">
    <w:p w14:paraId="48CF038A" w14:textId="451A89BB" w:rsidR="00784642" w:rsidRPr="0068632F" w:rsidRDefault="0078464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F0E15" w:rsidRPr="0068632F">
        <w:rPr>
          <w:rFonts w:ascii="Times New Roman" w:hAnsi="Times New Roman" w:cs="Times New Roman"/>
        </w:rPr>
        <w:t>Ferrera, M., Kriesi, H., &amp; Schelkle, W. (2024).</w:t>
      </w:r>
    </w:p>
  </w:footnote>
  <w:footnote w:id="830">
    <w:p w14:paraId="7DD3E3D3" w14:textId="1FB7724E" w:rsidR="00695388" w:rsidRPr="0068632F" w:rsidRDefault="0069538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Fischer, F. (1995).</w:t>
      </w:r>
    </w:p>
  </w:footnote>
  <w:footnote w:id="831">
    <w:p w14:paraId="55CB3579" w14:textId="2C9AD586" w:rsidR="007B52DF" w:rsidRPr="0068632F" w:rsidRDefault="007B52DF"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665EE" w:rsidRPr="0068632F">
        <w:rPr>
          <w:rFonts w:ascii="Times New Roman" w:hAnsi="Times New Roman" w:cs="Times New Roman"/>
        </w:rPr>
        <w:t>Hornsby, J. S., Bloodgood, J. M., Hayton, J., &amp; Kuratko, D. F. (2013). Network legitimacy diffusion: a model for corporate entrepreneurship. International Entrepreneurship and Management Journal, 9(3), 307-322.</w:t>
      </w:r>
    </w:p>
  </w:footnote>
  <w:footnote w:id="832">
    <w:p w14:paraId="35FB4C44" w14:textId="59427886" w:rsidR="00DF4CF5" w:rsidRPr="0068632F" w:rsidRDefault="00DF4CF5"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F2519" w:rsidRPr="0068632F">
        <w:rPr>
          <w:rFonts w:ascii="Times New Roman" w:hAnsi="Times New Roman" w:cs="Times New Roman"/>
        </w:rPr>
        <w:t>Hornsby, J. S., Bloodgood, J. M., Hayton, J., &amp; Kuratko, D. F. (2013).</w:t>
      </w:r>
    </w:p>
  </w:footnote>
  <w:footnote w:id="833">
    <w:p w14:paraId="7C276A90" w14:textId="57C52923" w:rsidR="005E6C57" w:rsidRPr="0068632F" w:rsidRDefault="005E6C5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750F5" w:rsidRPr="0068632F">
        <w:rPr>
          <w:rFonts w:ascii="Times New Roman" w:hAnsi="Times New Roman" w:cs="Times New Roman"/>
          <w:lang w:val="mk-MK"/>
        </w:rPr>
        <w:t xml:space="preserve">Види: </w:t>
      </w:r>
      <w:hyperlink r:id="rId162" w:history="1">
        <w:r w:rsidR="009750F5" w:rsidRPr="0068632F">
          <w:rPr>
            <w:rStyle w:val="Hyperlink"/>
            <w:rFonts w:ascii="Times New Roman" w:hAnsi="Times New Roman" w:cs="Times New Roman"/>
            <w:lang w:val="bg-BG"/>
          </w:rPr>
          <w:t>North Macedonia - financial assistance under IPA - Enlargement and Eastern Neighbourhood</w:t>
        </w:r>
      </w:hyperlink>
      <w:r w:rsidR="009750F5" w:rsidRPr="0068632F">
        <w:rPr>
          <w:rFonts w:ascii="Times New Roman" w:hAnsi="Times New Roman" w:cs="Times New Roman"/>
          <w:lang w:val="mk-MK"/>
        </w:rPr>
        <w:t>.</w:t>
      </w:r>
    </w:p>
  </w:footnote>
  <w:footnote w:id="834">
    <w:p w14:paraId="7FA11E07" w14:textId="274B4E24" w:rsidR="00B82DF8" w:rsidRPr="0068632F" w:rsidRDefault="00B82DF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C3F3B" w:rsidRPr="0068632F">
        <w:rPr>
          <w:rFonts w:ascii="Times New Roman" w:hAnsi="Times New Roman" w:cs="Times New Roman"/>
          <w:lang w:val="mk-MK"/>
        </w:rPr>
        <w:t xml:space="preserve">Види </w:t>
      </w:r>
      <w:hyperlink r:id="rId163" w:history="1">
        <w:r w:rsidR="00CC3F3B" w:rsidRPr="0068632F">
          <w:rPr>
            <w:rStyle w:val="Hyperlink"/>
            <w:rFonts w:ascii="Times New Roman" w:hAnsi="Times New Roman" w:cs="Times New Roman"/>
            <w:lang w:val="bg-BG"/>
          </w:rPr>
          <w:t>Harmonization with the EU acquis - Министерство за финансии</w:t>
        </w:r>
      </w:hyperlink>
      <w:r w:rsidR="00CC3F3B" w:rsidRPr="0068632F">
        <w:rPr>
          <w:rFonts w:ascii="Times New Roman" w:hAnsi="Times New Roman" w:cs="Times New Roman"/>
          <w:lang w:val="mk-MK"/>
        </w:rPr>
        <w:t xml:space="preserve">. </w:t>
      </w:r>
    </w:p>
  </w:footnote>
  <w:footnote w:id="835">
    <w:p w14:paraId="2F6C384F" w14:textId="24564DBB" w:rsidR="00E354BE" w:rsidRPr="0068632F" w:rsidRDefault="00E354B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32034" w:rsidRPr="0068632F">
        <w:rPr>
          <w:rFonts w:ascii="Times New Roman" w:hAnsi="Times New Roman" w:cs="Times New Roman"/>
          <w:lang w:val="mk-MK"/>
        </w:rPr>
        <w:t xml:space="preserve">Анализа на Светска Банка за македонската економија во првиот квартал на 2026 година. </w:t>
      </w:r>
    </w:p>
  </w:footnote>
  <w:footnote w:id="836">
    <w:p w14:paraId="68DD2712" w14:textId="05EB2D0A" w:rsidR="007D2FE0" w:rsidRPr="0068632F" w:rsidRDefault="007D2FE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Анализа на Светска Банка за македонската економија во првиот квартал на 2026 година.</w:t>
      </w:r>
    </w:p>
  </w:footnote>
  <w:footnote w:id="837">
    <w:p w14:paraId="76A8AD3E" w14:textId="0C7D502B" w:rsidR="00863979" w:rsidRPr="0068632F" w:rsidRDefault="0086397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451C1" w:rsidRPr="0068632F">
        <w:rPr>
          <w:rFonts w:ascii="Times New Roman" w:hAnsi="Times New Roman" w:cs="Times New Roman"/>
        </w:rPr>
        <w:t>Hickel, J. (2017). The divide: A brief guide to global inequality and its solutions. William Heinemann.</w:t>
      </w:r>
    </w:p>
  </w:footnote>
  <w:footnote w:id="838">
    <w:p w14:paraId="25C1AF00" w14:textId="19D59C4B" w:rsidR="002107CD" w:rsidRPr="0068632F" w:rsidRDefault="002107C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83869" w:rsidRPr="0068632F">
        <w:rPr>
          <w:rFonts w:ascii="Times New Roman" w:hAnsi="Times New Roman" w:cs="Times New Roman"/>
        </w:rPr>
        <w:t>Graeber, D., &amp; Wengrow, D. (2021). The dawn of everything: A new history of humanity. Farrar, Straus and Giroux.</w:t>
      </w:r>
    </w:p>
  </w:footnote>
  <w:footnote w:id="839">
    <w:p w14:paraId="3B98FAB1" w14:textId="6FB05AA9" w:rsidR="00DC1D07" w:rsidRPr="0068632F" w:rsidRDefault="00DC1D0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E01D9" w:rsidRPr="0068632F">
        <w:rPr>
          <w:rFonts w:ascii="Times New Roman" w:hAnsi="Times New Roman" w:cs="Times New Roman"/>
        </w:rPr>
        <w:t>Hornsby, J. S., Bloodgood, J. M., Hayton, J., &amp; Kuratko, D. F. (2013</w:t>
      </w:r>
      <w:r w:rsidR="005E01D9" w:rsidRPr="0068632F">
        <w:rPr>
          <w:rFonts w:ascii="Times New Roman" w:hAnsi="Times New Roman" w:cs="Times New Roman"/>
          <w:lang w:val="mk-MK"/>
        </w:rPr>
        <w:t>).</w:t>
      </w:r>
    </w:p>
  </w:footnote>
  <w:footnote w:id="840">
    <w:p w14:paraId="3F8ACE7E" w14:textId="78A0E697" w:rsidR="00075867" w:rsidRPr="0068632F" w:rsidRDefault="0007586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737F4" w:rsidRPr="0068632F">
        <w:rPr>
          <w:rFonts w:ascii="Times New Roman" w:hAnsi="Times New Roman" w:cs="Times New Roman"/>
        </w:rPr>
        <w:t>Graeber, D. (2023). Pirate enlightenment, or the real Libertalia. Farrar, Straus and Giroux.</w:t>
      </w:r>
    </w:p>
  </w:footnote>
  <w:footnote w:id="841">
    <w:p w14:paraId="68A95F72" w14:textId="6D81CA37" w:rsidR="006737F4" w:rsidRPr="0068632F" w:rsidRDefault="006737F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019A0" w:rsidRPr="0068632F">
        <w:rPr>
          <w:rFonts w:ascii="Times New Roman" w:hAnsi="Times New Roman" w:cs="Times New Roman"/>
        </w:rPr>
        <w:t>Graeber, D. (2023).</w:t>
      </w:r>
    </w:p>
  </w:footnote>
  <w:footnote w:id="842">
    <w:p w14:paraId="13D27DCD" w14:textId="17F7647C" w:rsidR="00AB1E97" w:rsidRPr="0068632F" w:rsidRDefault="00AB1E9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Statovci, P. (2017). My cat Yugoslavia (D. Hackston, Trans.). Pushkin Press.</w:t>
      </w:r>
    </w:p>
  </w:footnote>
  <w:footnote w:id="843">
    <w:p w14:paraId="73D946B3" w14:textId="2544C506" w:rsidR="005F3E5A" w:rsidRPr="0068632F" w:rsidRDefault="005F3E5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E3579" w:rsidRPr="0068632F">
        <w:rPr>
          <w:rFonts w:ascii="Times New Roman" w:hAnsi="Times New Roman" w:cs="Times New Roman"/>
        </w:rPr>
        <w:t>Davis, A. Y. (2016). Freedom is a constant struggle: Ferguson, Palestine, and the foundations of a movement (F. Barat, Ed.). Haymarket Books</w:t>
      </w:r>
    </w:p>
  </w:footnote>
  <w:footnote w:id="844">
    <w:p w14:paraId="1D11CD9E" w14:textId="6535C6D5" w:rsidR="009866C4" w:rsidRPr="0068632F" w:rsidRDefault="009866C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055BB" w:rsidRPr="0068632F">
        <w:rPr>
          <w:rFonts w:ascii="Times New Roman" w:hAnsi="Times New Roman" w:cs="Times New Roman"/>
          <w:lang w:val="mk-MK"/>
        </w:rPr>
        <w:t xml:space="preserve">Види </w:t>
      </w:r>
      <w:hyperlink r:id="rId164" w:history="1">
        <w:r w:rsidR="00A055BB" w:rsidRPr="0068632F">
          <w:rPr>
            <w:rStyle w:val="Hyperlink"/>
            <w:rFonts w:ascii="Times New Roman" w:hAnsi="Times New Roman" w:cs="Times New Roman"/>
            <w:lang w:val="bg-BG"/>
          </w:rPr>
          <w:t>Дурмиши: Предлогот за изменување и дополнување на Законот за трговски друштва одобрен во Собранието, Северна Македонија обезбеди 4.400.906,47 евра - Новости - Односи со јавност - Министерство за економија и труд - Република Северна Македонија</w:t>
        </w:r>
      </w:hyperlink>
      <w:r w:rsidR="00A055BB" w:rsidRPr="0068632F">
        <w:rPr>
          <w:rFonts w:ascii="Times New Roman" w:hAnsi="Times New Roman" w:cs="Times New Roman"/>
          <w:lang w:val="mk-MK"/>
        </w:rPr>
        <w:t xml:space="preserve">. </w:t>
      </w:r>
    </w:p>
  </w:footnote>
  <w:footnote w:id="845">
    <w:p w14:paraId="6C295781" w14:textId="29D9068C" w:rsidR="007A78E4" w:rsidRPr="0068632F" w:rsidRDefault="007A78E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B4239" w:rsidRPr="0068632F">
        <w:rPr>
          <w:rFonts w:ascii="Times New Roman" w:hAnsi="Times New Roman" w:cs="Times New Roman"/>
          <w:lang w:val="mk-MK"/>
        </w:rPr>
        <w:t xml:space="preserve">Повеќе на: Petkukjeski, G., Andonov, M., Mihajloski, I., Trajkova, K., &amp; Ljativ, A. (2016). Participation of employees in management bodies of the Macedonian shareholding companies. Journal of Social Science Research, 10(2), 2060–2069. </w:t>
      </w:r>
      <w:hyperlink r:id="rId165" w:history="1">
        <w:r w:rsidR="002B4239" w:rsidRPr="0068632F">
          <w:rPr>
            <w:rStyle w:val="Hyperlink"/>
            <w:rFonts w:ascii="Times New Roman" w:hAnsi="Times New Roman" w:cs="Times New Roman"/>
            <w:lang w:val="mk-MK"/>
          </w:rPr>
          <w:t>https://doi.org/10.24297/jssr.v10i2.4731</w:t>
        </w:r>
      </w:hyperlink>
      <w:r w:rsidR="002B4239" w:rsidRPr="0068632F">
        <w:rPr>
          <w:rFonts w:ascii="Times New Roman" w:hAnsi="Times New Roman" w:cs="Times New Roman"/>
          <w:lang w:val="mk-MK"/>
        </w:rPr>
        <w:t xml:space="preserve">. </w:t>
      </w:r>
    </w:p>
  </w:footnote>
  <w:footnote w:id="846">
    <w:p w14:paraId="1A0B58E7" w14:textId="4D9E45F8" w:rsidR="000A574B" w:rsidRPr="0068632F" w:rsidRDefault="000A574B"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C6ABB" w:rsidRPr="0068632F">
        <w:rPr>
          <w:rFonts w:ascii="Times New Roman" w:hAnsi="Times New Roman" w:cs="Times New Roman"/>
          <w:lang w:val="mk-MK"/>
        </w:rPr>
        <w:t>Petkukjeski, G., Andonov, M., Mihajloski, I., Trajkova, K., &amp; Ljativ, A. (2016).</w:t>
      </w:r>
    </w:p>
  </w:footnote>
  <w:footnote w:id="847">
    <w:p w14:paraId="61EF37DB" w14:textId="27170753" w:rsidR="00C3526F" w:rsidRPr="0068632F" w:rsidRDefault="00C3526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D7B7B" w:rsidRPr="0068632F">
        <w:rPr>
          <w:rFonts w:ascii="Times New Roman" w:hAnsi="Times New Roman" w:cs="Times New Roman"/>
          <w:lang w:val="mk-MK"/>
        </w:rPr>
        <w:t xml:space="preserve">Види: </w:t>
      </w:r>
      <w:hyperlink r:id="rId166" w:history="1">
        <w:r w:rsidR="008F11C1" w:rsidRPr="0068632F">
          <w:rPr>
            <w:rStyle w:val="Hyperlink"/>
            <w:rFonts w:ascii="Times New Roman" w:hAnsi="Times New Roman" w:cs="Times New Roman"/>
            <w:lang w:val="bg-BG"/>
          </w:rPr>
          <w:t>Microsoft Word - 07 Gasperini-Transposition Company Law-EU Directives-MK.doc</w:t>
        </w:r>
      </w:hyperlink>
      <w:r w:rsidR="000A574B" w:rsidRPr="0068632F">
        <w:rPr>
          <w:rFonts w:ascii="Times New Roman" w:hAnsi="Times New Roman" w:cs="Times New Roman"/>
          <w:lang w:val="mk-MK"/>
        </w:rPr>
        <w:t>.</w:t>
      </w:r>
    </w:p>
  </w:footnote>
  <w:footnote w:id="848">
    <w:p w14:paraId="0C0894BF" w14:textId="131A423C" w:rsidR="008A5D2A" w:rsidRPr="0068632F" w:rsidRDefault="008A5D2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C0043" w:rsidRPr="0068632F">
        <w:rPr>
          <w:rFonts w:ascii="Times New Roman" w:hAnsi="Times New Roman" w:cs="Times New Roman"/>
          <w:lang w:val="bg-BG"/>
        </w:rPr>
        <w:t>Ristovski, A. (2023). The case of North Macedonia. </w:t>
      </w:r>
      <w:r w:rsidR="004C0043" w:rsidRPr="0068632F">
        <w:rPr>
          <w:rFonts w:ascii="Times New Roman" w:hAnsi="Times New Roman" w:cs="Times New Roman"/>
          <w:i/>
          <w:iCs/>
          <w:lang w:val="bg-BG"/>
        </w:rPr>
        <w:t>selected Central and Eastern European countries</w:t>
      </w:r>
      <w:r w:rsidR="004C0043" w:rsidRPr="0068632F">
        <w:rPr>
          <w:rFonts w:ascii="Times New Roman" w:hAnsi="Times New Roman" w:cs="Times New Roman"/>
          <w:lang w:val="bg-BG"/>
        </w:rPr>
        <w:t>, 86.</w:t>
      </w:r>
    </w:p>
  </w:footnote>
  <w:footnote w:id="849">
    <w:p w14:paraId="7EBBFF8A" w14:textId="7A382A05" w:rsidR="00572DCD" w:rsidRPr="0068632F" w:rsidRDefault="00572DC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54C98" w:rsidRPr="0068632F">
        <w:rPr>
          <w:rFonts w:ascii="Times New Roman" w:hAnsi="Times New Roman" w:cs="Times New Roman"/>
          <w:lang w:val="mk-MK"/>
        </w:rPr>
        <w:t xml:space="preserve">Годишен извештај за напредокот на Македонија кон Европската Унија, 2025. </w:t>
      </w:r>
    </w:p>
  </w:footnote>
  <w:footnote w:id="850">
    <w:p w14:paraId="40C33B1F" w14:textId="5D690152" w:rsidR="00BA0F5F" w:rsidRPr="0068632F" w:rsidRDefault="00BA0F5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hyperlink r:id="rId167" w:history="1">
        <w:r w:rsidR="006C6D90" w:rsidRPr="0068632F">
          <w:rPr>
            <w:rStyle w:val="Hyperlink"/>
            <w:rFonts w:ascii="Times New Roman" w:hAnsi="Times New Roman" w:cs="Times New Roman"/>
            <w:lang w:val="bg-BG"/>
          </w:rPr>
          <w:t>Стратегија за развој на ИКТ: СМАРТ/МК 2030 - Стратегија за развој на ИКТ: СМАРТ/МК 2030 - Регулатива - Министерство за дигитална трансформација - Република Северна Македонија</w:t>
        </w:r>
      </w:hyperlink>
      <w:r w:rsidR="006C6D90" w:rsidRPr="0068632F">
        <w:rPr>
          <w:rFonts w:ascii="Times New Roman" w:hAnsi="Times New Roman" w:cs="Times New Roman"/>
          <w:lang w:val="mk-MK"/>
        </w:rPr>
        <w:t xml:space="preserve">. </w:t>
      </w:r>
    </w:p>
  </w:footnote>
  <w:footnote w:id="851">
    <w:p w14:paraId="3773520C" w14:textId="781A00A8" w:rsidR="00E71164" w:rsidRPr="0068632F" w:rsidRDefault="00E711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9703E" w:rsidRPr="0068632F">
        <w:rPr>
          <w:rFonts w:ascii="Times New Roman" w:hAnsi="Times New Roman" w:cs="Times New Roman"/>
        </w:rPr>
        <w:t>Закон за забрана на нефер трговски практики во синџирите на снабдување на земјоделски и прехранбени производи</w:t>
      </w:r>
      <w:r w:rsidR="0099703E" w:rsidRPr="0068632F">
        <w:rPr>
          <w:rFonts w:ascii="Times New Roman" w:hAnsi="Times New Roman" w:cs="Times New Roman"/>
          <w:lang w:val="mk-MK"/>
        </w:rPr>
        <w:t xml:space="preserve">. </w:t>
      </w:r>
      <w:r w:rsidR="00E038A1" w:rsidRPr="0068632F">
        <w:rPr>
          <w:rFonts w:ascii="Times New Roman" w:hAnsi="Times New Roman" w:cs="Times New Roman"/>
        </w:rPr>
        <w:t>Број на Службен весник: 66/2024, датум на објава на Службен весник: 20.03.2024</w:t>
      </w:r>
    </w:p>
  </w:footnote>
  <w:footnote w:id="852">
    <w:p w14:paraId="1D89A0D4" w14:textId="77F38156" w:rsidR="00374834" w:rsidRPr="0068632F" w:rsidRDefault="0037483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Член 287 став </w:t>
      </w:r>
      <w:r w:rsidR="00A62A90" w:rsidRPr="0068632F">
        <w:rPr>
          <w:rFonts w:ascii="Times New Roman" w:hAnsi="Times New Roman" w:cs="Times New Roman"/>
          <w:lang w:val="mk-MK"/>
        </w:rPr>
        <w:t>5 од предлог-законот за Трговските друштва.</w:t>
      </w:r>
    </w:p>
  </w:footnote>
  <w:footnote w:id="853">
    <w:p w14:paraId="2DBBDD6D" w14:textId="7DEBF64F" w:rsidR="00760241" w:rsidRPr="0068632F" w:rsidRDefault="0076024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52B4D" w:rsidRPr="0068632F">
        <w:rPr>
          <w:rFonts w:ascii="Times New Roman" w:hAnsi="Times New Roman" w:cs="Times New Roman"/>
          <w:lang w:val="mk-MK"/>
        </w:rPr>
        <w:t xml:space="preserve">Како што впрочем и беше демонстрирано со нефункционалните примери во Србија, БиХ и Полска. </w:t>
      </w:r>
    </w:p>
  </w:footnote>
  <w:footnote w:id="854">
    <w:p w14:paraId="35091C73" w14:textId="57142C92" w:rsidR="005B525D" w:rsidRPr="0068632F" w:rsidRDefault="005B525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76F71" w:rsidRPr="0068632F">
        <w:rPr>
          <w:rFonts w:ascii="Times New Roman" w:hAnsi="Times New Roman" w:cs="Times New Roman"/>
          <w:lang w:val="mk-MK"/>
        </w:rPr>
        <w:t>Член 337 став 1 алинеја 4 од Законот за трговските друштва.</w:t>
      </w:r>
    </w:p>
  </w:footnote>
  <w:footnote w:id="855">
    <w:p w14:paraId="3D85895B" w14:textId="126A7FA9" w:rsidR="002A5C10" w:rsidRPr="0068632F" w:rsidRDefault="002A5C1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83586" w:rsidRPr="0068632F">
        <w:rPr>
          <w:rFonts w:ascii="Times New Roman" w:hAnsi="Times New Roman" w:cs="Times New Roman"/>
          <w:lang w:val="mk-MK"/>
        </w:rPr>
        <w:t>Овој член, како и наведениот пред него, е претежно од техничка природа.</w:t>
      </w:r>
    </w:p>
  </w:footnote>
  <w:footnote w:id="856">
    <w:p w14:paraId="51B9EDBA" w14:textId="3743B6A0" w:rsidR="005E45BA" w:rsidRPr="0068632F" w:rsidRDefault="005E45B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434 став 1 алинеја 3</w:t>
      </w:r>
      <w:r w:rsidR="00663670" w:rsidRPr="0068632F">
        <w:rPr>
          <w:rFonts w:ascii="Times New Roman" w:hAnsi="Times New Roman" w:cs="Times New Roman"/>
          <w:lang w:val="mk-MK"/>
        </w:rPr>
        <w:t xml:space="preserve"> од Законот за трговските друштва. </w:t>
      </w:r>
    </w:p>
  </w:footnote>
  <w:footnote w:id="857">
    <w:p w14:paraId="4CE886AE" w14:textId="334C2334" w:rsidR="00C61CA9" w:rsidRPr="0068632F" w:rsidRDefault="00C61CA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B2D85" w:rsidRPr="0068632F">
        <w:rPr>
          <w:rFonts w:ascii="Times New Roman" w:hAnsi="Times New Roman" w:cs="Times New Roman"/>
          <w:lang w:val="mk-MK"/>
        </w:rPr>
        <w:t xml:space="preserve">Во овој дел не можат да се сметаат сите измени кои се направени за приближувањето кон ЕУ </w:t>
      </w:r>
      <w:r w:rsidR="001B2D85" w:rsidRPr="0068632F">
        <w:rPr>
          <w:rFonts w:ascii="Times New Roman" w:hAnsi="Times New Roman" w:cs="Times New Roman"/>
          <w:i/>
          <w:iCs/>
          <w:lang w:val="en-US"/>
        </w:rPr>
        <w:t>acquis</w:t>
      </w:r>
      <w:r w:rsidR="001B2D85" w:rsidRPr="0068632F">
        <w:rPr>
          <w:rFonts w:ascii="Times New Roman" w:hAnsi="Times New Roman" w:cs="Times New Roman"/>
          <w:lang w:val="mk-MK"/>
        </w:rPr>
        <w:t>.</w:t>
      </w:r>
    </w:p>
  </w:footnote>
  <w:footnote w:id="858">
    <w:p w14:paraId="76A86D53" w14:textId="3556BA97" w:rsidR="00602A81" w:rsidRPr="0068632F" w:rsidRDefault="00602A8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B2D85" w:rsidRPr="0068632F">
        <w:rPr>
          <w:rFonts w:ascii="Times New Roman" w:hAnsi="Times New Roman" w:cs="Times New Roman"/>
          <w:lang w:val="mk-MK"/>
        </w:rPr>
        <w:t>Petkukjeski, G., Andonov, M., Mihajloski, I., Trajkova, K., &amp; Ljativ, A. (2016).</w:t>
      </w:r>
    </w:p>
  </w:footnote>
  <w:footnote w:id="859">
    <w:p w14:paraId="0DC809C1" w14:textId="588D3DBB" w:rsidR="00420A56" w:rsidRPr="0068632F" w:rsidRDefault="00420A5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A124C" w:rsidRPr="0068632F">
        <w:rPr>
          <w:rFonts w:ascii="Times New Roman" w:hAnsi="Times New Roman" w:cs="Times New Roman"/>
          <w:lang w:val="mk-MK"/>
        </w:rPr>
        <w:t xml:space="preserve">Наведените членови се и посебно подвоени и анализирани подолу во текстот. </w:t>
      </w:r>
    </w:p>
  </w:footnote>
  <w:footnote w:id="860">
    <w:p w14:paraId="0704252D" w14:textId="23264789" w:rsidR="00425246" w:rsidRPr="0068632F" w:rsidRDefault="0042524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434A4" w:rsidRPr="0068632F">
        <w:rPr>
          <w:rFonts w:ascii="Times New Roman" w:hAnsi="Times New Roman" w:cs="Times New Roman"/>
          <w:lang w:val="mk-MK"/>
        </w:rPr>
        <w:t xml:space="preserve">Член 399 став 3 од предлог-Законот за трговските друштва во собраниска процедура. </w:t>
      </w:r>
    </w:p>
  </w:footnote>
  <w:footnote w:id="861">
    <w:p w14:paraId="35E83FE6" w14:textId="41046C0C" w:rsidR="003B5764" w:rsidRPr="0068632F" w:rsidRDefault="003B57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434A4" w:rsidRPr="0068632F">
        <w:rPr>
          <w:rFonts w:ascii="Times New Roman" w:hAnsi="Times New Roman" w:cs="Times New Roman"/>
          <w:lang w:val="mk-MK"/>
        </w:rPr>
        <w:t>Член 413 став 4 од предлог-Законот за трговските друштва во собраниска процедура.</w:t>
      </w:r>
    </w:p>
  </w:footnote>
  <w:footnote w:id="862">
    <w:p w14:paraId="5285B4FE" w14:textId="36C2EAF3" w:rsidR="005D15D7" w:rsidRPr="0068632F" w:rsidRDefault="005D15D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80D5B" w:rsidRPr="0068632F">
        <w:rPr>
          <w:rFonts w:ascii="Times New Roman" w:hAnsi="Times New Roman" w:cs="Times New Roman"/>
          <w:lang w:val="mk-MK"/>
        </w:rPr>
        <w:t>Дел од овие напори се веќе реализирани и со досегашните измени на Законот за трговските друштва.</w:t>
      </w:r>
    </w:p>
  </w:footnote>
  <w:footnote w:id="863">
    <w:p w14:paraId="2409FB79" w14:textId="023CF472" w:rsidR="009748B7" w:rsidRPr="0068632F" w:rsidRDefault="009748B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D55DE" w:rsidRPr="0068632F">
        <w:rPr>
          <w:rFonts w:ascii="Times New Roman" w:hAnsi="Times New Roman" w:cs="Times New Roman"/>
        </w:rPr>
        <w:t>Член 395, став 2, точка 4</w:t>
      </w:r>
      <w:r w:rsidR="003D55DE" w:rsidRPr="0068632F">
        <w:rPr>
          <w:rFonts w:ascii="Times New Roman" w:hAnsi="Times New Roman" w:cs="Times New Roman"/>
          <w:lang w:val="mk-MK"/>
        </w:rPr>
        <w:t xml:space="preserve"> од предлог-Законот за трговските друштва во собраниска процедура.</w:t>
      </w:r>
    </w:p>
  </w:footnote>
  <w:footnote w:id="864">
    <w:p w14:paraId="2CC0056A" w14:textId="45166ED2" w:rsidR="00C35EDF" w:rsidRPr="0068632F" w:rsidRDefault="00C35ED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44DC0" w:rsidRPr="0068632F">
        <w:rPr>
          <w:rFonts w:ascii="Times New Roman" w:hAnsi="Times New Roman" w:cs="Times New Roman"/>
          <w:lang w:val="bg-BG"/>
        </w:rPr>
        <w:t>Ristovski, A. (2023). The case of North Macedonia. </w:t>
      </w:r>
      <w:r w:rsidR="00244DC0" w:rsidRPr="0068632F">
        <w:rPr>
          <w:rFonts w:ascii="Times New Roman" w:hAnsi="Times New Roman" w:cs="Times New Roman"/>
          <w:i/>
          <w:iCs/>
          <w:lang w:val="bg-BG"/>
        </w:rPr>
        <w:t>selected Central and Eastern European countries</w:t>
      </w:r>
      <w:r w:rsidR="00244DC0" w:rsidRPr="0068632F">
        <w:rPr>
          <w:rFonts w:ascii="Times New Roman" w:hAnsi="Times New Roman" w:cs="Times New Roman"/>
          <w:lang w:val="bg-BG"/>
        </w:rPr>
        <w:t>, 86.</w:t>
      </w:r>
    </w:p>
  </w:footnote>
  <w:footnote w:id="865">
    <w:p w14:paraId="792889D1" w14:textId="1586D25A" w:rsidR="00417A5F" w:rsidRPr="0068632F" w:rsidRDefault="00417A5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169F7" w:rsidRPr="0068632F">
        <w:rPr>
          <w:rFonts w:ascii="Times New Roman" w:hAnsi="Times New Roman" w:cs="Times New Roman"/>
          <w:lang w:val="mk-MK"/>
        </w:rPr>
        <w:t>Ставови 1 и 2 на член 662 од предлог-Законот за трговските друштва во собраниска процедура.</w:t>
      </w:r>
    </w:p>
  </w:footnote>
  <w:footnote w:id="866">
    <w:p w14:paraId="4DF4A4F4" w14:textId="308B1ECA" w:rsidR="00B62DF2" w:rsidRPr="0068632F" w:rsidRDefault="00B62DF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84EB5" w:rsidRPr="0068632F">
        <w:rPr>
          <w:rFonts w:ascii="Times New Roman" w:hAnsi="Times New Roman" w:cs="Times New Roman"/>
          <w:lang w:val="mk-MK"/>
        </w:rPr>
        <w:t>Ставови 1, 2 и 3 на член 680 од предлог-Законот за трговските друштва во собраниска процедура.</w:t>
      </w:r>
    </w:p>
  </w:footnote>
  <w:footnote w:id="867">
    <w:p w14:paraId="3C4111DC" w14:textId="2E7DC0E8" w:rsidR="006341F6" w:rsidRPr="0068632F" w:rsidRDefault="006341F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F5766" w:rsidRPr="0068632F">
        <w:rPr>
          <w:rFonts w:ascii="Times New Roman" w:hAnsi="Times New Roman" w:cs="Times New Roman"/>
          <w:lang w:val="bg-BG"/>
        </w:rPr>
        <w:t>Ristovski, A. (2023). The case of North Macedonia. </w:t>
      </w:r>
      <w:r w:rsidR="004F5766" w:rsidRPr="0068632F">
        <w:rPr>
          <w:rFonts w:ascii="Times New Roman" w:hAnsi="Times New Roman" w:cs="Times New Roman"/>
          <w:i/>
          <w:iCs/>
          <w:lang w:val="bg-BG"/>
        </w:rPr>
        <w:t>selected Central and Eastern European countries</w:t>
      </w:r>
      <w:r w:rsidR="004F5766" w:rsidRPr="0068632F">
        <w:rPr>
          <w:rFonts w:ascii="Times New Roman" w:hAnsi="Times New Roman" w:cs="Times New Roman"/>
          <w:lang w:val="bg-BG"/>
        </w:rPr>
        <w:t>, 86.</w:t>
      </w:r>
    </w:p>
  </w:footnote>
  <w:footnote w:id="868">
    <w:p w14:paraId="432B7226" w14:textId="52B9C32C" w:rsidR="00663C64" w:rsidRPr="0068632F" w:rsidRDefault="00663C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126DA" w:rsidRPr="0068632F">
        <w:rPr>
          <w:rFonts w:ascii="Times New Roman" w:hAnsi="Times New Roman" w:cs="Times New Roman"/>
        </w:rPr>
        <w:t>Taylor Bernard, цитирано кај Коевски, 2011</w:t>
      </w:r>
      <w:r w:rsidR="009126DA" w:rsidRPr="0068632F">
        <w:rPr>
          <w:rFonts w:ascii="Times New Roman" w:hAnsi="Times New Roman" w:cs="Times New Roman"/>
          <w:lang w:val="mk-MK"/>
        </w:rPr>
        <w:t xml:space="preserve">. </w:t>
      </w:r>
    </w:p>
  </w:footnote>
  <w:footnote w:id="869">
    <w:p w14:paraId="3D10EDBB" w14:textId="15E4336C" w:rsidR="00A81AC3" w:rsidRPr="0068632F" w:rsidRDefault="00A81AC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Ов</w:t>
      </w:r>
      <w:r w:rsidR="00036B2C" w:rsidRPr="0068632F">
        <w:rPr>
          <w:rFonts w:ascii="Times New Roman" w:hAnsi="Times New Roman" w:cs="Times New Roman"/>
          <w:lang w:val="mk-MK"/>
        </w:rPr>
        <w:t>аа анализа ги интегрира материјалите од предавањата на проф. д-р Горан Коевски (Правен факултет „Јустинијан Први", УКИМ, Скопје, 29 јуни 2011), Принципите на OECD за корпоративното управување (2004), Акциониот план на Европската комисија за компаниско право и корпоративно управување (COM(2003) 284 финален), PEPPER извештаите I–V (1991–2024), Директивите на ЕУ за компаниско право и директивата за права на акционерите (2007/36/ЕЗ), Регулативата за SE (2157/2001/ЕЗ) и Директивата за вклученост на вработените (2001/86/ЕЗ), релевантните одредби на Законот за трговски друштва и Законот за хартии од вредност на Република Македонија, трудовите на Jensen и Meckling (1976), Blair (1995), Blair и Roe (1999), Lowitzsch и Hashi (2024) и Del Sordo и др. (2025), Европскиот парламент (A8-0293/2018) и резултатите на LSE Law School (2024) и ETUI (2023).</w:t>
      </w:r>
    </w:p>
  </w:footnote>
  <w:footnote w:id="870">
    <w:p w14:paraId="45F4CE14" w14:textId="420F6DD1" w:rsidR="005E7D96" w:rsidRPr="0068632F" w:rsidRDefault="005E7D96"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D1F30" w:rsidRPr="0068632F">
        <w:rPr>
          <w:rFonts w:ascii="Times New Roman" w:hAnsi="Times New Roman" w:cs="Times New Roman"/>
        </w:rPr>
        <w:t>Европска комисија, 20</w:t>
      </w:r>
      <w:r w:rsidR="0061755B" w:rsidRPr="0068632F">
        <w:rPr>
          <w:rFonts w:ascii="Times New Roman" w:hAnsi="Times New Roman" w:cs="Times New Roman"/>
          <w:lang w:val="en-US"/>
        </w:rPr>
        <w:t>1</w:t>
      </w:r>
      <w:r w:rsidR="002D1F30" w:rsidRPr="0068632F">
        <w:rPr>
          <w:rFonts w:ascii="Times New Roman" w:hAnsi="Times New Roman" w:cs="Times New Roman"/>
        </w:rPr>
        <w:t>4, цитирано кај Del Sordo и др., 2025</w:t>
      </w:r>
      <w:r w:rsidR="002D1F30" w:rsidRPr="0068632F">
        <w:rPr>
          <w:rFonts w:ascii="Times New Roman" w:hAnsi="Times New Roman" w:cs="Times New Roman"/>
          <w:lang w:val="mk-MK"/>
        </w:rPr>
        <w:t>.</w:t>
      </w:r>
    </w:p>
  </w:footnote>
  <w:footnote w:id="871">
    <w:p w14:paraId="714EAE74" w14:textId="4DC4EF5A" w:rsidR="003E0C30" w:rsidRPr="0068632F" w:rsidRDefault="003E0C3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F79CF" w:rsidRPr="0068632F">
        <w:rPr>
          <w:rFonts w:ascii="Times New Roman" w:hAnsi="Times New Roman" w:cs="Times New Roman"/>
        </w:rPr>
        <w:t>Kolev и др., 2015; Amihud и Lev, 1981</w:t>
      </w:r>
      <w:r w:rsidR="000F79CF" w:rsidRPr="0068632F">
        <w:rPr>
          <w:rFonts w:ascii="Times New Roman" w:hAnsi="Times New Roman" w:cs="Times New Roman"/>
          <w:lang w:val="mk-MK"/>
        </w:rPr>
        <w:t xml:space="preserve">. </w:t>
      </w:r>
    </w:p>
  </w:footnote>
  <w:footnote w:id="872">
    <w:p w14:paraId="3776E416" w14:textId="485FB4CE" w:rsidR="00737014" w:rsidRPr="0068632F" w:rsidRDefault="0073701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F284E" w:rsidRPr="0068632F">
        <w:rPr>
          <w:rFonts w:ascii="Times New Roman" w:hAnsi="Times New Roman" w:cs="Times New Roman"/>
        </w:rPr>
        <w:t>Employee Share Ownership / ESO</w:t>
      </w:r>
      <w:r w:rsidR="00FF284E" w:rsidRPr="0068632F">
        <w:rPr>
          <w:rFonts w:ascii="Times New Roman" w:hAnsi="Times New Roman" w:cs="Times New Roman"/>
          <w:lang w:val="mk-MK"/>
        </w:rPr>
        <w:t>.</w:t>
      </w:r>
    </w:p>
  </w:footnote>
  <w:footnote w:id="873">
    <w:p w14:paraId="2827F9B2" w14:textId="0E4A6724" w:rsidR="00FF284E" w:rsidRPr="0068632F" w:rsidRDefault="00FF284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25EAB" w:rsidRPr="0068632F">
        <w:rPr>
          <w:rFonts w:ascii="Times New Roman" w:hAnsi="Times New Roman" w:cs="Times New Roman"/>
          <w:lang w:val="mk-MK"/>
        </w:rPr>
        <w:t>В</w:t>
      </w:r>
      <w:r w:rsidR="00525EAB" w:rsidRPr="0068632F">
        <w:rPr>
          <w:rFonts w:ascii="Times New Roman" w:hAnsi="Times New Roman" w:cs="Times New Roman"/>
        </w:rPr>
        <w:t>работените ризикуваат свој специфичен капитал</w:t>
      </w:r>
      <w:r w:rsidR="00525EAB" w:rsidRPr="0068632F">
        <w:rPr>
          <w:rFonts w:ascii="Times New Roman" w:hAnsi="Times New Roman" w:cs="Times New Roman"/>
          <w:lang w:val="mk-MK"/>
        </w:rPr>
        <w:t>.</w:t>
      </w:r>
    </w:p>
  </w:footnote>
  <w:footnote w:id="874">
    <w:p w14:paraId="1100E321" w14:textId="2057E234" w:rsidR="00122F2A" w:rsidRPr="0068632F" w:rsidRDefault="00122F2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35167" w:rsidRPr="0068632F">
        <w:rPr>
          <w:rFonts w:ascii="Times New Roman" w:hAnsi="Times New Roman" w:cs="Times New Roman"/>
          <w:lang w:val="mk-MK"/>
        </w:rPr>
        <w:t>С</w:t>
      </w:r>
      <w:r w:rsidR="00235167" w:rsidRPr="0068632F">
        <w:rPr>
          <w:rFonts w:ascii="Times New Roman" w:hAnsi="Times New Roman" w:cs="Times New Roman"/>
        </w:rPr>
        <w:t>амо акционерите имаат заштитено право на дивиденда и управување</w:t>
      </w:r>
      <w:r w:rsidR="00235167" w:rsidRPr="0068632F">
        <w:rPr>
          <w:rFonts w:ascii="Times New Roman" w:hAnsi="Times New Roman" w:cs="Times New Roman"/>
          <w:lang w:val="mk-MK"/>
        </w:rPr>
        <w:t>.</w:t>
      </w:r>
    </w:p>
  </w:footnote>
  <w:footnote w:id="875">
    <w:p w14:paraId="3D5A09EF" w14:textId="33FB1A5B" w:rsidR="00A41894" w:rsidRPr="0068632F" w:rsidRDefault="00A4189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2305C" w:rsidRPr="0068632F">
        <w:rPr>
          <w:rFonts w:ascii="Times New Roman" w:hAnsi="Times New Roman" w:cs="Times New Roman"/>
        </w:rPr>
        <w:t>Прва, Втора, Четврта, Седма, Осма, Единаесетта и Дванаесетта Директива</w:t>
      </w:r>
      <w:r w:rsidR="0002305C" w:rsidRPr="0068632F">
        <w:rPr>
          <w:rFonts w:ascii="Times New Roman" w:hAnsi="Times New Roman" w:cs="Times New Roman"/>
          <w:lang w:val="mk-MK"/>
        </w:rPr>
        <w:t>.</w:t>
      </w:r>
    </w:p>
  </w:footnote>
  <w:footnote w:id="876">
    <w:p w14:paraId="761F7DF2" w14:textId="041938B6" w:rsidR="00230F2A" w:rsidRPr="0068632F" w:rsidRDefault="00230F2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717E1" w:rsidRPr="0068632F">
        <w:rPr>
          <w:rFonts w:ascii="Times New Roman" w:hAnsi="Times New Roman" w:cs="Times New Roman"/>
        </w:rPr>
        <w:t>Трета, Шеста, Десетта, Тринаесетта Директива и предвидените, но неусвоени Петта и Деветта Директива</w:t>
      </w:r>
      <w:r w:rsidR="00C717E1" w:rsidRPr="0068632F">
        <w:rPr>
          <w:rFonts w:ascii="Times New Roman" w:hAnsi="Times New Roman" w:cs="Times New Roman"/>
          <w:lang w:val="mk-MK"/>
        </w:rPr>
        <w:t>.</w:t>
      </w:r>
    </w:p>
  </w:footnote>
  <w:footnote w:id="877">
    <w:p w14:paraId="1F50D7C1" w14:textId="351B7E2B" w:rsidR="00B538AE" w:rsidRPr="0068632F" w:rsidRDefault="00B538A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C44AD" w:rsidRPr="0068632F">
        <w:rPr>
          <w:rFonts w:ascii="Times New Roman" w:hAnsi="Times New Roman" w:cs="Times New Roman"/>
        </w:rPr>
        <w:t>LSE Law, 2024</w:t>
      </w:r>
      <w:r w:rsidR="006C44AD" w:rsidRPr="0068632F">
        <w:rPr>
          <w:rFonts w:ascii="Times New Roman" w:hAnsi="Times New Roman" w:cs="Times New Roman"/>
          <w:lang w:val="mk-MK"/>
        </w:rPr>
        <w:t>.</w:t>
      </w:r>
    </w:p>
  </w:footnote>
  <w:footnote w:id="878">
    <w:p w14:paraId="10F940C2" w14:textId="0ECC6A01" w:rsidR="00046203" w:rsidRPr="0068632F" w:rsidRDefault="0004620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2436A" w:rsidRPr="0068632F">
        <w:rPr>
          <w:rFonts w:ascii="Times New Roman" w:hAnsi="Times New Roman" w:cs="Times New Roman"/>
        </w:rPr>
        <w:t>Seifert, 2017; Keller и Rosenbohm, 2020, цитирано кај ETUI, 2023</w:t>
      </w:r>
      <w:r w:rsidR="0052436A" w:rsidRPr="0068632F">
        <w:rPr>
          <w:rFonts w:ascii="Times New Roman" w:hAnsi="Times New Roman" w:cs="Times New Roman"/>
          <w:lang w:val="mk-MK"/>
        </w:rPr>
        <w:t>.</w:t>
      </w:r>
    </w:p>
  </w:footnote>
  <w:footnote w:id="879">
    <w:p w14:paraId="7AA13BBA" w14:textId="39E7E7D2" w:rsidR="00A661D0" w:rsidRPr="0068632F" w:rsidRDefault="00A661D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ETUI, 2023</w:t>
      </w:r>
      <w:r w:rsidRPr="0068632F">
        <w:rPr>
          <w:rFonts w:ascii="Times New Roman" w:hAnsi="Times New Roman" w:cs="Times New Roman"/>
          <w:lang w:val="mk-MK"/>
        </w:rPr>
        <w:t>.</w:t>
      </w:r>
    </w:p>
  </w:footnote>
  <w:footnote w:id="880">
    <w:p w14:paraId="46CBA974" w14:textId="02A23C67" w:rsidR="00424EC0" w:rsidRPr="0068632F" w:rsidRDefault="00424EC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6619C" w:rsidRPr="0068632F">
        <w:rPr>
          <w:rFonts w:ascii="Times New Roman" w:hAnsi="Times New Roman" w:cs="Times New Roman"/>
          <w:lang w:val="mk-MK"/>
        </w:rPr>
        <w:t>Член 527 став 1 од ЗТД.</w:t>
      </w:r>
    </w:p>
  </w:footnote>
  <w:footnote w:id="881">
    <w:p w14:paraId="16C1033B" w14:textId="196D77AB" w:rsidR="000113C2" w:rsidRPr="0068632F" w:rsidRDefault="000113C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35082" w:rsidRPr="0068632F">
        <w:rPr>
          <w:rFonts w:ascii="Times New Roman" w:hAnsi="Times New Roman" w:cs="Times New Roman"/>
          <w:lang w:val="mk-MK"/>
        </w:rPr>
        <w:t>Член 535 од ЗТД.</w:t>
      </w:r>
    </w:p>
  </w:footnote>
  <w:footnote w:id="882">
    <w:p w14:paraId="33185C94" w14:textId="4DA8285C" w:rsidR="0028644E" w:rsidRPr="0068632F" w:rsidRDefault="0028644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A7CFF" w:rsidRPr="0068632F">
        <w:rPr>
          <w:rFonts w:ascii="Times New Roman" w:hAnsi="Times New Roman" w:cs="Times New Roman"/>
          <w:lang w:val="mk-MK"/>
        </w:rPr>
        <w:t xml:space="preserve">Член </w:t>
      </w:r>
      <w:r w:rsidR="001534FC" w:rsidRPr="0068632F">
        <w:rPr>
          <w:rFonts w:ascii="Times New Roman" w:hAnsi="Times New Roman" w:cs="Times New Roman"/>
          <w:lang w:val="mk-MK"/>
        </w:rPr>
        <w:t>32</w:t>
      </w:r>
      <w:r w:rsidR="009234E2" w:rsidRPr="0068632F">
        <w:rPr>
          <w:rFonts w:ascii="Times New Roman" w:hAnsi="Times New Roman" w:cs="Times New Roman"/>
          <w:lang w:val="mk-MK"/>
        </w:rPr>
        <w:t xml:space="preserve"> став 1</w:t>
      </w:r>
      <w:r w:rsidR="009A7CFF" w:rsidRPr="0068632F">
        <w:rPr>
          <w:rFonts w:ascii="Times New Roman" w:hAnsi="Times New Roman" w:cs="Times New Roman"/>
          <w:lang w:val="mk-MK"/>
        </w:rPr>
        <w:t xml:space="preserve"> од Законот за преземање на акционерски друштва</w:t>
      </w:r>
      <w:r w:rsidR="009234E2" w:rsidRPr="0068632F">
        <w:rPr>
          <w:rFonts w:ascii="Times New Roman" w:hAnsi="Times New Roman" w:cs="Times New Roman"/>
          <w:lang w:val="mk-MK"/>
        </w:rPr>
        <w:t xml:space="preserve"> </w:t>
      </w:r>
      <w:r w:rsidR="009A7CFF" w:rsidRPr="0068632F">
        <w:rPr>
          <w:rFonts w:ascii="Times New Roman" w:hAnsi="Times New Roman" w:cs="Times New Roman"/>
          <w:lang w:val="mk-MK"/>
        </w:rPr>
        <w:t>(„Службен весник на Република Македонија“ бр. 69/13, 188/13, 166/14, 154/15, 23/16 и 248/18 и „Службен весник на Република Северна Македонија“ бр. 31/20).</w:t>
      </w:r>
    </w:p>
  </w:footnote>
  <w:footnote w:id="883">
    <w:p w14:paraId="08958058" w14:textId="572033BA" w:rsidR="009234E2" w:rsidRPr="0068632F" w:rsidRDefault="009234E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81357" w:rsidRPr="0068632F">
        <w:rPr>
          <w:rFonts w:ascii="Times New Roman" w:hAnsi="Times New Roman" w:cs="Times New Roman"/>
          <w:lang w:val="mk-MK"/>
        </w:rPr>
        <w:t>Член 32 ставови 2, 3, 4 и 5 од Законот за преземање на акционерски друштва.</w:t>
      </w:r>
    </w:p>
  </w:footnote>
  <w:footnote w:id="884">
    <w:p w14:paraId="0AB56174" w14:textId="23AFE23A" w:rsidR="00791030" w:rsidRPr="0068632F" w:rsidRDefault="0079103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A5513" w:rsidRPr="0068632F">
        <w:rPr>
          <w:rFonts w:ascii="Times New Roman" w:hAnsi="Times New Roman" w:cs="Times New Roman"/>
        </w:rPr>
        <w:t>PEPPER I: Promotion of Employee Participation in Profits and Enterprise Results</w:t>
      </w:r>
      <w:r w:rsidR="001A5513" w:rsidRPr="0068632F">
        <w:rPr>
          <w:rFonts w:ascii="Times New Roman" w:hAnsi="Times New Roman" w:cs="Times New Roman"/>
          <w:lang w:val="mk-MK"/>
        </w:rPr>
        <w:t>.</w:t>
      </w:r>
    </w:p>
  </w:footnote>
  <w:footnote w:id="885">
    <w:p w14:paraId="3A7BC8BF" w14:textId="3C1BED2A" w:rsidR="00557F0C" w:rsidRPr="0068632F" w:rsidRDefault="00557F0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A433D" w:rsidRPr="0068632F">
        <w:rPr>
          <w:rFonts w:ascii="Times New Roman" w:hAnsi="Times New Roman" w:cs="Times New Roman"/>
        </w:rPr>
        <w:t>Lowitzsch, Hashi</w:t>
      </w:r>
      <w:r w:rsidR="00EA433D" w:rsidRPr="0068632F">
        <w:rPr>
          <w:rFonts w:ascii="Times New Roman" w:hAnsi="Times New Roman" w:cs="Times New Roman"/>
          <w:lang w:val="mk-MK"/>
        </w:rPr>
        <w:t xml:space="preserve"> </w:t>
      </w:r>
      <w:r w:rsidR="00EA433D" w:rsidRPr="0068632F">
        <w:rPr>
          <w:rFonts w:ascii="Times New Roman" w:hAnsi="Times New Roman" w:cs="Times New Roman"/>
          <w:lang w:val="en-US"/>
        </w:rPr>
        <w:t>&amp;</w:t>
      </w:r>
      <w:r w:rsidR="00EA433D" w:rsidRPr="0068632F">
        <w:rPr>
          <w:rFonts w:ascii="Times New Roman" w:hAnsi="Times New Roman" w:cs="Times New Roman"/>
        </w:rPr>
        <w:t xml:space="preserve"> Woodward, 2009</w:t>
      </w:r>
      <w:r w:rsidR="00EA433D" w:rsidRPr="0068632F">
        <w:rPr>
          <w:rFonts w:ascii="Times New Roman" w:hAnsi="Times New Roman" w:cs="Times New Roman"/>
          <w:lang w:val="en-US"/>
        </w:rPr>
        <w:t>.</w:t>
      </w:r>
    </w:p>
  </w:footnote>
  <w:footnote w:id="886">
    <w:p w14:paraId="5817C7FE" w14:textId="150EAD0A" w:rsidR="003A2D1B" w:rsidRPr="0068632F" w:rsidRDefault="003A2D1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61D30" w:rsidRPr="0068632F">
        <w:rPr>
          <w:rFonts w:ascii="Times New Roman" w:hAnsi="Times New Roman" w:cs="Times New Roman"/>
        </w:rPr>
        <w:t>Eurofound, 2010</w:t>
      </w:r>
      <w:r w:rsidR="00261D30" w:rsidRPr="0068632F">
        <w:rPr>
          <w:rFonts w:ascii="Times New Roman" w:hAnsi="Times New Roman" w:cs="Times New Roman"/>
          <w:lang w:val="mk-MK"/>
        </w:rPr>
        <w:t>.</w:t>
      </w:r>
    </w:p>
  </w:footnote>
  <w:footnote w:id="887">
    <w:p w14:paraId="75C965DA" w14:textId="6E95599E" w:rsidR="00356DD7" w:rsidRPr="0068632F" w:rsidRDefault="00356DD7"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85736" w:rsidRPr="0068632F">
        <w:rPr>
          <w:rFonts w:ascii="Times New Roman" w:hAnsi="Times New Roman" w:cs="Times New Roman"/>
        </w:rPr>
        <w:t>Eurofound, 2010</w:t>
      </w:r>
      <w:r w:rsidR="00285736" w:rsidRPr="0068632F">
        <w:rPr>
          <w:rFonts w:ascii="Times New Roman" w:hAnsi="Times New Roman" w:cs="Times New Roman"/>
          <w:lang w:val="mk-MK"/>
        </w:rPr>
        <w:t>.</w:t>
      </w:r>
    </w:p>
  </w:footnote>
  <w:footnote w:id="888">
    <w:p w14:paraId="1D5DCC9C" w14:textId="0EF07256" w:rsidR="003360A0" w:rsidRPr="0068632F" w:rsidRDefault="003360A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Европски парламент, A8-0293/2018</w:t>
      </w:r>
      <w:r w:rsidRPr="0068632F">
        <w:rPr>
          <w:rFonts w:ascii="Times New Roman" w:hAnsi="Times New Roman" w:cs="Times New Roman"/>
          <w:lang w:val="mk-MK"/>
        </w:rPr>
        <w:t>.</w:t>
      </w:r>
    </w:p>
  </w:footnote>
  <w:footnote w:id="889">
    <w:p w14:paraId="5123493B" w14:textId="66956C77" w:rsidR="003360A0" w:rsidRPr="0068632F" w:rsidRDefault="003360A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56DD7" w:rsidRPr="0068632F">
        <w:rPr>
          <w:rFonts w:ascii="Times New Roman" w:hAnsi="Times New Roman" w:cs="Times New Roman"/>
        </w:rPr>
        <w:t>Европски парламент, 2018</w:t>
      </w:r>
      <w:r w:rsidR="00356DD7" w:rsidRPr="0068632F">
        <w:rPr>
          <w:rFonts w:ascii="Times New Roman" w:hAnsi="Times New Roman" w:cs="Times New Roman"/>
          <w:lang w:val="mk-MK"/>
        </w:rPr>
        <w:t>.</w:t>
      </w:r>
    </w:p>
  </w:footnote>
  <w:footnote w:id="890">
    <w:p w14:paraId="70C6F672" w14:textId="25B6D9F2" w:rsidR="00AA4915" w:rsidRPr="0068632F" w:rsidRDefault="00AA4915"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E5C25" w:rsidRPr="0068632F">
        <w:rPr>
          <w:rFonts w:ascii="Times New Roman" w:hAnsi="Times New Roman" w:cs="Times New Roman"/>
        </w:rPr>
        <w:t xml:space="preserve">Lowitzsch </w:t>
      </w:r>
      <w:r w:rsidR="00AE5C25" w:rsidRPr="0068632F">
        <w:rPr>
          <w:rFonts w:ascii="Times New Roman" w:hAnsi="Times New Roman" w:cs="Times New Roman"/>
          <w:lang w:val="en-US"/>
        </w:rPr>
        <w:t>&amp;</w:t>
      </w:r>
      <w:r w:rsidR="00AE5C25" w:rsidRPr="0068632F">
        <w:rPr>
          <w:rFonts w:ascii="Times New Roman" w:hAnsi="Times New Roman" w:cs="Times New Roman"/>
        </w:rPr>
        <w:t xml:space="preserve"> Hashi, 2024</w:t>
      </w:r>
      <w:r w:rsidR="00AE5C25" w:rsidRPr="0068632F">
        <w:rPr>
          <w:rFonts w:ascii="Times New Roman" w:hAnsi="Times New Roman" w:cs="Times New Roman"/>
          <w:lang w:val="en-US"/>
        </w:rPr>
        <w:t>.</w:t>
      </w:r>
    </w:p>
  </w:footnote>
  <w:footnote w:id="891">
    <w:p w14:paraId="6FE56E7A" w14:textId="5DBB095E" w:rsidR="00642570" w:rsidRPr="0068632F" w:rsidRDefault="0064257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9001C" w:rsidRPr="0068632F">
        <w:rPr>
          <w:rFonts w:ascii="Times New Roman" w:hAnsi="Times New Roman" w:cs="Times New Roman"/>
        </w:rPr>
        <w:t>Европски Парламент, A8-0293/2018</w:t>
      </w:r>
      <w:r w:rsidR="0049001C" w:rsidRPr="0068632F">
        <w:rPr>
          <w:rFonts w:ascii="Times New Roman" w:hAnsi="Times New Roman" w:cs="Times New Roman"/>
          <w:lang w:val="mk-MK"/>
        </w:rPr>
        <w:t>.</w:t>
      </w:r>
    </w:p>
  </w:footnote>
  <w:footnote w:id="892">
    <w:p w14:paraId="0086899B" w14:textId="1818A2C4" w:rsidR="00E33124" w:rsidRPr="0068632F" w:rsidRDefault="00E3312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73CA0" w:rsidRPr="0068632F">
        <w:rPr>
          <w:rFonts w:ascii="Times New Roman" w:hAnsi="Times New Roman" w:cs="Times New Roman"/>
        </w:rPr>
        <w:t>EFES, 2017, цитирано кај Efesonline, 2018</w:t>
      </w:r>
      <w:r w:rsidR="00C73CA0" w:rsidRPr="0068632F">
        <w:rPr>
          <w:rFonts w:ascii="Times New Roman" w:hAnsi="Times New Roman" w:cs="Times New Roman"/>
          <w:lang w:val="mk-MK"/>
        </w:rPr>
        <w:t>.</w:t>
      </w:r>
    </w:p>
  </w:footnote>
  <w:footnote w:id="893">
    <w:p w14:paraId="714E4A26" w14:textId="39C3CD95" w:rsidR="000C254C" w:rsidRPr="0068632F" w:rsidRDefault="000C254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65B08" w:rsidRPr="0068632F">
        <w:rPr>
          <w:rFonts w:ascii="Times New Roman" w:hAnsi="Times New Roman" w:cs="Times New Roman"/>
          <w:lang w:val="mk-MK"/>
        </w:rPr>
        <w:t>ОЕЦД Принципи, 2004.</w:t>
      </w:r>
    </w:p>
  </w:footnote>
  <w:footnote w:id="894">
    <w:p w14:paraId="76A073B8" w14:textId="681EDD0A" w:rsidR="000E006B" w:rsidRPr="0068632F" w:rsidRDefault="000E006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33053" w:rsidRPr="0068632F">
        <w:rPr>
          <w:rFonts w:ascii="Times New Roman" w:hAnsi="Times New Roman" w:cs="Times New Roman"/>
          <w:lang w:val="mk-MK"/>
        </w:rPr>
        <w:t>Вклучувајќи п</w:t>
      </w:r>
      <w:r w:rsidR="00D33053" w:rsidRPr="0068632F">
        <w:rPr>
          <w:rFonts w:ascii="Times New Roman" w:hAnsi="Times New Roman" w:cs="Times New Roman"/>
        </w:rPr>
        <w:t>лата, надоместоци, бонус</w:t>
      </w:r>
      <w:r w:rsidR="00D33053" w:rsidRPr="0068632F">
        <w:rPr>
          <w:rFonts w:ascii="Times New Roman" w:hAnsi="Times New Roman" w:cs="Times New Roman"/>
          <w:lang w:val="mk-MK"/>
        </w:rPr>
        <w:t>и</w:t>
      </w:r>
      <w:r w:rsidR="00D33053" w:rsidRPr="0068632F">
        <w:rPr>
          <w:rFonts w:ascii="Times New Roman" w:hAnsi="Times New Roman" w:cs="Times New Roman"/>
        </w:rPr>
        <w:t>, осигурувања и други права</w:t>
      </w:r>
      <w:r w:rsidR="00D33053" w:rsidRPr="0068632F">
        <w:rPr>
          <w:rFonts w:ascii="Times New Roman" w:hAnsi="Times New Roman" w:cs="Times New Roman"/>
          <w:lang w:val="mk-MK"/>
        </w:rPr>
        <w:t>.</w:t>
      </w:r>
    </w:p>
  </w:footnote>
  <w:footnote w:id="895">
    <w:p w14:paraId="38B8491A" w14:textId="30582AFD" w:rsidR="00BA5B7F" w:rsidRPr="0068632F" w:rsidRDefault="00BA5B7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E5D75" w:rsidRPr="0068632F">
        <w:rPr>
          <w:rFonts w:ascii="Times New Roman" w:hAnsi="Times New Roman" w:cs="Times New Roman"/>
          <w:lang w:val="mk-MK"/>
        </w:rPr>
        <w:t xml:space="preserve">Член 406 од ЗТД. </w:t>
      </w:r>
    </w:p>
  </w:footnote>
  <w:footnote w:id="896">
    <w:p w14:paraId="5C87C1FB" w14:textId="5EF997E4" w:rsidR="001A5C1E" w:rsidRPr="0068632F" w:rsidRDefault="001A5C1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482 од ЗТД.</w:t>
      </w:r>
    </w:p>
  </w:footnote>
  <w:footnote w:id="897">
    <w:p w14:paraId="6AC4F59A" w14:textId="6638B26F" w:rsidR="001643E3" w:rsidRPr="0068632F" w:rsidRDefault="001643E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500D1" w:rsidRPr="0068632F">
        <w:rPr>
          <w:rFonts w:ascii="Times New Roman" w:hAnsi="Times New Roman" w:cs="Times New Roman"/>
        </w:rPr>
        <w:t>2007/36/ЕЗ</w:t>
      </w:r>
      <w:r w:rsidR="008500D1" w:rsidRPr="0068632F">
        <w:rPr>
          <w:rFonts w:ascii="Times New Roman" w:hAnsi="Times New Roman" w:cs="Times New Roman"/>
          <w:lang w:val="mk-MK"/>
        </w:rPr>
        <w:t>.</w:t>
      </w:r>
    </w:p>
  </w:footnote>
  <w:footnote w:id="898">
    <w:p w14:paraId="0E19AA00" w14:textId="7C22A6AB" w:rsidR="00E63CFD" w:rsidRPr="0068632F" w:rsidRDefault="00E63CF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91CF8" w:rsidRPr="0068632F">
        <w:rPr>
          <w:rFonts w:ascii="Times New Roman" w:hAnsi="Times New Roman" w:cs="Times New Roman"/>
        </w:rPr>
        <w:t>Коевски, 2011</w:t>
      </w:r>
      <w:r w:rsidR="00F91CF8" w:rsidRPr="0068632F">
        <w:rPr>
          <w:rFonts w:ascii="Times New Roman" w:hAnsi="Times New Roman" w:cs="Times New Roman"/>
          <w:lang w:val="mk-MK"/>
        </w:rPr>
        <w:t>.</w:t>
      </w:r>
    </w:p>
  </w:footnote>
  <w:footnote w:id="899">
    <w:p w14:paraId="54462ED7" w14:textId="6CA990D4" w:rsidR="00D323FA" w:rsidRPr="0068632F" w:rsidRDefault="00D323F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935EA" w:rsidRPr="0068632F">
        <w:rPr>
          <w:rFonts w:ascii="Times New Roman" w:hAnsi="Times New Roman" w:cs="Times New Roman"/>
          <w:lang w:val="mk-MK"/>
        </w:rPr>
        <w:t>Член 166 став 1 од Законот за хартии од вредност („Службен весник на Република Македонија“ бр. 95/05, 25/07, 7/08, 57/10, 135/11, 13/13, 188/13, 43/14, 15/15, 154/15, 192/15, 23/16, 83/18 и 83/18 и „Службен весник на Република Северна Македонија“ бр. 31/20, 288/21, 53/24 и 3/25).</w:t>
      </w:r>
    </w:p>
  </w:footnote>
  <w:footnote w:id="900">
    <w:p w14:paraId="63A0E3E2" w14:textId="0F668FDB" w:rsidR="00865A93" w:rsidRPr="0068632F" w:rsidRDefault="00865A9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935EA" w:rsidRPr="0068632F">
        <w:rPr>
          <w:rFonts w:ascii="Times New Roman" w:hAnsi="Times New Roman" w:cs="Times New Roman"/>
          <w:lang w:val="mk-MK"/>
        </w:rPr>
        <w:t>Член 166 ставови 2 и 3 од Законот за хартии од вредност.</w:t>
      </w:r>
    </w:p>
  </w:footnote>
  <w:footnote w:id="901">
    <w:p w14:paraId="432DDBDA" w14:textId="3D8271C9" w:rsidR="00786FD0" w:rsidRPr="0068632F" w:rsidRDefault="00786FD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D7336" w:rsidRPr="0068632F">
        <w:rPr>
          <w:rFonts w:ascii="Times New Roman" w:hAnsi="Times New Roman" w:cs="Times New Roman"/>
        </w:rPr>
        <w:t xml:space="preserve">Lowitzsch </w:t>
      </w:r>
      <w:r w:rsidR="004D7336" w:rsidRPr="0068632F">
        <w:rPr>
          <w:rFonts w:ascii="Times New Roman" w:hAnsi="Times New Roman" w:cs="Times New Roman"/>
          <w:lang w:val="en-US"/>
        </w:rPr>
        <w:t>&amp;</w:t>
      </w:r>
      <w:r w:rsidR="004D7336" w:rsidRPr="0068632F">
        <w:rPr>
          <w:rFonts w:ascii="Times New Roman" w:hAnsi="Times New Roman" w:cs="Times New Roman"/>
        </w:rPr>
        <w:t xml:space="preserve"> Hashi, 2024</w:t>
      </w:r>
      <w:r w:rsidR="004D7336" w:rsidRPr="0068632F">
        <w:rPr>
          <w:rFonts w:ascii="Times New Roman" w:hAnsi="Times New Roman" w:cs="Times New Roman"/>
          <w:lang w:val="en-US"/>
        </w:rPr>
        <w:t>.</w:t>
      </w:r>
    </w:p>
  </w:footnote>
  <w:footnote w:id="902">
    <w:p w14:paraId="21176353" w14:textId="53001C71" w:rsidR="00C64DF1" w:rsidRPr="0068632F" w:rsidRDefault="00C64DF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Член 174 од Законот за хартии од вредност.</w:t>
      </w:r>
    </w:p>
  </w:footnote>
  <w:footnote w:id="903">
    <w:p w14:paraId="65E7176A" w14:textId="6AC2834D" w:rsidR="001A54FC" w:rsidRPr="0068632F" w:rsidRDefault="001A54F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26E96" w:rsidRPr="0068632F">
        <w:rPr>
          <w:rFonts w:ascii="Times New Roman" w:hAnsi="Times New Roman" w:cs="Times New Roman"/>
          <w:lang w:val="mk-MK"/>
        </w:rPr>
        <w:t>Член 361 од ЗТД.</w:t>
      </w:r>
    </w:p>
  </w:footnote>
  <w:footnote w:id="904">
    <w:p w14:paraId="362D38AE" w14:textId="5F9CB136" w:rsidR="00FB24B3" w:rsidRPr="0068632F" w:rsidRDefault="00FB24B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F6938" w:rsidRPr="0068632F">
        <w:rPr>
          <w:rFonts w:ascii="Times New Roman" w:hAnsi="Times New Roman" w:cs="Times New Roman"/>
          <w:lang w:val="mk-MK"/>
        </w:rPr>
        <w:t>Ч</w:t>
      </w:r>
      <w:r w:rsidR="000F6938" w:rsidRPr="0068632F">
        <w:rPr>
          <w:rFonts w:ascii="Times New Roman" w:hAnsi="Times New Roman" w:cs="Times New Roman"/>
        </w:rPr>
        <w:t>лен 281 од Кривичниот законик</w:t>
      </w:r>
      <w:r w:rsidR="000F6938" w:rsidRPr="0068632F">
        <w:rPr>
          <w:rFonts w:ascii="Times New Roman" w:hAnsi="Times New Roman" w:cs="Times New Roman"/>
          <w:lang w:val="mk-MK"/>
        </w:rPr>
        <w:t>.</w:t>
      </w:r>
    </w:p>
  </w:footnote>
  <w:footnote w:id="905">
    <w:p w14:paraId="4D78695B" w14:textId="704C2595" w:rsidR="00673CFD" w:rsidRPr="0068632F" w:rsidRDefault="00673CFD"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122AD" w:rsidRPr="0068632F">
        <w:rPr>
          <w:rFonts w:ascii="Times New Roman" w:hAnsi="Times New Roman" w:cs="Times New Roman"/>
        </w:rPr>
        <w:t>77/91/ЕЕЗ</w:t>
      </w:r>
      <w:r w:rsidR="009122AD" w:rsidRPr="0068632F">
        <w:rPr>
          <w:rFonts w:ascii="Times New Roman" w:hAnsi="Times New Roman" w:cs="Times New Roman"/>
          <w:lang w:val="en-US"/>
        </w:rPr>
        <w:t>.</w:t>
      </w:r>
    </w:p>
  </w:footnote>
  <w:footnote w:id="906">
    <w:p w14:paraId="356C8AB9" w14:textId="3697DC24" w:rsidR="004A691D" w:rsidRPr="0068632F" w:rsidRDefault="004A691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D50D0" w:rsidRPr="0068632F">
        <w:rPr>
          <w:rFonts w:ascii="Times New Roman" w:hAnsi="Times New Roman" w:cs="Times New Roman"/>
          <w:lang w:val="mk-MK"/>
        </w:rPr>
        <w:t>Член 337 од ЗТД.</w:t>
      </w:r>
    </w:p>
  </w:footnote>
  <w:footnote w:id="907">
    <w:p w14:paraId="39E2B583" w14:textId="4DA666CE" w:rsidR="00495743" w:rsidRPr="0068632F" w:rsidRDefault="00495743"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D50D0" w:rsidRPr="0068632F">
        <w:rPr>
          <w:rFonts w:ascii="Times New Roman" w:hAnsi="Times New Roman" w:cs="Times New Roman"/>
          <w:lang w:val="mk-MK"/>
        </w:rPr>
        <w:t>Член 339 од ЗТД.</w:t>
      </w:r>
    </w:p>
  </w:footnote>
  <w:footnote w:id="908">
    <w:p w14:paraId="6B690030" w14:textId="2387E8BC" w:rsidR="00C12354" w:rsidRPr="0068632F" w:rsidRDefault="00C1235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D13BB" w:rsidRPr="0068632F">
        <w:rPr>
          <w:rFonts w:ascii="Times New Roman" w:hAnsi="Times New Roman" w:cs="Times New Roman"/>
        </w:rPr>
        <w:t xml:space="preserve">Lowitzsch </w:t>
      </w:r>
      <w:r w:rsidR="006D13BB" w:rsidRPr="0068632F">
        <w:rPr>
          <w:rFonts w:ascii="Times New Roman" w:hAnsi="Times New Roman" w:cs="Times New Roman"/>
          <w:lang w:val="en-US"/>
        </w:rPr>
        <w:t>&amp;</w:t>
      </w:r>
      <w:r w:rsidR="006D13BB" w:rsidRPr="0068632F">
        <w:rPr>
          <w:rFonts w:ascii="Times New Roman" w:hAnsi="Times New Roman" w:cs="Times New Roman"/>
        </w:rPr>
        <w:t xml:space="preserve"> Hashi, 2024</w:t>
      </w:r>
      <w:r w:rsidR="006D13BB" w:rsidRPr="0068632F">
        <w:rPr>
          <w:rFonts w:ascii="Times New Roman" w:hAnsi="Times New Roman" w:cs="Times New Roman"/>
          <w:lang w:val="mk-MK"/>
        </w:rPr>
        <w:t>.</w:t>
      </w:r>
    </w:p>
  </w:footnote>
  <w:footnote w:id="909">
    <w:p w14:paraId="349794B5" w14:textId="6A894D4D" w:rsidR="00430268" w:rsidRPr="0068632F" w:rsidRDefault="0043026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BB75A3" w:rsidRPr="0068632F">
        <w:rPr>
          <w:rFonts w:ascii="Times New Roman" w:hAnsi="Times New Roman" w:cs="Times New Roman"/>
        </w:rPr>
        <w:t>Freeman, 2015, цитирано кај Lowitzsch и Hashi, 2024</w:t>
      </w:r>
      <w:r w:rsidR="00BB75A3" w:rsidRPr="0068632F">
        <w:rPr>
          <w:rFonts w:ascii="Times New Roman" w:hAnsi="Times New Roman" w:cs="Times New Roman"/>
          <w:lang w:val="mk-MK"/>
        </w:rPr>
        <w:t>.</w:t>
      </w:r>
    </w:p>
  </w:footnote>
  <w:footnote w:id="910">
    <w:p w14:paraId="2892D0AF" w14:textId="6009B9B3" w:rsidR="00F60944" w:rsidRPr="0068632F" w:rsidRDefault="00F6094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B4D55" w:rsidRPr="0068632F">
        <w:rPr>
          <w:rFonts w:ascii="Times New Roman" w:hAnsi="Times New Roman" w:cs="Times New Roman"/>
          <w:lang w:val="mk-MK"/>
        </w:rPr>
        <w:t>В</w:t>
      </w:r>
      <w:r w:rsidR="008B4D55" w:rsidRPr="0068632F">
        <w:rPr>
          <w:rFonts w:ascii="Times New Roman" w:hAnsi="Times New Roman" w:cs="Times New Roman"/>
        </w:rPr>
        <w:t>клучувајќи го и идниот „заеднички европски ESOP режим" предложен во PEPPER V</w:t>
      </w:r>
      <w:r w:rsidR="008B4D55" w:rsidRPr="0068632F">
        <w:rPr>
          <w:rFonts w:ascii="Times New Roman" w:hAnsi="Times New Roman" w:cs="Times New Roman"/>
          <w:lang w:val="mk-MK"/>
        </w:rPr>
        <w:t>.</w:t>
      </w:r>
    </w:p>
  </w:footnote>
  <w:footnote w:id="911">
    <w:p w14:paraId="0AC18AEC" w14:textId="7DA60353" w:rsidR="008F309E" w:rsidRPr="0068632F" w:rsidRDefault="008F309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561D2" w:rsidRPr="0068632F">
        <w:rPr>
          <w:rFonts w:ascii="Times New Roman" w:hAnsi="Times New Roman" w:cs="Times New Roman"/>
        </w:rPr>
        <w:t xml:space="preserve">Lowitzsch </w:t>
      </w:r>
      <w:r w:rsidR="003561D2" w:rsidRPr="0068632F">
        <w:rPr>
          <w:rFonts w:ascii="Times New Roman" w:hAnsi="Times New Roman" w:cs="Times New Roman"/>
          <w:lang w:val="en-US"/>
        </w:rPr>
        <w:t>&amp;</w:t>
      </w:r>
      <w:r w:rsidR="003561D2" w:rsidRPr="0068632F">
        <w:rPr>
          <w:rFonts w:ascii="Times New Roman" w:hAnsi="Times New Roman" w:cs="Times New Roman"/>
        </w:rPr>
        <w:t xml:space="preserve"> Hashi, 2024</w:t>
      </w:r>
      <w:r w:rsidR="003561D2" w:rsidRPr="0068632F">
        <w:rPr>
          <w:rFonts w:ascii="Times New Roman" w:hAnsi="Times New Roman" w:cs="Times New Roman"/>
          <w:lang w:val="en-US"/>
        </w:rPr>
        <w:t xml:space="preserve">. </w:t>
      </w:r>
    </w:p>
  </w:footnote>
  <w:footnote w:id="912">
    <w:p w14:paraId="35C9AF60" w14:textId="34313182" w:rsidR="008236E8" w:rsidRPr="0068632F" w:rsidRDefault="008236E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4577A" w:rsidRPr="0068632F">
        <w:rPr>
          <w:rFonts w:ascii="Times New Roman" w:hAnsi="Times New Roman" w:cs="Times New Roman"/>
        </w:rPr>
        <w:t>Koevski, G., &amp; Spasevski, D., 2022</w:t>
      </w:r>
      <w:r w:rsidR="00E4577A" w:rsidRPr="0068632F">
        <w:rPr>
          <w:rFonts w:ascii="Times New Roman" w:hAnsi="Times New Roman" w:cs="Times New Roman"/>
          <w:lang w:val="mk-MK"/>
        </w:rPr>
        <w:t>.</w:t>
      </w:r>
    </w:p>
  </w:footnote>
  <w:footnote w:id="913">
    <w:p w14:paraId="75D09075" w14:textId="33462C52" w:rsidR="00F76298" w:rsidRPr="0068632F" w:rsidRDefault="00F762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Davies, P.L., &amp; Hopt, K.J., 2013</w:t>
      </w:r>
      <w:r w:rsidRPr="0068632F">
        <w:rPr>
          <w:rFonts w:ascii="Times New Roman" w:hAnsi="Times New Roman" w:cs="Times New Roman"/>
          <w:lang w:val="mk-MK"/>
        </w:rPr>
        <w:t>.</w:t>
      </w:r>
    </w:p>
  </w:footnote>
  <w:footnote w:id="914">
    <w:p w14:paraId="5E0C5C8C" w14:textId="557D547C" w:rsidR="00F76298" w:rsidRPr="0068632F" w:rsidRDefault="00F7629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D24AF" w:rsidRPr="0068632F">
        <w:rPr>
          <w:rFonts w:ascii="Times New Roman" w:hAnsi="Times New Roman" w:cs="Times New Roman"/>
        </w:rPr>
        <w:t>Hilb, M., 2020</w:t>
      </w:r>
      <w:r w:rsidR="000D24AF" w:rsidRPr="0068632F">
        <w:rPr>
          <w:rFonts w:ascii="Times New Roman" w:hAnsi="Times New Roman" w:cs="Times New Roman"/>
          <w:lang w:val="mk-MK"/>
        </w:rPr>
        <w:t>.</w:t>
      </w:r>
    </w:p>
  </w:footnote>
  <w:footnote w:id="915">
    <w:p w14:paraId="6314252A" w14:textId="27B28AB7" w:rsidR="003E13D3" w:rsidRPr="0068632F" w:rsidRDefault="003E13D3"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478EF" w:rsidRPr="0068632F">
        <w:rPr>
          <w:rFonts w:ascii="Times New Roman" w:hAnsi="Times New Roman" w:cs="Times New Roman"/>
        </w:rPr>
        <w:t>William L., and O'Sullivan M., 2000</w:t>
      </w:r>
      <w:r w:rsidR="00D478EF" w:rsidRPr="0068632F">
        <w:rPr>
          <w:rFonts w:ascii="Times New Roman" w:hAnsi="Times New Roman" w:cs="Times New Roman"/>
          <w:lang w:val="mk-MK"/>
        </w:rPr>
        <w:t>.</w:t>
      </w:r>
    </w:p>
  </w:footnote>
  <w:footnote w:id="916">
    <w:p w14:paraId="01494233" w14:textId="2A45BE3F" w:rsidR="003F4287" w:rsidRPr="0068632F" w:rsidRDefault="003F4287"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13C46" w:rsidRPr="0068632F">
        <w:rPr>
          <w:rFonts w:ascii="Times New Roman" w:hAnsi="Times New Roman" w:cs="Times New Roman"/>
        </w:rPr>
        <w:t>Frederick A., 2017</w:t>
      </w:r>
      <w:r w:rsidR="00513C46" w:rsidRPr="0068632F">
        <w:rPr>
          <w:rFonts w:ascii="Times New Roman" w:hAnsi="Times New Roman" w:cs="Times New Roman"/>
          <w:lang w:val="mk-MK"/>
        </w:rPr>
        <w:t>.</w:t>
      </w:r>
    </w:p>
  </w:footnote>
  <w:footnote w:id="917">
    <w:p w14:paraId="0EF7286B" w14:textId="3E70CC5E" w:rsidR="00011CB2" w:rsidRPr="0068632F" w:rsidRDefault="00011CB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Дел од овие наоди и литература беа објавени во форма на заеднички труд со проф. Дарко Спасевски.</w:t>
      </w:r>
    </w:p>
  </w:footnote>
  <w:footnote w:id="918">
    <w:p w14:paraId="3364F93D" w14:textId="7480AE19" w:rsidR="004E739C" w:rsidRPr="0068632F" w:rsidRDefault="004E739C"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Lessig, L., 2009</w:t>
      </w:r>
      <w:r w:rsidRPr="0068632F">
        <w:rPr>
          <w:rFonts w:ascii="Times New Roman" w:hAnsi="Times New Roman" w:cs="Times New Roman"/>
          <w:lang w:val="en-US"/>
        </w:rPr>
        <w:t>.</w:t>
      </w:r>
    </w:p>
  </w:footnote>
  <w:footnote w:id="919">
    <w:p w14:paraId="0362EA8F" w14:textId="5C8EEDF2" w:rsidR="007F6A7B" w:rsidRPr="0068632F" w:rsidRDefault="007F6A7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Yeung, K., 2018</w:t>
      </w:r>
      <w:r w:rsidRPr="0068632F">
        <w:rPr>
          <w:rFonts w:ascii="Times New Roman" w:hAnsi="Times New Roman" w:cs="Times New Roman"/>
          <w:lang w:val="mk-MK"/>
        </w:rPr>
        <w:t>.</w:t>
      </w:r>
    </w:p>
  </w:footnote>
  <w:footnote w:id="920">
    <w:p w14:paraId="304C51F8" w14:textId="6207DF19" w:rsidR="00777CC9" w:rsidRPr="0068632F" w:rsidRDefault="00777CC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A21D1" w:rsidRPr="0068632F">
        <w:rPr>
          <w:rFonts w:ascii="Times New Roman" w:hAnsi="Times New Roman" w:cs="Times New Roman"/>
        </w:rPr>
        <w:t>BlackRock, Inc., 2026</w:t>
      </w:r>
      <w:r w:rsidR="00EA21D1" w:rsidRPr="0068632F">
        <w:rPr>
          <w:rFonts w:ascii="Times New Roman" w:hAnsi="Times New Roman" w:cs="Times New Roman"/>
          <w:lang w:val="mk-MK"/>
        </w:rPr>
        <w:t xml:space="preserve">. </w:t>
      </w:r>
    </w:p>
  </w:footnote>
  <w:footnote w:id="921">
    <w:p w14:paraId="63C9607E" w14:textId="4E7AD134" w:rsidR="00E4500E" w:rsidRPr="0068632F" w:rsidRDefault="00E4500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459D3" w:rsidRPr="0068632F">
        <w:rPr>
          <w:rFonts w:ascii="Times New Roman" w:hAnsi="Times New Roman" w:cs="Times New Roman"/>
        </w:rPr>
        <w:t>Lessig, L., 2009</w:t>
      </w:r>
      <w:r w:rsidR="003459D3" w:rsidRPr="0068632F">
        <w:rPr>
          <w:rFonts w:ascii="Times New Roman" w:hAnsi="Times New Roman" w:cs="Times New Roman"/>
          <w:lang w:val="mk-MK"/>
        </w:rPr>
        <w:t>.</w:t>
      </w:r>
    </w:p>
  </w:footnote>
  <w:footnote w:id="922">
    <w:p w14:paraId="2AD83FE4" w14:textId="73980204" w:rsidR="00F951CF" w:rsidRPr="0068632F" w:rsidRDefault="00F951C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F19E9" w:rsidRPr="0068632F">
        <w:rPr>
          <w:rFonts w:ascii="Times New Roman" w:hAnsi="Times New Roman" w:cs="Times New Roman"/>
        </w:rPr>
        <w:t>Pasquale, F., 2015</w:t>
      </w:r>
      <w:r w:rsidR="00EF19E9" w:rsidRPr="0068632F">
        <w:rPr>
          <w:rFonts w:ascii="Times New Roman" w:hAnsi="Times New Roman" w:cs="Times New Roman"/>
          <w:lang w:val="mk-MK"/>
        </w:rPr>
        <w:t>.</w:t>
      </w:r>
    </w:p>
  </w:footnote>
  <w:footnote w:id="923">
    <w:p w14:paraId="7E0215D6" w14:textId="1B56091F" w:rsidR="00367372" w:rsidRPr="0068632F" w:rsidRDefault="0036737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9744E" w:rsidRPr="0068632F">
        <w:rPr>
          <w:rFonts w:ascii="Times New Roman" w:hAnsi="Times New Roman" w:cs="Times New Roman"/>
        </w:rPr>
        <w:t>Lessig, L., 2009</w:t>
      </w:r>
      <w:r w:rsidR="00D9744E" w:rsidRPr="0068632F">
        <w:rPr>
          <w:rFonts w:ascii="Times New Roman" w:hAnsi="Times New Roman" w:cs="Times New Roman"/>
          <w:lang w:val="mk-MK"/>
        </w:rPr>
        <w:t>.</w:t>
      </w:r>
    </w:p>
  </w:footnote>
  <w:footnote w:id="924">
    <w:p w14:paraId="0C81183E" w14:textId="15505ED7" w:rsidR="00A3219F" w:rsidRPr="0068632F" w:rsidRDefault="00A3219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Agbese, M., Mohanani, R., Khan, A., &amp; Abrahamsson, P., 2023</w:t>
      </w:r>
      <w:r w:rsidRPr="0068632F">
        <w:rPr>
          <w:rFonts w:ascii="Times New Roman" w:hAnsi="Times New Roman" w:cs="Times New Roman"/>
          <w:lang w:val="mk-MK"/>
        </w:rPr>
        <w:t>.</w:t>
      </w:r>
    </w:p>
  </w:footnote>
  <w:footnote w:id="925">
    <w:p w14:paraId="0772B2FF" w14:textId="6B91E816" w:rsidR="009B5701" w:rsidRPr="0068632F" w:rsidRDefault="009B570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A06BA" w:rsidRPr="0068632F">
        <w:rPr>
          <w:rFonts w:ascii="Times New Roman" w:hAnsi="Times New Roman" w:cs="Times New Roman"/>
        </w:rPr>
        <w:t>De Lima, I. S., 2023</w:t>
      </w:r>
      <w:r w:rsidR="004A06BA" w:rsidRPr="0068632F">
        <w:rPr>
          <w:rFonts w:ascii="Times New Roman" w:hAnsi="Times New Roman" w:cs="Times New Roman"/>
          <w:lang w:val="mk-MK"/>
        </w:rPr>
        <w:t>.</w:t>
      </w:r>
    </w:p>
  </w:footnote>
  <w:footnote w:id="926">
    <w:p w14:paraId="46714452" w14:textId="54847595" w:rsidR="0044189A" w:rsidRPr="0068632F" w:rsidRDefault="0044189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41F12" w:rsidRPr="0068632F">
        <w:rPr>
          <w:rFonts w:ascii="Times New Roman" w:hAnsi="Times New Roman" w:cs="Times New Roman"/>
        </w:rPr>
        <w:t>SEC, 2024</w:t>
      </w:r>
      <w:r w:rsidR="00A41F12" w:rsidRPr="0068632F">
        <w:rPr>
          <w:rFonts w:ascii="Times New Roman" w:hAnsi="Times New Roman" w:cs="Times New Roman"/>
          <w:lang w:val="mk-MK"/>
        </w:rPr>
        <w:t xml:space="preserve"> </w:t>
      </w:r>
      <w:r w:rsidR="00A41F12" w:rsidRPr="0068632F">
        <w:rPr>
          <w:rFonts w:ascii="Times New Roman" w:hAnsi="Times New Roman" w:cs="Times New Roman"/>
          <w:lang w:val="en-US"/>
        </w:rPr>
        <w:t>&amp; Drpljanin, V. (2026). A Brief Exploration of Corporate Governance Models [Article] Int. J. of Law &amp; Politics, Vol. 6/1, 2025.</w:t>
      </w:r>
    </w:p>
  </w:footnote>
  <w:footnote w:id="927">
    <w:p w14:paraId="6C9DAD3D" w14:textId="7C029DD5" w:rsidR="004B6BCA" w:rsidRPr="0068632F" w:rsidRDefault="004B6BCA"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AI Act, 2024</w:t>
      </w:r>
      <w:r w:rsidRPr="0068632F">
        <w:rPr>
          <w:rFonts w:ascii="Times New Roman" w:hAnsi="Times New Roman" w:cs="Times New Roman"/>
          <w:lang w:val="en-US"/>
        </w:rPr>
        <w:t>.</w:t>
      </w:r>
    </w:p>
  </w:footnote>
  <w:footnote w:id="928">
    <w:p w14:paraId="1991C3D9" w14:textId="03411BEA" w:rsidR="00DD3A91" w:rsidRPr="0068632F" w:rsidRDefault="00DD3A91"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11D25" w:rsidRPr="0068632F">
        <w:rPr>
          <w:rFonts w:ascii="Times New Roman" w:hAnsi="Times New Roman" w:cs="Times New Roman"/>
          <w:lang w:val="mk-MK"/>
        </w:rPr>
        <w:t xml:space="preserve">Вклучително и во Македонија, види </w:t>
      </w:r>
      <w:r w:rsidR="00C11D25" w:rsidRPr="0068632F">
        <w:rPr>
          <w:rFonts w:ascii="Times New Roman" w:hAnsi="Times New Roman" w:cs="Times New Roman"/>
          <w:lang w:val="en-US"/>
        </w:rPr>
        <w:t>Drpljanin, V. (202</w:t>
      </w:r>
      <w:r w:rsidR="00C11D25" w:rsidRPr="0068632F">
        <w:rPr>
          <w:rFonts w:ascii="Times New Roman" w:hAnsi="Times New Roman" w:cs="Times New Roman"/>
          <w:lang w:val="mk-MK"/>
        </w:rPr>
        <w:t>5), A Brief Exploration of Corporate Governance Models [Article] Int. J. of Law &amp; Politics, Vol. 6/1, 2025.</w:t>
      </w:r>
    </w:p>
  </w:footnote>
  <w:footnote w:id="929">
    <w:p w14:paraId="454FC654" w14:textId="4E84E92E" w:rsidR="00A60A68" w:rsidRPr="0068632F" w:rsidRDefault="00A60A6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2A2D02" w:rsidRPr="0068632F">
        <w:rPr>
          <w:rFonts w:ascii="Times New Roman" w:hAnsi="Times New Roman" w:cs="Times New Roman"/>
          <w:lang w:val="en-US"/>
        </w:rPr>
        <w:t>B</w:t>
      </w:r>
      <w:r w:rsidR="002A2D02" w:rsidRPr="0068632F">
        <w:rPr>
          <w:rFonts w:ascii="Times New Roman" w:hAnsi="Times New Roman" w:cs="Times New Roman"/>
        </w:rPr>
        <w:t>usiness judgment rule</w:t>
      </w:r>
      <w:r w:rsidR="002A2D02" w:rsidRPr="0068632F">
        <w:rPr>
          <w:rFonts w:ascii="Times New Roman" w:hAnsi="Times New Roman" w:cs="Times New Roman"/>
          <w:lang w:val="mk-MK"/>
        </w:rPr>
        <w:t>.</w:t>
      </w:r>
    </w:p>
  </w:footnote>
  <w:footnote w:id="930">
    <w:p w14:paraId="2B7A5212" w14:textId="647004F2" w:rsidR="00144FB9" w:rsidRPr="0068632F" w:rsidRDefault="00144FB9"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D2E68" w:rsidRPr="0068632F">
        <w:rPr>
          <w:rFonts w:ascii="Times New Roman" w:hAnsi="Times New Roman" w:cs="Times New Roman"/>
        </w:rPr>
        <w:t>Salazar V, A. R., 2024</w:t>
      </w:r>
      <w:r w:rsidR="006D2E68" w:rsidRPr="0068632F">
        <w:rPr>
          <w:rFonts w:ascii="Times New Roman" w:hAnsi="Times New Roman" w:cs="Times New Roman"/>
          <w:lang w:val="mk-MK"/>
        </w:rPr>
        <w:t>.</w:t>
      </w:r>
    </w:p>
  </w:footnote>
  <w:footnote w:id="931">
    <w:p w14:paraId="4272B66F" w14:textId="69A6850F" w:rsidR="00BC75C4" w:rsidRPr="0068632F" w:rsidRDefault="00BC75C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1A3567" w:rsidRPr="0068632F">
        <w:rPr>
          <w:rFonts w:ascii="Times New Roman" w:hAnsi="Times New Roman" w:cs="Times New Roman"/>
        </w:rPr>
        <w:t>FRC, 2024</w:t>
      </w:r>
      <w:r w:rsidR="001A3567" w:rsidRPr="0068632F">
        <w:rPr>
          <w:rFonts w:ascii="Times New Roman" w:hAnsi="Times New Roman" w:cs="Times New Roman"/>
          <w:lang w:val="mk-MK"/>
        </w:rPr>
        <w:t>.</w:t>
      </w:r>
    </w:p>
  </w:footnote>
  <w:footnote w:id="932">
    <w:p w14:paraId="2645A1A0" w14:textId="6700EF76" w:rsidR="00AE5464" w:rsidRPr="0068632F" w:rsidRDefault="00AE5464"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9F0B7A" w:rsidRPr="0068632F">
        <w:rPr>
          <w:rFonts w:ascii="Times New Roman" w:hAnsi="Times New Roman" w:cs="Times New Roman"/>
        </w:rPr>
        <w:t>Закон за акционерски друштва, §93</w:t>
      </w:r>
      <w:r w:rsidR="009F0B7A" w:rsidRPr="0068632F">
        <w:rPr>
          <w:rFonts w:ascii="Times New Roman" w:hAnsi="Times New Roman" w:cs="Times New Roman"/>
          <w:lang w:val="mk-MK"/>
        </w:rPr>
        <w:t>.</w:t>
      </w:r>
    </w:p>
  </w:footnote>
  <w:footnote w:id="933">
    <w:p w14:paraId="6E58356A" w14:textId="7BFEFFCE" w:rsidR="005B27AA" w:rsidRPr="0068632F" w:rsidRDefault="005B27A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E1CFD" w:rsidRPr="0068632F">
        <w:rPr>
          <w:rFonts w:ascii="Times New Roman" w:hAnsi="Times New Roman" w:cs="Times New Roman"/>
        </w:rPr>
        <w:t>Erik &amp; von Thadde, 1999</w:t>
      </w:r>
      <w:r w:rsidR="007E1CFD" w:rsidRPr="0068632F">
        <w:rPr>
          <w:rFonts w:ascii="Times New Roman" w:hAnsi="Times New Roman" w:cs="Times New Roman"/>
          <w:lang w:val="mk-MK"/>
        </w:rPr>
        <w:t>.</w:t>
      </w:r>
    </w:p>
  </w:footnote>
  <w:footnote w:id="934">
    <w:p w14:paraId="70068F50" w14:textId="49C69C09" w:rsidR="007274BE" w:rsidRPr="0068632F" w:rsidRDefault="007274B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D5DE1" w:rsidRPr="0068632F">
        <w:rPr>
          <w:rFonts w:ascii="Times New Roman" w:hAnsi="Times New Roman" w:cs="Times New Roman"/>
        </w:rPr>
        <w:t>Коевски и Спасевски, 2023</w:t>
      </w:r>
      <w:r w:rsidR="00CD5DE1" w:rsidRPr="0068632F">
        <w:rPr>
          <w:rFonts w:ascii="Times New Roman" w:hAnsi="Times New Roman" w:cs="Times New Roman"/>
          <w:lang w:val="mk-MK"/>
        </w:rPr>
        <w:t>.</w:t>
      </w:r>
    </w:p>
  </w:footnote>
  <w:footnote w:id="935">
    <w:p w14:paraId="19C860C6" w14:textId="58601804" w:rsidR="00D83AAB" w:rsidRPr="0068632F" w:rsidRDefault="00D83AAB"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AB14F5" w:rsidRPr="0068632F">
        <w:rPr>
          <w:rFonts w:ascii="Times New Roman" w:hAnsi="Times New Roman" w:cs="Times New Roman"/>
        </w:rPr>
        <w:t>Parkinson, 1997</w:t>
      </w:r>
      <w:r w:rsidR="00AB14F5" w:rsidRPr="0068632F">
        <w:rPr>
          <w:rFonts w:ascii="Times New Roman" w:hAnsi="Times New Roman" w:cs="Times New Roman"/>
          <w:lang w:val="mk-MK"/>
        </w:rPr>
        <w:t>.</w:t>
      </w:r>
    </w:p>
  </w:footnote>
  <w:footnote w:id="936">
    <w:p w14:paraId="33ABCA2E" w14:textId="7C175714" w:rsidR="000533D6" w:rsidRPr="0068632F" w:rsidRDefault="000533D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M. Colin, 1988</w:t>
      </w:r>
      <w:r w:rsidRPr="0068632F">
        <w:rPr>
          <w:rFonts w:ascii="Times New Roman" w:hAnsi="Times New Roman" w:cs="Times New Roman"/>
          <w:lang w:val="mk-MK"/>
        </w:rPr>
        <w:t>.</w:t>
      </w:r>
    </w:p>
  </w:footnote>
  <w:footnote w:id="937">
    <w:p w14:paraId="1EC1F098" w14:textId="3845AEAE" w:rsidR="002F7AD2" w:rsidRPr="0068632F" w:rsidRDefault="002F7AD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16716" w:rsidRPr="0068632F">
        <w:rPr>
          <w:rFonts w:ascii="Times New Roman" w:hAnsi="Times New Roman" w:cs="Times New Roman"/>
        </w:rPr>
        <w:t>Акт за вештачка интелигенција на Европската Унија</w:t>
      </w:r>
      <w:r w:rsidR="00516716" w:rsidRPr="0068632F">
        <w:rPr>
          <w:rFonts w:ascii="Times New Roman" w:hAnsi="Times New Roman" w:cs="Times New Roman"/>
          <w:lang w:val="mk-MK"/>
        </w:rPr>
        <w:t>.</w:t>
      </w:r>
    </w:p>
  </w:footnote>
  <w:footnote w:id="938">
    <w:p w14:paraId="7EF2A4DB" w14:textId="614BDD5F" w:rsidR="00241DA9" w:rsidRPr="0068632F" w:rsidRDefault="00241DA9"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48606F" w:rsidRPr="0068632F">
        <w:rPr>
          <w:rFonts w:ascii="Times New Roman" w:hAnsi="Times New Roman" w:cs="Times New Roman"/>
        </w:rPr>
        <w:t>A computer can never be held accountable; therefore, a computer must never make a management decision." - IBM slide deck, 1979</w:t>
      </w:r>
      <w:r w:rsidR="0048606F" w:rsidRPr="0068632F">
        <w:rPr>
          <w:rFonts w:ascii="Times New Roman" w:hAnsi="Times New Roman" w:cs="Times New Roman"/>
          <w:lang w:val="en-US"/>
        </w:rPr>
        <w:t>.</w:t>
      </w:r>
    </w:p>
  </w:footnote>
  <w:footnote w:id="939">
    <w:p w14:paraId="3255F3A4" w14:textId="6992544F" w:rsidR="002C41DC" w:rsidRPr="0068632F" w:rsidRDefault="002C41D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Salazar V, A. R., 2024</w:t>
      </w:r>
      <w:r w:rsidRPr="0068632F">
        <w:rPr>
          <w:rFonts w:ascii="Times New Roman" w:hAnsi="Times New Roman" w:cs="Times New Roman"/>
          <w:lang w:val="mk-MK"/>
        </w:rPr>
        <w:t>.</w:t>
      </w:r>
    </w:p>
  </w:footnote>
  <w:footnote w:id="940">
    <w:p w14:paraId="4E9981B1" w14:textId="1535CA3B" w:rsidR="003016E2" w:rsidRPr="0068632F" w:rsidRDefault="003016E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F0D5D" w:rsidRPr="0068632F">
        <w:rPr>
          <w:rFonts w:ascii="Times New Roman" w:hAnsi="Times New Roman" w:cs="Times New Roman"/>
        </w:rPr>
        <w:t>Salazar V, A. R., 2024</w:t>
      </w:r>
      <w:r w:rsidR="00FF0D5D" w:rsidRPr="0068632F">
        <w:rPr>
          <w:rFonts w:ascii="Times New Roman" w:hAnsi="Times New Roman" w:cs="Times New Roman"/>
          <w:lang w:val="mk-MK"/>
        </w:rPr>
        <w:t>.</w:t>
      </w:r>
    </w:p>
  </w:footnote>
  <w:footnote w:id="941">
    <w:p w14:paraId="52E76FEF" w14:textId="03EA357F" w:rsidR="00B91B9A" w:rsidRPr="0068632F" w:rsidRDefault="00B91B9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D1F8A" w:rsidRPr="0068632F">
        <w:rPr>
          <w:rFonts w:ascii="Times New Roman" w:hAnsi="Times New Roman" w:cs="Times New Roman"/>
        </w:rPr>
        <w:t>Коевски и Спасевски, 2023</w:t>
      </w:r>
      <w:r w:rsidR="005D1F8A" w:rsidRPr="0068632F">
        <w:rPr>
          <w:rFonts w:ascii="Times New Roman" w:hAnsi="Times New Roman" w:cs="Times New Roman"/>
          <w:lang w:val="mk-MK"/>
        </w:rPr>
        <w:t>.</w:t>
      </w:r>
    </w:p>
  </w:footnote>
  <w:footnote w:id="942">
    <w:p w14:paraId="17806F03" w14:textId="7219E5DA" w:rsidR="009E30FC" w:rsidRPr="0068632F" w:rsidRDefault="009E30F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7671D" w:rsidRPr="0068632F">
        <w:rPr>
          <w:rFonts w:ascii="Times New Roman" w:hAnsi="Times New Roman" w:cs="Times New Roman"/>
        </w:rPr>
        <w:t>Salazar V, A. R., 2024</w:t>
      </w:r>
      <w:r w:rsidR="00F7671D" w:rsidRPr="0068632F">
        <w:rPr>
          <w:rFonts w:ascii="Times New Roman" w:hAnsi="Times New Roman" w:cs="Times New Roman"/>
          <w:lang w:val="mk-MK"/>
        </w:rPr>
        <w:t>.</w:t>
      </w:r>
    </w:p>
  </w:footnote>
  <w:footnote w:id="943">
    <w:p w14:paraId="453C7E37" w14:textId="25BE8277" w:rsidR="00F7671D" w:rsidRPr="0068632F" w:rsidRDefault="00F7671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bCs/>
          <w:lang w:val="en-US"/>
        </w:rPr>
        <w:t>Kokkinis, Andreas, and Konstantinos Sergakis. 2020</w:t>
      </w:r>
    </w:p>
  </w:footnote>
  <w:footnote w:id="944">
    <w:p w14:paraId="53A31120" w14:textId="74C7D9EF" w:rsidR="00887CB6" w:rsidRPr="0068632F" w:rsidRDefault="00887CB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Види </w:t>
      </w:r>
      <w:r w:rsidR="009B089C" w:rsidRPr="0068632F">
        <w:rPr>
          <w:rFonts w:ascii="Times New Roman" w:hAnsi="Times New Roman" w:cs="Times New Roman"/>
          <w:lang w:val="mk-MK"/>
        </w:rPr>
        <w:t>Arabadjieva, K. (2019). A framework for interpreting the right to freedom of association of workers and trade unions in European human rights law (Doctoral thesis, University of Oxford, Magdalen College). University of Oxford.</w:t>
      </w:r>
    </w:p>
  </w:footnote>
  <w:footnote w:id="945">
    <w:p w14:paraId="6F82BC84" w14:textId="0019C51D" w:rsidR="009D159E" w:rsidRPr="0068632F" w:rsidRDefault="009D159E"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F37920" w:rsidRPr="0068632F">
        <w:rPr>
          <w:rFonts w:ascii="Times New Roman" w:hAnsi="Times New Roman" w:cs="Times New Roman"/>
          <w:lang w:val="mk-MK"/>
        </w:rPr>
        <w:t>Arabadjieva, K. (2019).</w:t>
      </w:r>
    </w:p>
  </w:footnote>
  <w:footnote w:id="946">
    <w:p w14:paraId="6368EABA" w14:textId="0EB3BE46" w:rsidR="004F4FE4" w:rsidRPr="0068632F" w:rsidRDefault="004F4FE4" w:rsidP="00F01453">
      <w:pPr>
        <w:pStyle w:val="FootnoteText"/>
        <w:jc w:val="both"/>
        <w:rPr>
          <w:rFonts w:ascii="Times New Roman" w:hAnsi="Times New Roman" w:cs="Times New Roman"/>
          <w:lang w:val="en-US"/>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806168" w:rsidRPr="0068632F">
        <w:rPr>
          <w:rFonts w:ascii="Times New Roman" w:hAnsi="Times New Roman" w:cs="Times New Roman"/>
        </w:rPr>
        <w:t>Arabadjieva, K., &amp; Bogojević, S. (2024). The European Green Deal: climate action, social impacts and just transition safeguards. Yearbook of European Law, 43, 34-55.</w:t>
      </w:r>
    </w:p>
  </w:footnote>
  <w:footnote w:id="947">
    <w:p w14:paraId="28DD1C7C" w14:textId="17183F1C" w:rsidR="007C461C" w:rsidRPr="0068632F" w:rsidRDefault="007C461C"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Arabadjieva, K., &amp; Bogojević, S. (2024).</w:t>
      </w:r>
    </w:p>
  </w:footnote>
  <w:footnote w:id="948">
    <w:p w14:paraId="6501A751" w14:textId="745D0C99" w:rsidR="00DE16A8" w:rsidRPr="0068632F" w:rsidRDefault="00DE16A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10EC3" w:rsidRPr="0068632F">
        <w:rPr>
          <w:rFonts w:ascii="Times New Roman" w:hAnsi="Times New Roman" w:cs="Times New Roman"/>
        </w:rPr>
        <w:t>Arabadjieva, K., Bugada, A., Chacartegui, C., Tomassetti, P., &amp; Zbyszewska, A. (2023). Introduction: The labour-environment nexus-Exploring new frontiers in labour law. International Journal of Comparative Labour Law and Industrial Relations, 39(3/4).</w:t>
      </w:r>
    </w:p>
  </w:footnote>
  <w:footnote w:id="949">
    <w:p w14:paraId="7079FF52" w14:textId="5B21344D" w:rsidR="00D32F8D" w:rsidRPr="0068632F" w:rsidRDefault="00D32F8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47A80" w:rsidRPr="0068632F">
        <w:rPr>
          <w:rFonts w:ascii="Times New Roman" w:hAnsi="Times New Roman" w:cs="Times New Roman"/>
        </w:rPr>
        <w:t>Arabadjieva, K., Bugada, A., Chacartegui, C., Tomassetti, P., &amp; Zbyszewska, A. (2023).</w:t>
      </w:r>
    </w:p>
  </w:footnote>
  <w:footnote w:id="950">
    <w:p w14:paraId="252B19F4" w14:textId="23E06124" w:rsidR="00D32F8D" w:rsidRPr="0068632F" w:rsidRDefault="00D32F8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347A80" w:rsidRPr="0068632F">
        <w:rPr>
          <w:rFonts w:ascii="Times New Roman" w:hAnsi="Times New Roman" w:cs="Times New Roman"/>
        </w:rPr>
        <w:t>Arabadjieva, K., Bugada, A., Chacartegui, C., Tomassetti, P., &amp; Zbyszewska, A. (2023).</w:t>
      </w:r>
    </w:p>
  </w:footnote>
  <w:footnote w:id="951">
    <w:p w14:paraId="24406A66" w14:textId="4EFD945E" w:rsidR="00A21E38" w:rsidRPr="0068632F" w:rsidRDefault="00A21E38"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C11C86" w:rsidRPr="0068632F">
        <w:rPr>
          <w:rFonts w:ascii="Times New Roman" w:hAnsi="Times New Roman" w:cs="Times New Roman"/>
          <w:lang w:val="mk-MK"/>
        </w:rPr>
        <w:t>Овие наоди беа поткрепени со соодветни и релеванатни истражувања и докази.</w:t>
      </w:r>
    </w:p>
  </w:footnote>
  <w:footnote w:id="952">
    <w:p w14:paraId="3FE5BEC9" w14:textId="67E65932" w:rsidR="0017479D" w:rsidRPr="0068632F" w:rsidRDefault="0017479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635AD2" w:rsidRPr="0068632F">
        <w:rPr>
          <w:rFonts w:ascii="Times New Roman" w:hAnsi="Times New Roman" w:cs="Times New Roman"/>
          <w:lang w:val="mk-MK"/>
        </w:rPr>
        <w:t xml:space="preserve">Во текот на целата дисертација предвид е земена последната верзија на предлог-законот за трговски друштва, кој во моментот на пишување и бранење на оваа теза се наоѓа во собраниска процедура. </w:t>
      </w:r>
    </w:p>
  </w:footnote>
  <w:footnote w:id="953">
    <w:p w14:paraId="22F225F8" w14:textId="38C4A898" w:rsidR="00D82DF2" w:rsidRPr="0068632F" w:rsidRDefault="00D82DF2"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Pr="0068632F">
        <w:rPr>
          <w:rFonts w:ascii="Times New Roman" w:hAnsi="Times New Roman" w:cs="Times New Roman"/>
          <w:lang w:val="mk-MK"/>
        </w:rPr>
        <w:t xml:space="preserve">Ставајќи ги наодите на анализата на сериозен и ригорозен </w:t>
      </w:r>
      <w:r w:rsidR="00564199" w:rsidRPr="0068632F">
        <w:rPr>
          <w:rFonts w:ascii="Times New Roman" w:hAnsi="Times New Roman" w:cs="Times New Roman"/>
          <w:lang w:val="mk-MK"/>
        </w:rPr>
        <w:t>академски</w:t>
      </w:r>
      <w:r w:rsidRPr="0068632F">
        <w:rPr>
          <w:rFonts w:ascii="Times New Roman" w:hAnsi="Times New Roman" w:cs="Times New Roman"/>
          <w:lang w:val="mk-MK"/>
        </w:rPr>
        <w:t xml:space="preserve"> тест. </w:t>
      </w:r>
    </w:p>
  </w:footnote>
  <w:footnote w:id="954">
    <w:p w14:paraId="6BAE39C1" w14:textId="72B65CCC" w:rsidR="00DA24BF" w:rsidRPr="0068632F" w:rsidRDefault="00DA24BF"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0201B9" w:rsidRPr="0068632F">
        <w:rPr>
          <w:rFonts w:ascii="Times New Roman" w:hAnsi="Times New Roman" w:cs="Times New Roman"/>
          <w:lang w:val="mk-MK"/>
        </w:rPr>
        <w:t>Иако во голем дел ова е покриено и во трудовите на професорите Гелев, Коевски и Спасевски.</w:t>
      </w:r>
    </w:p>
  </w:footnote>
  <w:footnote w:id="955">
    <w:p w14:paraId="0016EB1B" w14:textId="7365D189" w:rsidR="00217C0A" w:rsidRPr="0068632F" w:rsidRDefault="00217C0A"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55BED" w:rsidRPr="0068632F">
        <w:rPr>
          <w:rFonts w:ascii="Times New Roman" w:hAnsi="Times New Roman" w:cs="Times New Roman"/>
          <w:lang w:val="mk-MK"/>
        </w:rPr>
        <w:t xml:space="preserve">За што постои голема веројатност имајќи ја предвид „заглавеноста“ на предлог-законот за трговски друштва во собраниска процедура повеќе од 3 години. </w:t>
      </w:r>
    </w:p>
  </w:footnote>
  <w:footnote w:id="956">
    <w:p w14:paraId="1DFD5FF7" w14:textId="1C5C6F4E" w:rsidR="003E7430" w:rsidRPr="0068632F" w:rsidRDefault="003E7430"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797E7C" w:rsidRPr="0068632F">
        <w:rPr>
          <w:rFonts w:ascii="Times New Roman" w:hAnsi="Times New Roman" w:cs="Times New Roman"/>
          <w:lang w:val="mk-MK"/>
        </w:rPr>
        <w:t>Во англосаксонскиот јазик препознатливи под пакетот „</w:t>
      </w:r>
      <w:r w:rsidR="00797E7C" w:rsidRPr="0068632F">
        <w:rPr>
          <w:rFonts w:ascii="Times New Roman" w:hAnsi="Times New Roman" w:cs="Times New Roman"/>
          <w:lang w:val="en-US"/>
        </w:rPr>
        <w:t>fiduciary duties</w:t>
      </w:r>
      <w:r w:rsidR="00797E7C" w:rsidRPr="0068632F">
        <w:rPr>
          <w:rFonts w:ascii="Times New Roman" w:hAnsi="Times New Roman" w:cs="Times New Roman"/>
          <w:lang w:val="mk-MK"/>
        </w:rPr>
        <w:t>“.</w:t>
      </w:r>
    </w:p>
  </w:footnote>
  <w:footnote w:id="957">
    <w:p w14:paraId="3B3E2145" w14:textId="733CD711" w:rsidR="009A3EAD" w:rsidRPr="0068632F" w:rsidRDefault="009A3EAD"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D57412" w:rsidRPr="0068632F">
        <w:rPr>
          <w:rFonts w:ascii="Times New Roman" w:hAnsi="Times New Roman" w:cs="Times New Roman"/>
          <w:lang w:val="mk-MK"/>
        </w:rPr>
        <w:t xml:space="preserve">Ова е најдоброто сценарио. Пореалистично, базирано на разгледаната судска пракса во Македонија </w:t>
      </w:r>
      <w:r w:rsidR="00B658CD" w:rsidRPr="0068632F">
        <w:rPr>
          <w:rFonts w:ascii="Times New Roman" w:hAnsi="Times New Roman" w:cs="Times New Roman"/>
          <w:lang w:val="mk-MK"/>
        </w:rPr>
        <w:t>досега, е дека судовите нема да имаат никакво конкретно влијание.</w:t>
      </w:r>
    </w:p>
  </w:footnote>
  <w:footnote w:id="958">
    <w:p w14:paraId="4692F121" w14:textId="7F73E372" w:rsidR="004B5D06" w:rsidRPr="0068632F" w:rsidRDefault="004B5D0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EB32A1" w:rsidRPr="0068632F">
        <w:rPr>
          <w:rFonts w:ascii="Times New Roman" w:hAnsi="Times New Roman" w:cs="Times New Roman"/>
          <w:lang w:val="mk-MK"/>
        </w:rPr>
        <w:t>Оваа линија на аргументација се потпира на претпоставката дека Македонија сака да го смени статус-квото и планира да воспостави функционален</w:t>
      </w:r>
      <w:r w:rsidR="00CC6B7F" w:rsidRPr="0068632F">
        <w:rPr>
          <w:rFonts w:ascii="Times New Roman" w:hAnsi="Times New Roman" w:cs="Times New Roman"/>
          <w:lang w:val="mk-MK"/>
        </w:rPr>
        <w:t xml:space="preserve"> систем на корпоративно управување. </w:t>
      </w:r>
    </w:p>
  </w:footnote>
  <w:footnote w:id="959">
    <w:p w14:paraId="6E528A07" w14:textId="58BC5081" w:rsidR="00EB5DE6" w:rsidRPr="0068632F" w:rsidRDefault="00EB5DE6" w:rsidP="00F01453">
      <w:pPr>
        <w:pStyle w:val="FootnoteText"/>
        <w:jc w:val="both"/>
        <w:rPr>
          <w:rFonts w:ascii="Times New Roman" w:hAnsi="Times New Roman" w:cs="Times New Roman"/>
          <w:lang w:val="mk-MK"/>
        </w:rPr>
      </w:pPr>
      <w:r w:rsidRPr="0068632F">
        <w:rPr>
          <w:rStyle w:val="FootnoteReference"/>
          <w:rFonts w:ascii="Times New Roman" w:hAnsi="Times New Roman" w:cs="Times New Roman"/>
        </w:rPr>
        <w:footnoteRef/>
      </w:r>
      <w:r w:rsidRPr="0068632F">
        <w:rPr>
          <w:rFonts w:ascii="Times New Roman" w:hAnsi="Times New Roman" w:cs="Times New Roman"/>
        </w:rPr>
        <w:t xml:space="preserve"> </w:t>
      </w:r>
      <w:r w:rsidR="005F522F" w:rsidRPr="0068632F">
        <w:rPr>
          <w:rFonts w:ascii="Times New Roman" w:hAnsi="Times New Roman" w:cs="Times New Roman"/>
          <w:lang w:val="mk-MK"/>
        </w:rPr>
        <w:t xml:space="preserve">Ова е особено значајно за контексти како македонскиот, каде </w:t>
      </w:r>
      <w:r w:rsidR="006A1357" w:rsidRPr="0068632F">
        <w:rPr>
          <w:rFonts w:ascii="Times New Roman" w:hAnsi="Times New Roman" w:cs="Times New Roman"/>
          <w:lang w:val="mk-MK"/>
        </w:rPr>
        <w:t xml:space="preserve">има хроничен недостаток на работна сила и трговските друштва се во постојан натпревар да ги задржат </w:t>
      </w:r>
      <w:r w:rsidR="00D43054" w:rsidRPr="0068632F">
        <w:rPr>
          <w:rFonts w:ascii="Times New Roman" w:hAnsi="Times New Roman" w:cs="Times New Roman"/>
          <w:lang w:val="mk-MK"/>
        </w:rPr>
        <w:t>и унапредат своите</w:t>
      </w:r>
      <w:r w:rsidR="006A1357" w:rsidRPr="0068632F">
        <w:rPr>
          <w:rFonts w:ascii="Times New Roman" w:hAnsi="Times New Roman" w:cs="Times New Roman"/>
          <w:lang w:val="mk-MK"/>
        </w:rPr>
        <w:t xml:space="preserve"> вработени.</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europass_5f_bulleted_5f_list"/>
    <w:lvl w:ilvl="0">
      <w:start w:val="1"/>
      <w:numFmt w:val="bullet"/>
      <w:lvlText w:val="▪"/>
      <w:lvlJc w:val="left"/>
      <w:pPr>
        <w:tabs>
          <w:tab w:val="num" w:pos="216"/>
        </w:tabs>
        <w:ind w:left="216" w:hanging="216"/>
      </w:pPr>
      <w:rPr>
        <w:rFonts w:ascii="Segoe UI" w:hAnsi="Segoe UI" w:cs="OpenSymbol"/>
      </w:rPr>
    </w:lvl>
    <w:lvl w:ilvl="1">
      <w:start w:val="1"/>
      <w:numFmt w:val="bullet"/>
      <w:lvlText w:val="▫"/>
      <w:lvlJc w:val="left"/>
      <w:pPr>
        <w:tabs>
          <w:tab w:val="num" w:pos="432"/>
        </w:tabs>
        <w:ind w:left="432" w:hanging="216"/>
      </w:pPr>
      <w:rPr>
        <w:rFonts w:ascii="Segoe UI" w:hAnsi="Segoe UI" w:cs="OpenSymbol"/>
      </w:rPr>
    </w:lvl>
    <w:lvl w:ilvl="2">
      <w:start w:val="1"/>
      <w:numFmt w:val="bullet"/>
      <w:lvlText w:val="▪"/>
      <w:lvlJc w:val="left"/>
      <w:pPr>
        <w:tabs>
          <w:tab w:val="num" w:pos="648"/>
        </w:tabs>
        <w:ind w:left="648" w:hanging="216"/>
      </w:pPr>
      <w:rPr>
        <w:rFonts w:ascii="Segoe UI" w:hAnsi="Segoe UI" w:cs="OpenSymbol"/>
      </w:rPr>
    </w:lvl>
    <w:lvl w:ilvl="3">
      <w:start w:val="1"/>
      <w:numFmt w:val="bullet"/>
      <w:lvlText w:val="▫"/>
      <w:lvlJc w:val="left"/>
      <w:pPr>
        <w:tabs>
          <w:tab w:val="num" w:pos="864"/>
        </w:tabs>
        <w:ind w:left="864" w:hanging="216"/>
      </w:pPr>
      <w:rPr>
        <w:rFonts w:ascii="Segoe UI" w:hAnsi="Segoe UI" w:cs="OpenSymbol"/>
      </w:rPr>
    </w:lvl>
    <w:lvl w:ilvl="4">
      <w:start w:val="1"/>
      <w:numFmt w:val="bullet"/>
      <w:lvlText w:val="▪"/>
      <w:lvlJc w:val="left"/>
      <w:pPr>
        <w:tabs>
          <w:tab w:val="num" w:pos="1080"/>
        </w:tabs>
        <w:ind w:left="1080" w:hanging="216"/>
      </w:pPr>
      <w:rPr>
        <w:rFonts w:ascii="Segoe UI" w:hAnsi="Segoe UI" w:cs="OpenSymbol"/>
      </w:rPr>
    </w:lvl>
    <w:lvl w:ilvl="5">
      <w:start w:val="1"/>
      <w:numFmt w:val="bullet"/>
      <w:lvlText w:val="▫"/>
      <w:lvlJc w:val="left"/>
      <w:pPr>
        <w:tabs>
          <w:tab w:val="num" w:pos="1296"/>
        </w:tabs>
        <w:ind w:left="1296" w:hanging="216"/>
      </w:pPr>
      <w:rPr>
        <w:rFonts w:ascii="Segoe UI" w:hAnsi="Segoe UI" w:cs="OpenSymbol"/>
      </w:rPr>
    </w:lvl>
    <w:lvl w:ilvl="6">
      <w:start w:val="1"/>
      <w:numFmt w:val="bullet"/>
      <w:lvlText w:val="▪"/>
      <w:lvlJc w:val="left"/>
      <w:pPr>
        <w:tabs>
          <w:tab w:val="num" w:pos="1512"/>
        </w:tabs>
        <w:ind w:left="1512" w:hanging="216"/>
      </w:pPr>
      <w:rPr>
        <w:rFonts w:ascii="Segoe UI" w:hAnsi="Segoe UI" w:cs="OpenSymbol"/>
      </w:rPr>
    </w:lvl>
    <w:lvl w:ilvl="7">
      <w:start w:val="1"/>
      <w:numFmt w:val="bullet"/>
      <w:lvlText w:val="▫"/>
      <w:lvlJc w:val="left"/>
      <w:pPr>
        <w:tabs>
          <w:tab w:val="num" w:pos="1728"/>
        </w:tabs>
        <w:ind w:left="1728" w:hanging="216"/>
      </w:pPr>
      <w:rPr>
        <w:rFonts w:ascii="Segoe UI" w:hAnsi="Segoe UI" w:cs="OpenSymbol"/>
      </w:rPr>
    </w:lvl>
    <w:lvl w:ilvl="8">
      <w:start w:val="1"/>
      <w:numFmt w:val="bullet"/>
      <w:lvlText w:val="▪"/>
      <w:lvlJc w:val="left"/>
      <w:pPr>
        <w:tabs>
          <w:tab w:val="num" w:pos="1944"/>
        </w:tabs>
        <w:ind w:left="1944" w:hanging="216"/>
      </w:pPr>
      <w:rPr>
        <w:rFonts w:ascii="Segoe UI" w:hAnsi="Segoe UI" w:cs="OpenSymbol"/>
      </w:rPr>
    </w:lvl>
  </w:abstractNum>
  <w:abstractNum w:abstractNumId="1" w15:restartNumberingAfterBreak="0">
    <w:nsid w:val="075C7F1E"/>
    <w:multiLevelType w:val="multilevel"/>
    <w:tmpl w:val="F432B83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7707F25"/>
    <w:multiLevelType w:val="multilevel"/>
    <w:tmpl w:val="E1669F6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092F056E"/>
    <w:multiLevelType w:val="multilevel"/>
    <w:tmpl w:val="F06AC7B2"/>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0CEF5C5E"/>
    <w:multiLevelType w:val="multilevel"/>
    <w:tmpl w:val="BBD0BA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07627B5"/>
    <w:multiLevelType w:val="multilevel"/>
    <w:tmpl w:val="01F0BA6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141A4C55"/>
    <w:multiLevelType w:val="multilevel"/>
    <w:tmpl w:val="211690A6"/>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158F3AE8"/>
    <w:multiLevelType w:val="multilevel"/>
    <w:tmpl w:val="410E1682"/>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8" w15:restartNumberingAfterBreak="0">
    <w:nsid w:val="15E81084"/>
    <w:multiLevelType w:val="multilevel"/>
    <w:tmpl w:val="A9A0F86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16F449A3"/>
    <w:multiLevelType w:val="multilevel"/>
    <w:tmpl w:val="5E36AF38"/>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9936267"/>
    <w:multiLevelType w:val="multilevel"/>
    <w:tmpl w:val="995273B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1" w15:restartNumberingAfterBreak="0">
    <w:nsid w:val="19947E3E"/>
    <w:multiLevelType w:val="hybridMultilevel"/>
    <w:tmpl w:val="46E05590"/>
    <w:lvl w:ilvl="0" w:tplc="F398BEBC">
      <w:start w:val="7"/>
      <w:numFmt w:val="bullet"/>
      <w:lvlText w:val="-"/>
      <w:lvlJc w:val="left"/>
      <w:pPr>
        <w:ind w:left="720" w:hanging="360"/>
      </w:pPr>
      <w:rPr>
        <w:rFonts w:ascii="Times New Roman" w:eastAsia="Times New Roman"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1A531B0F"/>
    <w:multiLevelType w:val="multilevel"/>
    <w:tmpl w:val="ADB68E70"/>
    <w:lvl w:ilvl="0">
      <w:start w:val="2"/>
      <w:numFmt w:val="decimal"/>
      <w:lvlText w:val="%1."/>
      <w:lvlJc w:val="left"/>
      <w:pPr>
        <w:ind w:left="360" w:hanging="360"/>
      </w:pPr>
      <w:rPr>
        <w:rFonts w:hint="default"/>
      </w:rPr>
    </w:lvl>
    <w:lvl w:ilvl="1">
      <w:start w:val="1"/>
      <w:numFmt w:val="decimal"/>
      <w:lvlText w:val="%1.%2."/>
      <w:lvlJc w:val="left"/>
      <w:pPr>
        <w:ind w:left="478" w:hanging="360"/>
      </w:pPr>
      <w:rPr>
        <w:rFonts w:hint="default"/>
        <w:color w:val="000000" w:themeColor="text1"/>
      </w:rPr>
    </w:lvl>
    <w:lvl w:ilvl="2">
      <w:start w:val="1"/>
      <w:numFmt w:val="decimal"/>
      <w:lvlText w:val="%1.%2.%3."/>
      <w:lvlJc w:val="left"/>
      <w:pPr>
        <w:ind w:left="956" w:hanging="720"/>
      </w:pPr>
      <w:rPr>
        <w:rFonts w:hint="default"/>
      </w:rPr>
    </w:lvl>
    <w:lvl w:ilvl="3">
      <w:start w:val="1"/>
      <w:numFmt w:val="decimal"/>
      <w:lvlText w:val="%1.%2.%3.%4."/>
      <w:lvlJc w:val="left"/>
      <w:pPr>
        <w:ind w:left="1074" w:hanging="720"/>
      </w:pPr>
      <w:rPr>
        <w:rFonts w:hint="default"/>
      </w:rPr>
    </w:lvl>
    <w:lvl w:ilvl="4">
      <w:start w:val="1"/>
      <w:numFmt w:val="decimal"/>
      <w:lvlText w:val="%1.%2.%3.%4.%5."/>
      <w:lvlJc w:val="left"/>
      <w:pPr>
        <w:ind w:left="1552" w:hanging="1080"/>
      </w:pPr>
      <w:rPr>
        <w:rFonts w:hint="default"/>
      </w:rPr>
    </w:lvl>
    <w:lvl w:ilvl="5">
      <w:start w:val="1"/>
      <w:numFmt w:val="decimal"/>
      <w:lvlText w:val="%1.%2.%3.%4.%5.%6."/>
      <w:lvlJc w:val="left"/>
      <w:pPr>
        <w:ind w:left="1670" w:hanging="1080"/>
      </w:pPr>
      <w:rPr>
        <w:rFonts w:hint="default"/>
      </w:rPr>
    </w:lvl>
    <w:lvl w:ilvl="6">
      <w:start w:val="1"/>
      <w:numFmt w:val="decimal"/>
      <w:lvlText w:val="%1.%2.%3.%4.%5.%6.%7."/>
      <w:lvlJc w:val="left"/>
      <w:pPr>
        <w:ind w:left="2148" w:hanging="1440"/>
      </w:pPr>
      <w:rPr>
        <w:rFonts w:hint="default"/>
      </w:rPr>
    </w:lvl>
    <w:lvl w:ilvl="7">
      <w:start w:val="1"/>
      <w:numFmt w:val="decimal"/>
      <w:lvlText w:val="%1.%2.%3.%4.%5.%6.%7.%8."/>
      <w:lvlJc w:val="left"/>
      <w:pPr>
        <w:ind w:left="2266" w:hanging="1440"/>
      </w:pPr>
      <w:rPr>
        <w:rFonts w:hint="default"/>
      </w:rPr>
    </w:lvl>
    <w:lvl w:ilvl="8">
      <w:start w:val="1"/>
      <w:numFmt w:val="decimal"/>
      <w:lvlText w:val="%1.%2.%3.%4.%5.%6.%7.%8.%9."/>
      <w:lvlJc w:val="left"/>
      <w:pPr>
        <w:ind w:left="2744" w:hanging="1800"/>
      </w:pPr>
      <w:rPr>
        <w:rFonts w:hint="default"/>
      </w:rPr>
    </w:lvl>
  </w:abstractNum>
  <w:abstractNum w:abstractNumId="13" w15:restartNumberingAfterBreak="0">
    <w:nsid w:val="1BDC0B19"/>
    <w:multiLevelType w:val="multilevel"/>
    <w:tmpl w:val="BCCEBF7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4" w15:restartNumberingAfterBreak="0">
    <w:nsid w:val="24FF0135"/>
    <w:multiLevelType w:val="multilevel"/>
    <w:tmpl w:val="D9E2311A"/>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25846857"/>
    <w:multiLevelType w:val="multilevel"/>
    <w:tmpl w:val="F3AA5E2A"/>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color w:val="000000" w:themeColor="text1"/>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15:restartNumberingAfterBreak="0">
    <w:nsid w:val="25A72334"/>
    <w:multiLevelType w:val="multilevel"/>
    <w:tmpl w:val="5644E9C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275475DA"/>
    <w:multiLevelType w:val="multilevel"/>
    <w:tmpl w:val="E13431CA"/>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282125A8"/>
    <w:multiLevelType w:val="multilevel"/>
    <w:tmpl w:val="C35045DE"/>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28573A37"/>
    <w:multiLevelType w:val="multilevel"/>
    <w:tmpl w:val="3EB4EB80"/>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0" w15:restartNumberingAfterBreak="0">
    <w:nsid w:val="298C24EF"/>
    <w:multiLevelType w:val="multilevel"/>
    <w:tmpl w:val="391A0F12"/>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DDE4D50"/>
    <w:multiLevelType w:val="multilevel"/>
    <w:tmpl w:val="5856335A"/>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2" w15:restartNumberingAfterBreak="0">
    <w:nsid w:val="2F737F67"/>
    <w:multiLevelType w:val="multilevel"/>
    <w:tmpl w:val="B93A5B0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3" w15:restartNumberingAfterBreak="0">
    <w:nsid w:val="328019E6"/>
    <w:multiLevelType w:val="multilevel"/>
    <w:tmpl w:val="6D64EEF0"/>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33591191"/>
    <w:multiLevelType w:val="multilevel"/>
    <w:tmpl w:val="22603D6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5" w15:restartNumberingAfterBreak="0">
    <w:nsid w:val="362C6A6A"/>
    <w:multiLevelType w:val="multilevel"/>
    <w:tmpl w:val="7116BF9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6" w15:restartNumberingAfterBreak="0">
    <w:nsid w:val="36B90F1A"/>
    <w:multiLevelType w:val="multilevel"/>
    <w:tmpl w:val="16D09C16"/>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7" w15:restartNumberingAfterBreak="0">
    <w:nsid w:val="37673577"/>
    <w:multiLevelType w:val="hybridMultilevel"/>
    <w:tmpl w:val="47F6F6CE"/>
    <w:lvl w:ilvl="0" w:tplc="D8FCC67E">
      <w:start w:val="1"/>
      <w:numFmt w:val="bullet"/>
      <w:lvlText w:val="-"/>
      <w:lvlJc w:val="left"/>
      <w:pPr>
        <w:ind w:left="720" w:hanging="360"/>
      </w:pPr>
      <w:rPr>
        <w:rFonts w:ascii="Times New Roman" w:eastAsiaTheme="minorHAnsi" w:hAnsi="Times New Roman" w:cs="Times New Roman" w:hint="default"/>
      </w:rPr>
    </w:lvl>
    <w:lvl w:ilvl="1" w:tplc="04090003">
      <w:start w:val="1"/>
      <w:numFmt w:val="bullet"/>
      <w:pStyle w:val="Heading2"/>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15:restartNumberingAfterBreak="0">
    <w:nsid w:val="38304AE3"/>
    <w:multiLevelType w:val="hybridMultilevel"/>
    <w:tmpl w:val="476A2CE2"/>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15:restartNumberingAfterBreak="0">
    <w:nsid w:val="38C2210F"/>
    <w:multiLevelType w:val="hybridMultilevel"/>
    <w:tmpl w:val="043852C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15:restartNumberingAfterBreak="0">
    <w:nsid w:val="3A2562A4"/>
    <w:multiLevelType w:val="hybridMultilevel"/>
    <w:tmpl w:val="7C1A63BA"/>
    <w:lvl w:ilvl="0" w:tplc="D8560BD6">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1" w15:restartNumberingAfterBreak="0">
    <w:nsid w:val="3AB203E3"/>
    <w:multiLevelType w:val="multilevel"/>
    <w:tmpl w:val="B7C46D38"/>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2" w15:restartNumberingAfterBreak="0">
    <w:nsid w:val="3DF4683C"/>
    <w:multiLevelType w:val="multilevel"/>
    <w:tmpl w:val="3998C658"/>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3" w15:restartNumberingAfterBreak="0">
    <w:nsid w:val="3E3F47D4"/>
    <w:multiLevelType w:val="hybridMultilevel"/>
    <w:tmpl w:val="95A42C1A"/>
    <w:lvl w:ilvl="0" w:tplc="04090015">
      <w:start w:val="1"/>
      <w:numFmt w:val="upperLetter"/>
      <w:lvlText w:val="%1."/>
      <w:lvlJc w:val="left"/>
      <w:pPr>
        <w:ind w:left="838" w:hanging="360"/>
      </w:pPr>
    </w:lvl>
    <w:lvl w:ilvl="1" w:tplc="04090019" w:tentative="1">
      <w:start w:val="1"/>
      <w:numFmt w:val="lowerLetter"/>
      <w:lvlText w:val="%2."/>
      <w:lvlJc w:val="left"/>
      <w:pPr>
        <w:ind w:left="1558" w:hanging="360"/>
      </w:pPr>
    </w:lvl>
    <w:lvl w:ilvl="2" w:tplc="0409001B" w:tentative="1">
      <w:start w:val="1"/>
      <w:numFmt w:val="lowerRoman"/>
      <w:lvlText w:val="%3."/>
      <w:lvlJc w:val="right"/>
      <w:pPr>
        <w:ind w:left="2278" w:hanging="180"/>
      </w:pPr>
    </w:lvl>
    <w:lvl w:ilvl="3" w:tplc="0409000F" w:tentative="1">
      <w:start w:val="1"/>
      <w:numFmt w:val="decimal"/>
      <w:lvlText w:val="%4."/>
      <w:lvlJc w:val="left"/>
      <w:pPr>
        <w:ind w:left="2998" w:hanging="360"/>
      </w:pPr>
    </w:lvl>
    <w:lvl w:ilvl="4" w:tplc="04090019" w:tentative="1">
      <w:start w:val="1"/>
      <w:numFmt w:val="lowerLetter"/>
      <w:lvlText w:val="%5."/>
      <w:lvlJc w:val="left"/>
      <w:pPr>
        <w:ind w:left="3718" w:hanging="360"/>
      </w:pPr>
    </w:lvl>
    <w:lvl w:ilvl="5" w:tplc="0409001B" w:tentative="1">
      <w:start w:val="1"/>
      <w:numFmt w:val="lowerRoman"/>
      <w:lvlText w:val="%6."/>
      <w:lvlJc w:val="right"/>
      <w:pPr>
        <w:ind w:left="4438" w:hanging="180"/>
      </w:pPr>
    </w:lvl>
    <w:lvl w:ilvl="6" w:tplc="0409000F" w:tentative="1">
      <w:start w:val="1"/>
      <w:numFmt w:val="decimal"/>
      <w:lvlText w:val="%7."/>
      <w:lvlJc w:val="left"/>
      <w:pPr>
        <w:ind w:left="5158" w:hanging="360"/>
      </w:pPr>
    </w:lvl>
    <w:lvl w:ilvl="7" w:tplc="04090019" w:tentative="1">
      <w:start w:val="1"/>
      <w:numFmt w:val="lowerLetter"/>
      <w:lvlText w:val="%8."/>
      <w:lvlJc w:val="left"/>
      <w:pPr>
        <w:ind w:left="5878" w:hanging="360"/>
      </w:pPr>
    </w:lvl>
    <w:lvl w:ilvl="8" w:tplc="0409001B" w:tentative="1">
      <w:start w:val="1"/>
      <w:numFmt w:val="lowerRoman"/>
      <w:lvlText w:val="%9."/>
      <w:lvlJc w:val="right"/>
      <w:pPr>
        <w:ind w:left="6598" w:hanging="180"/>
      </w:pPr>
    </w:lvl>
  </w:abstractNum>
  <w:abstractNum w:abstractNumId="34" w15:restartNumberingAfterBreak="0">
    <w:nsid w:val="455C2377"/>
    <w:multiLevelType w:val="multilevel"/>
    <w:tmpl w:val="A7FCDCD4"/>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5" w15:restartNumberingAfterBreak="0">
    <w:nsid w:val="4770675F"/>
    <w:multiLevelType w:val="multilevel"/>
    <w:tmpl w:val="D520CFE2"/>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85D5C97"/>
    <w:multiLevelType w:val="multilevel"/>
    <w:tmpl w:val="A8BE2FD2"/>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7" w15:restartNumberingAfterBreak="0">
    <w:nsid w:val="486216FA"/>
    <w:multiLevelType w:val="multilevel"/>
    <w:tmpl w:val="3F5CFEFC"/>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9132057"/>
    <w:multiLevelType w:val="multilevel"/>
    <w:tmpl w:val="DEB0CA74"/>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9" w15:restartNumberingAfterBreak="0">
    <w:nsid w:val="49576337"/>
    <w:multiLevelType w:val="multilevel"/>
    <w:tmpl w:val="14D24480"/>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0" w15:restartNumberingAfterBreak="0">
    <w:nsid w:val="4A183C22"/>
    <w:multiLevelType w:val="multilevel"/>
    <w:tmpl w:val="600296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1" w15:restartNumberingAfterBreak="0">
    <w:nsid w:val="4D6F5920"/>
    <w:multiLevelType w:val="multilevel"/>
    <w:tmpl w:val="F18C5074"/>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2" w15:restartNumberingAfterBreak="0">
    <w:nsid w:val="4DD51B90"/>
    <w:multiLevelType w:val="multilevel"/>
    <w:tmpl w:val="1D26A20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3" w15:restartNumberingAfterBreak="0">
    <w:nsid w:val="4FBD50DE"/>
    <w:multiLevelType w:val="hybridMultilevel"/>
    <w:tmpl w:val="7752F91A"/>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4" w15:restartNumberingAfterBreak="0">
    <w:nsid w:val="509A59E6"/>
    <w:multiLevelType w:val="multilevel"/>
    <w:tmpl w:val="15A24BE6"/>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55603A7"/>
    <w:multiLevelType w:val="multilevel"/>
    <w:tmpl w:val="8DB261C8"/>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6" w15:restartNumberingAfterBreak="0">
    <w:nsid w:val="5782694A"/>
    <w:multiLevelType w:val="multilevel"/>
    <w:tmpl w:val="3064BF90"/>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7" w15:restartNumberingAfterBreak="0">
    <w:nsid w:val="58685E4A"/>
    <w:multiLevelType w:val="multilevel"/>
    <w:tmpl w:val="7478B162"/>
    <w:lvl w:ilvl="0">
      <w:start w:val="1"/>
      <w:numFmt w:val="upperRoman"/>
      <w:lvlText w:val="%1."/>
      <w:lvlJc w:val="left"/>
      <w:pPr>
        <w:ind w:left="838" w:hanging="720"/>
      </w:pPr>
      <w:rPr>
        <w:rFonts w:hint="default"/>
      </w:rPr>
    </w:lvl>
    <w:lvl w:ilvl="1">
      <w:start w:val="1"/>
      <w:numFmt w:val="decimal"/>
      <w:isLgl/>
      <w:lvlText w:val="%1.%2."/>
      <w:lvlJc w:val="left"/>
      <w:pPr>
        <w:ind w:left="523" w:hanging="405"/>
      </w:pPr>
      <w:rPr>
        <w:rFonts w:hint="default"/>
      </w:rPr>
    </w:lvl>
    <w:lvl w:ilvl="2">
      <w:start w:val="1"/>
      <w:numFmt w:val="decimal"/>
      <w:isLgl/>
      <w:lvlText w:val="%1.%2.%3."/>
      <w:lvlJc w:val="left"/>
      <w:pPr>
        <w:ind w:left="838" w:hanging="720"/>
      </w:pPr>
      <w:rPr>
        <w:rFonts w:hint="default"/>
      </w:rPr>
    </w:lvl>
    <w:lvl w:ilvl="3">
      <w:start w:val="1"/>
      <w:numFmt w:val="decimal"/>
      <w:isLgl/>
      <w:lvlText w:val="%1.%2.%3.%4."/>
      <w:lvlJc w:val="left"/>
      <w:pPr>
        <w:ind w:left="838" w:hanging="720"/>
      </w:pPr>
      <w:rPr>
        <w:rFonts w:hint="default"/>
      </w:rPr>
    </w:lvl>
    <w:lvl w:ilvl="4">
      <w:start w:val="1"/>
      <w:numFmt w:val="decimal"/>
      <w:isLgl/>
      <w:lvlText w:val="%1.%2.%3.%4.%5."/>
      <w:lvlJc w:val="left"/>
      <w:pPr>
        <w:ind w:left="1198" w:hanging="1080"/>
      </w:pPr>
      <w:rPr>
        <w:rFonts w:hint="default"/>
      </w:rPr>
    </w:lvl>
    <w:lvl w:ilvl="5">
      <w:start w:val="1"/>
      <w:numFmt w:val="decimal"/>
      <w:isLgl/>
      <w:lvlText w:val="%1.%2.%3.%4.%5.%6."/>
      <w:lvlJc w:val="left"/>
      <w:pPr>
        <w:ind w:left="1198" w:hanging="1080"/>
      </w:pPr>
      <w:rPr>
        <w:rFonts w:hint="default"/>
      </w:rPr>
    </w:lvl>
    <w:lvl w:ilvl="6">
      <w:start w:val="1"/>
      <w:numFmt w:val="decimal"/>
      <w:isLgl/>
      <w:lvlText w:val="%1.%2.%3.%4.%5.%6.%7."/>
      <w:lvlJc w:val="left"/>
      <w:pPr>
        <w:ind w:left="1558" w:hanging="1440"/>
      </w:pPr>
      <w:rPr>
        <w:rFonts w:hint="default"/>
      </w:rPr>
    </w:lvl>
    <w:lvl w:ilvl="7">
      <w:start w:val="1"/>
      <w:numFmt w:val="decimal"/>
      <w:isLgl/>
      <w:lvlText w:val="%1.%2.%3.%4.%5.%6.%7.%8."/>
      <w:lvlJc w:val="left"/>
      <w:pPr>
        <w:ind w:left="1558" w:hanging="1440"/>
      </w:pPr>
      <w:rPr>
        <w:rFonts w:hint="default"/>
      </w:rPr>
    </w:lvl>
    <w:lvl w:ilvl="8">
      <w:start w:val="1"/>
      <w:numFmt w:val="decimal"/>
      <w:isLgl/>
      <w:lvlText w:val="%1.%2.%3.%4.%5.%6.%7.%8.%9."/>
      <w:lvlJc w:val="left"/>
      <w:pPr>
        <w:ind w:left="1918" w:hanging="1800"/>
      </w:pPr>
      <w:rPr>
        <w:rFonts w:hint="default"/>
      </w:rPr>
    </w:lvl>
  </w:abstractNum>
  <w:abstractNum w:abstractNumId="48" w15:restartNumberingAfterBreak="0">
    <w:nsid w:val="59B82ACA"/>
    <w:multiLevelType w:val="multilevel"/>
    <w:tmpl w:val="A89E5730"/>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2D0FF9"/>
    <w:multiLevelType w:val="hybridMultilevel"/>
    <w:tmpl w:val="BAEEEDA6"/>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0" w15:restartNumberingAfterBreak="0">
    <w:nsid w:val="624F4CD8"/>
    <w:multiLevelType w:val="multilevel"/>
    <w:tmpl w:val="5AA62C9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1" w15:restartNumberingAfterBreak="0">
    <w:nsid w:val="62A35034"/>
    <w:multiLevelType w:val="hybridMultilevel"/>
    <w:tmpl w:val="D91C8E2A"/>
    <w:lvl w:ilvl="0" w:tplc="61E2761E">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2" w15:restartNumberingAfterBreak="0">
    <w:nsid w:val="645C79C0"/>
    <w:multiLevelType w:val="multilevel"/>
    <w:tmpl w:val="234C8F0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72B1F1D"/>
    <w:multiLevelType w:val="multilevel"/>
    <w:tmpl w:val="8C2843BC"/>
    <w:lvl w:ilvl="0">
      <w:start w:val="1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4" w15:restartNumberingAfterBreak="0">
    <w:nsid w:val="672C53D2"/>
    <w:multiLevelType w:val="multilevel"/>
    <w:tmpl w:val="C0AC3C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5" w15:restartNumberingAfterBreak="0">
    <w:nsid w:val="68972FEA"/>
    <w:multiLevelType w:val="multilevel"/>
    <w:tmpl w:val="BF3C06E2"/>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6" w15:restartNumberingAfterBreak="0">
    <w:nsid w:val="6A0175A0"/>
    <w:multiLevelType w:val="hybridMultilevel"/>
    <w:tmpl w:val="99BADE60"/>
    <w:lvl w:ilvl="0" w:tplc="B41E6314">
      <w:start w:val="1"/>
      <w:numFmt w:val="decimal"/>
      <w:lvlText w:val="%1."/>
      <w:lvlJc w:val="left"/>
      <w:pPr>
        <w:ind w:left="720" w:hanging="360"/>
      </w:pPr>
      <w:rPr>
        <w:rFonts w:hint="default"/>
        <w:u w:val="none"/>
      </w:rPr>
    </w:lvl>
    <w:lvl w:ilvl="1" w:tplc="04090019" w:tentative="1">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7" w15:restartNumberingAfterBreak="0">
    <w:nsid w:val="6B8A5A76"/>
    <w:multiLevelType w:val="multilevel"/>
    <w:tmpl w:val="451829C8"/>
    <w:lvl w:ilvl="0">
      <w:start w:val="1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8" w15:restartNumberingAfterBreak="0">
    <w:nsid w:val="6B933F4A"/>
    <w:multiLevelType w:val="multilevel"/>
    <w:tmpl w:val="547CB0DE"/>
    <w:lvl w:ilvl="0">
      <w:start w:val="1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9" w15:restartNumberingAfterBreak="0">
    <w:nsid w:val="6D1A4551"/>
    <w:multiLevelType w:val="multilevel"/>
    <w:tmpl w:val="E84AE188"/>
    <w:lvl w:ilvl="0">
      <w:start w:val="1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0" w15:restartNumberingAfterBreak="0">
    <w:nsid w:val="71FE785C"/>
    <w:multiLevelType w:val="multilevel"/>
    <w:tmpl w:val="74E2782C"/>
    <w:lvl w:ilvl="0">
      <w:start w:val="2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1" w15:restartNumberingAfterBreak="0">
    <w:nsid w:val="72A2736C"/>
    <w:multiLevelType w:val="multilevel"/>
    <w:tmpl w:val="D480E5A4"/>
    <w:lvl w:ilvl="0">
      <w:start w:val="1"/>
      <w:numFmt w:val="decimal"/>
      <w:lvlText w:val="%1."/>
      <w:lvlJc w:val="left"/>
      <w:pPr>
        <w:ind w:left="720" w:hanging="360"/>
      </w:pPr>
      <w:rPr>
        <w:rFonts w:hint="default"/>
      </w:rPr>
    </w:lvl>
    <w:lvl w:ilvl="1">
      <w:start w:val="1"/>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62" w15:restartNumberingAfterBreak="0">
    <w:nsid w:val="73780C7A"/>
    <w:multiLevelType w:val="multilevel"/>
    <w:tmpl w:val="8C7ACB4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3" w15:restartNumberingAfterBreak="0">
    <w:nsid w:val="738E6C70"/>
    <w:multiLevelType w:val="multilevel"/>
    <w:tmpl w:val="B2E6B922"/>
    <w:lvl w:ilvl="0">
      <w:start w:val="1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4" w15:restartNumberingAfterBreak="0">
    <w:nsid w:val="73DC0B50"/>
    <w:multiLevelType w:val="hybridMultilevel"/>
    <w:tmpl w:val="A472368A"/>
    <w:lvl w:ilvl="0" w:tplc="40546C20">
      <w:start w:val="1"/>
      <w:numFmt w:val="decimal"/>
      <w:lvlText w:val="%1."/>
      <w:lvlJc w:val="left"/>
      <w:pPr>
        <w:ind w:left="478" w:hanging="360"/>
      </w:pPr>
      <w:rPr>
        <w:rFonts w:hint="default"/>
      </w:rPr>
    </w:lvl>
    <w:lvl w:ilvl="1" w:tplc="04090019" w:tentative="1">
      <w:start w:val="1"/>
      <w:numFmt w:val="lowerLetter"/>
      <w:lvlText w:val="%2."/>
      <w:lvlJc w:val="left"/>
      <w:pPr>
        <w:ind w:left="1198" w:hanging="360"/>
      </w:pPr>
    </w:lvl>
    <w:lvl w:ilvl="2" w:tplc="0409001B" w:tentative="1">
      <w:start w:val="1"/>
      <w:numFmt w:val="lowerRoman"/>
      <w:lvlText w:val="%3."/>
      <w:lvlJc w:val="right"/>
      <w:pPr>
        <w:ind w:left="1918" w:hanging="180"/>
      </w:pPr>
    </w:lvl>
    <w:lvl w:ilvl="3" w:tplc="0409000F" w:tentative="1">
      <w:start w:val="1"/>
      <w:numFmt w:val="decimal"/>
      <w:lvlText w:val="%4."/>
      <w:lvlJc w:val="left"/>
      <w:pPr>
        <w:ind w:left="2638" w:hanging="360"/>
      </w:pPr>
    </w:lvl>
    <w:lvl w:ilvl="4" w:tplc="04090019" w:tentative="1">
      <w:start w:val="1"/>
      <w:numFmt w:val="lowerLetter"/>
      <w:lvlText w:val="%5."/>
      <w:lvlJc w:val="left"/>
      <w:pPr>
        <w:ind w:left="3358" w:hanging="360"/>
      </w:pPr>
    </w:lvl>
    <w:lvl w:ilvl="5" w:tplc="0409001B" w:tentative="1">
      <w:start w:val="1"/>
      <w:numFmt w:val="lowerRoman"/>
      <w:lvlText w:val="%6."/>
      <w:lvlJc w:val="right"/>
      <w:pPr>
        <w:ind w:left="4078" w:hanging="180"/>
      </w:pPr>
    </w:lvl>
    <w:lvl w:ilvl="6" w:tplc="0409000F" w:tentative="1">
      <w:start w:val="1"/>
      <w:numFmt w:val="decimal"/>
      <w:lvlText w:val="%7."/>
      <w:lvlJc w:val="left"/>
      <w:pPr>
        <w:ind w:left="4798" w:hanging="360"/>
      </w:pPr>
    </w:lvl>
    <w:lvl w:ilvl="7" w:tplc="04090019" w:tentative="1">
      <w:start w:val="1"/>
      <w:numFmt w:val="lowerLetter"/>
      <w:lvlText w:val="%8."/>
      <w:lvlJc w:val="left"/>
      <w:pPr>
        <w:ind w:left="5518" w:hanging="360"/>
      </w:pPr>
    </w:lvl>
    <w:lvl w:ilvl="8" w:tplc="0409001B" w:tentative="1">
      <w:start w:val="1"/>
      <w:numFmt w:val="lowerRoman"/>
      <w:lvlText w:val="%9."/>
      <w:lvlJc w:val="right"/>
      <w:pPr>
        <w:ind w:left="6238" w:hanging="180"/>
      </w:pPr>
    </w:lvl>
  </w:abstractNum>
  <w:abstractNum w:abstractNumId="65" w15:restartNumberingAfterBreak="0">
    <w:nsid w:val="77137801"/>
    <w:multiLevelType w:val="multilevel"/>
    <w:tmpl w:val="1B701E18"/>
    <w:lvl w:ilvl="0">
      <w:start w:val="2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6" w15:restartNumberingAfterBreak="0">
    <w:nsid w:val="79F57346"/>
    <w:multiLevelType w:val="multilevel"/>
    <w:tmpl w:val="29BC697A"/>
    <w:lvl w:ilvl="0">
      <w:start w:val="2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7" w15:restartNumberingAfterBreak="0">
    <w:nsid w:val="7A3C1E91"/>
    <w:multiLevelType w:val="multilevel"/>
    <w:tmpl w:val="965480BC"/>
    <w:lvl w:ilvl="0">
      <w:start w:val="2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A554F75"/>
    <w:multiLevelType w:val="multilevel"/>
    <w:tmpl w:val="E954F79C"/>
    <w:lvl w:ilvl="0">
      <w:start w:val="1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9" w15:restartNumberingAfterBreak="0">
    <w:nsid w:val="7B664FAE"/>
    <w:multiLevelType w:val="hybridMultilevel"/>
    <w:tmpl w:val="7702FDEA"/>
    <w:lvl w:ilvl="0" w:tplc="FFFFFFFF">
      <w:start w:val="1"/>
      <w:numFmt w:val="upperRoman"/>
      <w:lvlText w:val="%1."/>
      <w:lvlJc w:val="left"/>
      <w:pPr>
        <w:ind w:left="1080" w:hanging="720"/>
      </w:pPr>
      <w:rPr>
        <w:rFonts w:hint="default"/>
        <w:b w:val="0"/>
      </w:rPr>
    </w:lvl>
    <w:lvl w:ilvl="1" w:tplc="FFFFFFFF">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70" w15:restartNumberingAfterBreak="0">
    <w:nsid w:val="7BEA0EAD"/>
    <w:multiLevelType w:val="multilevel"/>
    <w:tmpl w:val="4DB46E2A"/>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D2D0B0A"/>
    <w:multiLevelType w:val="multilevel"/>
    <w:tmpl w:val="40789E82"/>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2" w15:restartNumberingAfterBreak="0">
    <w:nsid w:val="7DB84A03"/>
    <w:multiLevelType w:val="multilevel"/>
    <w:tmpl w:val="34EEE7C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306472792">
    <w:abstractNumId w:val="27"/>
  </w:num>
  <w:num w:numId="2" w16cid:durableId="532495282">
    <w:abstractNumId w:val="69"/>
  </w:num>
  <w:num w:numId="3" w16cid:durableId="613513990">
    <w:abstractNumId w:val="11"/>
  </w:num>
  <w:num w:numId="4" w16cid:durableId="334382293">
    <w:abstractNumId w:val="47"/>
  </w:num>
  <w:num w:numId="5" w16cid:durableId="1769932020">
    <w:abstractNumId w:val="33"/>
  </w:num>
  <w:num w:numId="6" w16cid:durableId="1182620868">
    <w:abstractNumId w:val="28"/>
  </w:num>
  <w:num w:numId="7" w16cid:durableId="165830873">
    <w:abstractNumId w:val="64"/>
  </w:num>
  <w:num w:numId="8" w16cid:durableId="1017662603">
    <w:abstractNumId w:val="56"/>
  </w:num>
  <w:num w:numId="9" w16cid:durableId="959653935">
    <w:abstractNumId w:val="51"/>
  </w:num>
  <w:num w:numId="10" w16cid:durableId="272636640">
    <w:abstractNumId w:val="43"/>
  </w:num>
  <w:num w:numId="11" w16cid:durableId="1940672476">
    <w:abstractNumId w:val="12"/>
  </w:num>
  <w:num w:numId="12" w16cid:durableId="1814327613">
    <w:abstractNumId w:val="15"/>
  </w:num>
  <w:num w:numId="13" w16cid:durableId="1952122806">
    <w:abstractNumId w:val="7"/>
  </w:num>
  <w:num w:numId="14" w16cid:durableId="2008701881">
    <w:abstractNumId w:val="61"/>
  </w:num>
  <w:num w:numId="15" w16cid:durableId="1068192804">
    <w:abstractNumId w:val="72"/>
  </w:num>
  <w:num w:numId="16" w16cid:durableId="652608733">
    <w:abstractNumId w:val="22"/>
  </w:num>
  <w:num w:numId="17" w16cid:durableId="1069614179">
    <w:abstractNumId w:val="26"/>
  </w:num>
  <w:num w:numId="18" w16cid:durableId="1817531808">
    <w:abstractNumId w:val="59"/>
  </w:num>
  <w:num w:numId="19" w16cid:durableId="24526364">
    <w:abstractNumId w:val="14"/>
  </w:num>
  <w:num w:numId="20" w16cid:durableId="1401709509">
    <w:abstractNumId w:val="1"/>
  </w:num>
  <w:num w:numId="21" w16cid:durableId="721103240">
    <w:abstractNumId w:val="25"/>
  </w:num>
  <w:num w:numId="22" w16cid:durableId="114567654">
    <w:abstractNumId w:val="2"/>
  </w:num>
  <w:num w:numId="23" w16cid:durableId="2027519042">
    <w:abstractNumId w:val="8"/>
  </w:num>
  <w:num w:numId="24" w16cid:durableId="1700429003">
    <w:abstractNumId w:val="45"/>
  </w:num>
  <w:num w:numId="25" w16cid:durableId="1630092413">
    <w:abstractNumId w:val="32"/>
  </w:num>
  <w:num w:numId="26" w16cid:durableId="1107310762">
    <w:abstractNumId w:val="46"/>
  </w:num>
  <w:num w:numId="27" w16cid:durableId="1163352599">
    <w:abstractNumId w:val="5"/>
  </w:num>
  <w:num w:numId="28" w16cid:durableId="1732801068">
    <w:abstractNumId w:val="68"/>
  </w:num>
  <w:num w:numId="29" w16cid:durableId="3677137">
    <w:abstractNumId w:val="41"/>
  </w:num>
  <w:num w:numId="30" w16cid:durableId="210386104">
    <w:abstractNumId w:val="36"/>
  </w:num>
  <w:num w:numId="31" w16cid:durableId="426778948">
    <w:abstractNumId w:val="49"/>
  </w:num>
  <w:num w:numId="32" w16cid:durableId="1970165430">
    <w:abstractNumId w:val="52"/>
  </w:num>
  <w:num w:numId="33" w16cid:durableId="744760416">
    <w:abstractNumId w:val="38"/>
  </w:num>
  <w:num w:numId="34" w16cid:durableId="1723404398">
    <w:abstractNumId w:val="18"/>
  </w:num>
  <w:num w:numId="35" w16cid:durableId="1366759969">
    <w:abstractNumId w:val="3"/>
  </w:num>
  <w:num w:numId="36" w16cid:durableId="1009873783">
    <w:abstractNumId w:val="9"/>
  </w:num>
  <w:num w:numId="37" w16cid:durableId="535626735">
    <w:abstractNumId w:val="54"/>
  </w:num>
  <w:num w:numId="38" w16cid:durableId="1616596689">
    <w:abstractNumId w:val="6"/>
  </w:num>
  <w:num w:numId="39" w16cid:durableId="2110151876">
    <w:abstractNumId w:val="63"/>
  </w:num>
  <w:num w:numId="40" w16cid:durableId="726758767">
    <w:abstractNumId w:val="19"/>
  </w:num>
  <w:num w:numId="41" w16cid:durableId="1801069449">
    <w:abstractNumId w:val="66"/>
  </w:num>
  <w:num w:numId="42" w16cid:durableId="1768843425">
    <w:abstractNumId w:val="40"/>
  </w:num>
  <w:num w:numId="43" w16cid:durableId="1817380184">
    <w:abstractNumId w:val="37"/>
  </w:num>
  <w:num w:numId="44" w16cid:durableId="1011681975">
    <w:abstractNumId w:val="31"/>
  </w:num>
  <w:num w:numId="45" w16cid:durableId="470708">
    <w:abstractNumId w:val="42"/>
  </w:num>
  <w:num w:numId="46" w16cid:durableId="910387766">
    <w:abstractNumId w:val="71"/>
  </w:num>
  <w:num w:numId="47" w16cid:durableId="381751179">
    <w:abstractNumId w:val="62"/>
  </w:num>
  <w:num w:numId="48" w16cid:durableId="1609853700">
    <w:abstractNumId w:val="58"/>
  </w:num>
  <w:num w:numId="49" w16cid:durableId="583877819">
    <w:abstractNumId w:val="34"/>
  </w:num>
  <w:num w:numId="50" w16cid:durableId="1328943519">
    <w:abstractNumId w:val="60"/>
  </w:num>
  <w:num w:numId="51" w16cid:durableId="1444227893">
    <w:abstractNumId w:val="20"/>
  </w:num>
  <w:num w:numId="52" w16cid:durableId="1781610782">
    <w:abstractNumId w:val="50"/>
  </w:num>
  <w:num w:numId="53" w16cid:durableId="1364329769">
    <w:abstractNumId w:val="70"/>
  </w:num>
  <w:num w:numId="54" w16cid:durableId="1950164164">
    <w:abstractNumId w:val="16"/>
  </w:num>
  <w:num w:numId="55" w16cid:durableId="1034574542">
    <w:abstractNumId w:val="21"/>
  </w:num>
  <w:num w:numId="56" w16cid:durableId="861628066">
    <w:abstractNumId w:val="57"/>
  </w:num>
  <w:num w:numId="57" w16cid:durableId="2041663825">
    <w:abstractNumId w:val="23"/>
  </w:num>
  <w:num w:numId="58" w16cid:durableId="1822842636">
    <w:abstractNumId w:val="53"/>
  </w:num>
  <w:num w:numId="59" w16cid:durableId="1345395983">
    <w:abstractNumId w:val="17"/>
  </w:num>
  <w:num w:numId="60" w16cid:durableId="1664360085">
    <w:abstractNumId w:val="65"/>
  </w:num>
  <w:num w:numId="61" w16cid:durableId="1631280608">
    <w:abstractNumId w:val="4"/>
  </w:num>
  <w:num w:numId="62" w16cid:durableId="1469740218">
    <w:abstractNumId w:val="24"/>
  </w:num>
  <w:num w:numId="63" w16cid:durableId="212617277">
    <w:abstractNumId w:val="44"/>
  </w:num>
  <w:num w:numId="64" w16cid:durableId="1264648977">
    <w:abstractNumId w:val="10"/>
  </w:num>
  <w:num w:numId="65" w16cid:durableId="1379352859">
    <w:abstractNumId w:val="35"/>
  </w:num>
  <w:num w:numId="66" w16cid:durableId="827400745">
    <w:abstractNumId w:val="55"/>
  </w:num>
  <w:num w:numId="67" w16cid:durableId="538247861">
    <w:abstractNumId w:val="39"/>
  </w:num>
  <w:num w:numId="68" w16cid:durableId="242030601">
    <w:abstractNumId w:val="67"/>
  </w:num>
  <w:num w:numId="69" w16cid:durableId="299389333">
    <w:abstractNumId w:val="48"/>
  </w:num>
  <w:num w:numId="70" w16cid:durableId="1798375467">
    <w:abstractNumId w:val="13"/>
  </w:num>
  <w:num w:numId="71" w16cid:durableId="5713809">
    <w:abstractNumId w:val="29"/>
  </w:num>
  <w:num w:numId="72" w16cid:durableId="369458717">
    <w:abstractNumId w:val="30"/>
  </w:num>
  <w:numIdMacAtCleanup w:val="6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F485E"/>
    <w:rsid w:val="000002DB"/>
    <w:rsid w:val="000011F9"/>
    <w:rsid w:val="00001343"/>
    <w:rsid w:val="00001479"/>
    <w:rsid w:val="000015A2"/>
    <w:rsid w:val="00001934"/>
    <w:rsid w:val="00002052"/>
    <w:rsid w:val="000026CB"/>
    <w:rsid w:val="00002BE2"/>
    <w:rsid w:val="0000314B"/>
    <w:rsid w:val="00003271"/>
    <w:rsid w:val="0000334F"/>
    <w:rsid w:val="000033CD"/>
    <w:rsid w:val="00003CA6"/>
    <w:rsid w:val="00003F05"/>
    <w:rsid w:val="0000458F"/>
    <w:rsid w:val="000047AA"/>
    <w:rsid w:val="000050A3"/>
    <w:rsid w:val="0000567A"/>
    <w:rsid w:val="00005A1A"/>
    <w:rsid w:val="00005FFB"/>
    <w:rsid w:val="00006A48"/>
    <w:rsid w:val="00006D6F"/>
    <w:rsid w:val="000070EB"/>
    <w:rsid w:val="0000720E"/>
    <w:rsid w:val="00007339"/>
    <w:rsid w:val="00007553"/>
    <w:rsid w:val="00007E07"/>
    <w:rsid w:val="00007E61"/>
    <w:rsid w:val="00011135"/>
    <w:rsid w:val="000111E3"/>
    <w:rsid w:val="000113C2"/>
    <w:rsid w:val="000118C3"/>
    <w:rsid w:val="000119C9"/>
    <w:rsid w:val="00011BFF"/>
    <w:rsid w:val="00011CB2"/>
    <w:rsid w:val="0001203B"/>
    <w:rsid w:val="00012086"/>
    <w:rsid w:val="00012164"/>
    <w:rsid w:val="00012294"/>
    <w:rsid w:val="00012313"/>
    <w:rsid w:val="000123B4"/>
    <w:rsid w:val="00012477"/>
    <w:rsid w:val="0001273E"/>
    <w:rsid w:val="000129AB"/>
    <w:rsid w:val="00013A54"/>
    <w:rsid w:val="00014252"/>
    <w:rsid w:val="000147BF"/>
    <w:rsid w:val="00014A44"/>
    <w:rsid w:val="00014B9A"/>
    <w:rsid w:val="0001594F"/>
    <w:rsid w:val="00015C33"/>
    <w:rsid w:val="00015FE9"/>
    <w:rsid w:val="0001618C"/>
    <w:rsid w:val="00016D5C"/>
    <w:rsid w:val="00016E17"/>
    <w:rsid w:val="00016ED0"/>
    <w:rsid w:val="00017522"/>
    <w:rsid w:val="000178CA"/>
    <w:rsid w:val="000201B9"/>
    <w:rsid w:val="00020F1E"/>
    <w:rsid w:val="0002131C"/>
    <w:rsid w:val="0002179F"/>
    <w:rsid w:val="00021809"/>
    <w:rsid w:val="00022724"/>
    <w:rsid w:val="00022A6E"/>
    <w:rsid w:val="0002305C"/>
    <w:rsid w:val="0002350D"/>
    <w:rsid w:val="00023863"/>
    <w:rsid w:val="00023BEC"/>
    <w:rsid w:val="00023D41"/>
    <w:rsid w:val="00023E4F"/>
    <w:rsid w:val="00024044"/>
    <w:rsid w:val="000246DA"/>
    <w:rsid w:val="00024C92"/>
    <w:rsid w:val="00025027"/>
    <w:rsid w:val="00025061"/>
    <w:rsid w:val="00025563"/>
    <w:rsid w:val="00025A04"/>
    <w:rsid w:val="000265AB"/>
    <w:rsid w:val="00026AE2"/>
    <w:rsid w:val="00026AE7"/>
    <w:rsid w:val="00026D9C"/>
    <w:rsid w:val="00026FE0"/>
    <w:rsid w:val="000274EA"/>
    <w:rsid w:val="00027A11"/>
    <w:rsid w:val="00030345"/>
    <w:rsid w:val="000303F6"/>
    <w:rsid w:val="00030953"/>
    <w:rsid w:val="00030D25"/>
    <w:rsid w:val="0003108E"/>
    <w:rsid w:val="00031699"/>
    <w:rsid w:val="0003180A"/>
    <w:rsid w:val="00031880"/>
    <w:rsid w:val="00031A7C"/>
    <w:rsid w:val="00031E0C"/>
    <w:rsid w:val="000323CE"/>
    <w:rsid w:val="00032496"/>
    <w:rsid w:val="000326A2"/>
    <w:rsid w:val="00032761"/>
    <w:rsid w:val="00032948"/>
    <w:rsid w:val="00032B0D"/>
    <w:rsid w:val="00033780"/>
    <w:rsid w:val="0003379C"/>
    <w:rsid w:val="00033BBF"/>
    <w:rsid w:val="00034A4B"/>
    <w:rsid w:val="00035238"/>
    <w:rsid w:val="000352D4"/>
    <w:rsid w:val="00035B0A"/>
    <w:rsid w:val="00036701"/>
    <w:rsid w:val="00036ACE"/>
    <w:rsid w:val="00036B2C"/>
    <w:rsid w:val="00036B93"/>
    <w:rsid w:val="00036C19"/>
    <w:rsid w:val="00036D67"/>
    <w:rsid w:val="00036EEE"/>
    <w:rsid w:val="00036FEE"/>
    <w:rsid w:val="00037510"/>
    <w:rsid w:val="00037710"/>
    <w:rsid w:val="00037805"/>
    <w:rsid w:val="00037830"/>
    <w:rsid w:val="000402EF"/>
    <w:rsid w:val="0004054D"/>
    <w:rsid w:val="000408AD"/>
    <w:rsid w:val="00040B7A"/>
    <w:rsid w:val="00040CD7"/>
    <w:rsid w:val="00041018"/>
    <w:rsid w:val="000410C9"/>
    <w:rsid w:val="000422F3"/>
    <w:rsid w:val="000424E5"/>
    <w:rsid w:val="0004251C"/>
    <w:rsid w:val="00042FCC"/>
    <w:rsid w:val="000430D3"/>
    <w:rsid w:val="00043416"/>
    <w:rsid w:val="000439FB"/>
    <w:rsid w:val="00043A0D"/>
    <w:rsid w:val="00044198"/>
    <w:rsid w:val="0004427B"/>
    <w:rsid w:val="0004441F"/>
    <w:rsid w:val="000459A6"/>
    <w:rsid w:val="00046010"/>
    <w:rsid w:val="00046203"/>
    <w:rsid w:val="000465C1"/>
    <w:rsid w:val="00046942"/>
    <w:rsid w:val="0004704F"/>
    <w:rsid w:val="000473E9"/>
    <w:rsid w:val="000477D5"/>
    <w:rsid w:val="00047AA0"/>
    <w:rsid w:val="00047F80"/>
    <w:rsid w:val="00050298"/>
    <w:rsid w:val="00050B25"/>
    <w:rsid w:val="000514A4"/>
    <w:rsid w:val="00051788"/>
    <w:rsid w:val="0005220D"/>
    <w:rsid w:val="000523BE"/>
    <w:rsid w:val="0005247C"/>
    <w:rsid w:val="00052668"/>
    <w:rsid w:val="00052E78"/>
    <w:rsid w:val="000533D6"/>
    <w:rsid w:val="00053AEE"/>
    <w:rsid w:val="00053F77"/>
    <w:rsid w:val="00054B42"/>
    <w:rsid w:val="00054EFB"/>
    <w:rsid w:val="000553A0"/>
    <w:rsid w:val="00055659"/>
    <w:rsid w:val="00055D10"/>
    <w:rsid w:val="00055F14"/>
    <w:rsid w:val="000572F8"/>
    <w:rsid w:val="000574AF"/>
    <w:rsid w:val="000577A4"/>
    <w:rsid w:val="00057986"/>
    <w:rsid w:val="000601E2"/>
    <w:rsid w:val="00060D79"/>
    <w:rsid w:val="000612D5"/>
    <w:rsid w:val="000615F4"/>
    <w:rsid w:val="00061656"/>
    <w:rsid w:val="0006235F"/>
    <w:rsid w:val="00063F93"/>
    <w:rsid w:val="0006426D"/>
    <w:rsid w:val="000647B9"/>
    <w:rsid w:val="00064A3F"/>
    <w:rsid w:val="00065B08"/>
    <w:rsid w:val="00065F0B"/>
    <w:rsid w:val="0006654E"/>
    <w:rsid w:val="00066B87"/>
    <w:rsid w:val="00066E82"/>
    <w:rsid w:val="0006716B"/>
    <w:rsid w:val="000672B0"/>
    <w:rsid w:val="00067AEE"/>
    <w:rsid w:val="00067CBD"/>
    <w:rsid w:val="000700B6"/>
    <w:rsid w:val="000706F2"/>
    <w:rsid w:val="00071342"/>
    <w:rsid w:val="00071674"/>
    <w:rsid w:val="000719B3"/>
    <w:rsid w:val="00071B2A"/>
    <w:rsid w:val="00071CD1"/>
    <w:rsid w:val="000720B1"/>
    <w:rsid w:val="000722BA"/>
    <w:rsid w:val="00073313"/>
    <w:rsid w:val="00073592"/>
    <w:rsid w:val="00074380"/>
    <w:rsid w:val="0007476F"/>
    <w:rsid w:val="00074969"/>
    <w:rsid w:val="00074E4E"/>
    <w:rsid w:val="000751C2"/>
    <w:rsid w:val="000754F0"/>
    <w:rsid w:val="00075827"/>
    <w:rsid w:val="00075867"/>
    <w:rsid w:val="00076621"/>
    <w:rsid w:val="000809FA"/>
    <w:rsid w:val="000811BB"/>
    <w:rsid w:val="00081718"/>
    <w:rsid w:val="00081A2D"/>
    <w:rsid w:val="00081E3B"/>
    <w:rsid w:val="00082C8A"/>
    <w:rsid w:val="000839DA"/>
    <w:rsid w:val="00083D2F"/>
    <w:rsid w:val="000858CE"/>
    <w:rsid w:val="00085B2D"/>
    <w:rsid w:val="00085F58"/>
    <w:rsid w:val="00086094"/>
    <w:rsid w:val="00086CBB"/>
    <w:rsid w:val="00086FE2"/>
    <w:rsid w:val="0008724E"/>
    <w:rsid w:val="00087397"/>
    <w:rsid w:val="000873C5"/>
    <w:rsid w:val="00087474"/>
    <w:rsid w:val="00087562"/>
    <w:rsid w:val="00087B20"/>
    <w:rsid w:val="00087EDE"/>
    <w:rsid w:val="00090713"/>
    <w:rsid w:val="00090C98"/>
    <w:rsid w:val="00090F90"/>
    <w:rsid w:val="000911A7"/>
    <w:rsid w:val="0009128B"/>
    <w:rsid w:val="00091C35"/>
    <w:rsid w:val="00092E5F"/>
    <w:rsid w:val="00093081"/>
    <w:rsid w:val="000930ED"/>
    <w:rsid w:val="000931A1"/>
    <w:rsid w:val="0009357E"/>
    <w:rsid w:val="000935D3"/>
    <w:rsid w:val="000941FE"/>
    <w:rsid w:val="00094977"/>
    <w:rsid w:val="00095228"/>
    <w:rsid w:val="000955F1"/>
    <w:rsid w:val="0009598A"/>
    <w:rsid w:val="00095FAD"/>
    <w:rsid w:val="000960A5"/>
    <w:rsid w:val="00096258"/>
    <w:rsid w:val="000966C9"/>
    <w:rsid w:val="00096B38"/>
    <w:rsid w:val="00096C92"/>
    <w:rsid w:val="00096D77"/>
    <w:rsid w:val="00096FB7"/>
    <w:rsid w:val="0009720C"/>
    <w:rsid w:val="000974B4"/>
    <w:rsid w:val="00097BC3"/>
    <w:rsid w:val="00097DCC"/>
    <w:rsid w:val="00097E5A"/>
    <w:rsid w:val="000A0780"/>
    <w:rsid w:val="000A096D"/>
    <w:rsid w:val="000A1AD9"/>
    <w:rsid w:val="000A1DFA"/>
    <w:rsid w:val="000A1E13"/>
    <w:rsid w:val="000A2AE8"/>
    <w:rsid w:val="000A2C43"/>
    <w:rsid w:val="000A3466"/>
    <w:rsid w:val="000A4317"/>
    <w:rsid w:val="000A4682"/>
    <w:rsid w:val="000A51C0"/>
    <w:rsid w:val="000A526D"/>
    <w:rsid w:val="000A5384"/>
    <w:rsid w:val="000A545E"/>
    <w:rsid w:val="000A574B"/>
    <w:rsid w:val="000A6099"/>
    <w:rsid w:val="000A62C7"/>
    <w:rsid w:val="000A6C33"/>
    <w:rsid w:val="000B0366"/>
    <w:rsid w:val="000B039F"/>
    <w:rsid w:val="000B03A9"/>
    <w:rsid w:val="000B06BE"/>
    <w:rsid w:val="000B08C6"/>
    <w:rsid w:val="000B0F4C"/>
    <w:rsid w:val="000B10FE"/>
    <w:rsid w:val="000B2834"/>
    <w:rsid w:val="000B2DC8"/>
    <w:rsid w:val="000B53CB"/>
    <w:rsid w:val="000B57A6"/>
    <w:rsid w:val="000B5913"/>
    <w:rsid w:val="000B5D20"/>
    <w:rsid w:val="000B6542"/>
    <w:rsid w:val="000B66C9"/>
    <w:rsid w:val="000B677E"/>
    <w:rsid w:val="000B67F7"/>
    <w:rsid w:val="000B7D1F"/>
    <w:rsid w:val="000C0209"/>
    <w:rsid w:val="000C058D"/>
    <w:rsid w:val="000C0607"/>
    <w:rsid w:val="000C0C71"/>
    <w:rsid w:val="000C0E48"/>
    <w:rsid w:val="000C11F6"/>
    <w:rsid w:val="000C132C"/>
    <w:rsid w:val="000C13D8"/>
    <w:rsid w:val="000C14E1"/>
    <w:rsid w:val="000C1F03"/>
    <w:rsid w:val="000C1F97"/>
    <w:rsid w:val="000C2011"/>
    <w:rsid w:val="000C254C"/>
    <w:rsid w:val="000C2DB5"/>
    <w:rsid w:val="000C2DB9"/>
    <w:rsid w:val="000C30F1"/>
    <w:rsid w:val="000C33BF"/>
    <w:rsid w:val="000C33CA"/>
    <w:rsid w:val="000C3593"/>
    <w:rsid w:val="000C386B"/>
    <w:rsid w:val="000C3A8B"/>
    <w:rsid w:val="000C3BB8"/>
    <w:rsid w:val="000C3BF6"/>
    <w:rsid w:val="000C3E2A"/>
    <w:rsid w:val="000C3F5E"/>
    <w:rsid w:val="000C46D6"/>
    <w:rsid w:val="000C4884"/>
    <w:rsid w:val="000C5582"/>
    <w:rsid w:val="000C6563"/>
    <w:rsid w:val="000C6A14"/>
    <w:rsid w:val="000C6C80"/>
    <w:rsid w:val="000C7261"/>
    <w:rsid w:val="000C7CC9"/>
    <w:rsid w:val="000C7FF2"/>
    <w:rsid w:val="000D0247"/>
    <w:rsid w:val="000D04FD"/>
    <w:rsid w:val="000D1580"/>
    <w:rsid w:val="000D24AF"/>
    <w:rsid w:val="000D2669"/>
    <w:rsid w:val="000D26E2"/>
    <w:rsid w:val="000D29A5"/>
    <w:rsid w:val="000D2BAC"/>
    <w:rsid w:val="000D34F8"/>
    <w:rsid w:val="000D357C"/>
    <w:rsid w:val="000D36F6"/>
    <w:rsid w:val="000D487E"/>
    <w:rsid w:val="000D4ADE"/>
    <w:rsid w:val="000D4D01"/>
    <w:rsid w:val="000D5138"/>
    <w:rsid w:val="000D5BA5"/>
    <w:rsid w:val="000D6B92"/>
    <w:rsid w:val="000D6D58"/>
    <w:rsid w:val="000D6D88"/>
    <w:rsid w:val="000D7726"/>
    <w:rsid w:val="000D7CF1"/>
    <w:rsid w:val="000D7EC8"/>
    <w:rsid w:val="000E006B"/>
    <w:rsid w:val="000E0415"/>
    <w:rsid w:val="000E04A3"/>
    <w:rsid w:val="000E06E5"/>
    <w:rsid w:val="000E08F1"/>
    <w:rsid w:val="000E0A08"/>
    <w:rsid w:val="000E0A1F"/>
    <w:rsid w:val="000E1DD8"/>
    <w:rsid w:val="000E1F2C"/>
    <w:rsid w:val="000E2463"/>
    <w:rsid w:val="000E2E3A"/>
    <w:rsid w:val="000E37A2"/>
    <w:rsid w:val="000E38C2"/>
    <w:rsid w:val="000E38CE"/>
    <w:rsid w:val="000E3A7D"/>
    <w:rsid w:val="000E5281"/>
    <w:rsid w:val="000E6A76"/>
    <w:rsid w:val="000E6B67"/>
    <w:rsid w:val="000E6E16"/>
    <w:rsid w:val="000E6FC7"/>
    <w:rsid w:val="000E7295"/>
    <w:rsid w:val="000E745C"/>
    <w:rsid w:val="000E7809"/>
    <w:rsid w:val="000E7A26"/>
    <w:rsid w:val="000E7A32"/>
    <w:rsid w:val="000F01ED"/>
    <w:rsid w:val="000F1127"/>
    <w:rsid w:val="000F1309"/>
    <w:rsid w:val="000F1D67"/>
    <w:rsid w:val="000F243C"/>
    <w:rsid w:val="000F2444"/>
    <w:rsid w:val="000F2639"/>
    <w:rsid w:val="000F2733"/>
    <w:rsid w:val="000F27EA"/>
    <w:rsid w:val="000F2B34"/>
    <w:rsid w:val="000F2D04"/>
    <w:rsid w:val="000F3332"/>
    <w:rsid w:val="000F33CA"/>
    <w:rsid w:val="000F3415"/>
    <w:rsid w:val="000F3480"/>
    <w:rsid w:val="000F3907"/>
    <w:rsid w:val="000F4190"/>
    <w:rsid w:val="000F428B"/>
    <w:rsid w:val="000F4BC2"/>
    <w:rsid w:val="000F5797"/>
    <w:rsid w:val="000F58B2"/>
    <w:rsid w:val="000F5EED"/>
    <w:rsid w:val="000F6214"/>
    <w:rsid w:val="000F64C2"/>
    <w:rsid w:val="000F6698"/>
    <w:rsid w:val="000F6717"/>
    <w:rsid w:val="000F6938"/>
    <w:rsid w:val="000F6B35"/>
    <w:rsid w:val="000F6E10"/>
    <w:rsid w:val="000F71D2"/>
    <w:rsid w:val="000F73B0"/>
    <w:rsid w:val="000F7968"/>
    <w:rsid w:val="000F7996"/>
    <w:rsid w:val="000F79CF"/>
    <w:rsid w:val="000F7AEE"/>
    <w:rsid w:val="000F7CAE"/>
    <w:rsid w:val="00100240"/>
    <w:rsid w:val="00101259"/>
    <w:rsid w:val="00102319"/>
    <w:rsid w:val="00102572"/>
    <w:rsid w:val="00102F55"/>
    <w:rsid w:val="00103C3E"/>
    <w:rsid w:val="00103DA4"/>
    <w:rsid w:val="001042D0"/>
    <w:rsid w:val="001045D3"/>
    <w:rsid w:val="00104C6A"/>
    <w:rsid w:val="00104D9E"/>
    <w:rsid w:val="0010549D"/>
    <w:rsid w:val="00105578"/>
    <w:rsid w:val="00106166"/>
    <w:rsid w:val="001063D7"/>
    <w:rsid w:val="001065E8"/>
    <w:rsid w:val="00106B65"/>
    <w:rsid w:val="00106CAF"/>
    <w:rsid w:val="00106EFB"/>
    <w:rsid w:val="001070C5"/>
    <w:rsid w:val="001071E5"/>
    <w:rsid w:val="00107208"/>
    <w:rsid w:val="001075F9"/>
    <w:rsid w:val="00107E81"/>
    <w:rsid w:val="00110348"/>
    <w:rsid w:val="0011092F"/>
    <w:rsid w:val="001116BB"/>
    <w:rsid w:val="00111BE0"/>
    <w:rsid w:val="00111E00"/>
    <w:rsid w:val="00112349"/>
    <w:rsid w:val="00112CD2"/>
    <w:rsid w:val="00112DB4"/>
    <w:rsid w:val="00113169"/>
    <w:rsid w:val="0011352E"/>
    <w:rsid w:val="001135A0"/>
    <w:rsid w:val="00113A86"/>
    <w:rsid w:val="00113B02"/>
    <w:rsid w:val="00113E50"/>
    <w:rsid w:val="0011449F"/>
    <w:rsid w:val="00114A71"/>
    <w:rsid w:val="00114B33"/>
    <w:rsid w:val="001154FA"/>
    <w:rsid w:val="00115524"/>
    <w:rsid w:val="001159CB"/>
    <w:rsid w:val="00115A94"/>
    <w:rsid w:val="00116530"/>
    <w:rsid w:val="00116A62"/>
    <w:rsid w:val="00116B60"/>
    <w:rsid w:val="00117307"/>
    <w:rsid w:val="001179D5"/>
    <w:rsid w:val="00117F26"/>
    <w:rsid w:val="0012039D"/>
    <w:rsid w:val="00120CE1"/>
    <w:rsid w:val="00121421"/>
    <w:rsid w:val="00121602"/>
    <w:rsid w:val="001216AE"/>
    <w:rsid w:val="001226F8"/>
    <w:rsid w:val="00122C45"/>
    <w:rsid w:val="00122F2A"/>
    <w:rsid w:val="00123020"/>
    <w:rsid w:val="001231EF"/>
    <w:rsid w:val="001239C7"/>
    <w:rsid w:val="001240DB"/>
    <w:rsid w:val="00124773"/>
    <w:rsid w:val="00124D05"/>
    <w:rsid w:val="0012546A"/>
    <w:rsid w:val="001261CF"/>
    <w:rsid w:val="00126607"/>
    <w:rsid w:val="00126880"/>
    <w:rsid w:val="00126B38"/>
    <w:rsid w:val="00126E21"/>
    <w:rsid w:val="001270B8"/>
    <w:rsid w:val="00127158"/>
    <w:rsid w:val="00127424"/>
    <w:rsid w:val="00127452"/>
    <w:rsid w:val="00127B89"/>
    <w:rsid w:val="00127CA6"/>
    <w:rsid w:val="00127D8F"/>
    <w:rsid w:val="00130914"/>
    <w:rsid w:val="00130960"/>
    <w:rsid w:val="00131201"/>
    <w:rsid w:val="001315F7"/>
    <w:rsid w:val="00131B25"/>
    <w:rsid w:val="00132375"/>
    <w:rsid w:val="00132D13"/>
    <w:rsid w:val="00132D2C"/>
    <w:rsid w:val="001330F3"/>
    <w:rsid w:val="0013315F"/>
    <w:rsid w:val="00133786"/>
    <w:rsid w:val="00133874"/>
    <w:rsid w:val="00133A5C"/>
    <w:rsid w:val="0013403E"/>
    <w:rsid w:val="00134214"/>
    <w:rsid w:val="0013434E"/>
    <w:rsid w:val="001348B7"/>
    <w:rsid w:val="00134B8E"/>
    <w:rsid w:val="00134DBE"/>
    <w:rsid w:val="00135082"/>
    <w:rsid w:val="00135834"/>
    <w:rsid w:val="00135B0C"/>
    <w:rsid w:val="00135D81"/>
    <w:rsid w:val="00135E1B"/>
    <w:rsid w:val="00136221"/>
    <w:rsid w:val="0013659C"/>
    <w:rsid w:val="001368FA"/>
    <w:rsid w:val="001374EA"/>
    <w:rsid w:val="00137C61"/>
    <w:rsid w:val="00140203"/>
    <w:rsid w:val="0014054F"/>
    <w:rsid w:val="00140831"/>
    <w:rsid w:val="001413FB"/>
    <w:rsid w:val="0014158D"/>
    <w:rsid w:val="00141AD3"/>
    <w:rsid w:val="00141D36"/>
    <w:rsid w:val="00142311"/>
    <w:rsid w:val="001425A0"/>
    <w:rsid w:val="001427BC"/>
    <w:rsid w:val="00143238"/>
    <w:rsid w:val="001432FA"/>
    <w:rsid w:val="00143B24"/>
    <w:rsid w:val="00143B2E"/>
    <w:rsid w:val="001449EF"/>
    <w:rsid w:val="00144FB9"/>
    <w:rsid w:val="001453BA"/>
    <w:rsid w:val="001454BD"/>
    <w:rsid w:val="00145862"/>
    <w:rsid w:val="00145B71"/>
    <w:rsid w:val="00146344"/>
    <w:rsid w:val="0014638B"/>
    <w:rsid w:val="00146B36"/>
    <w:rsid w:val="00146ECE"/>
    <w:rsid w:val="00147410"/>
    <w:rsid w:val="00147D93"/>
    <w:rsid w:val="00150646"/>
    <w:rsid w:val="0015109D"/>
    <w:rsid w:val="00151573"/>
    <w:rsid w:val="00151ADD"/>
    <w:rsid w:val="00152804"/>
    <w:rsid w:val="001528C1"/>
    <w:rsid w:val="0015323A"/>
    <w:rsid w:val="001532F9"/>
    <w:rsid w:val="001534FC"/>
    <w:rsid w:val="00153A43"/>
    <w:rsid w:val="00154311"/>
    <w:rsid w:val="00155117"/>
    <w:rsid w:val="001557F9"/>
    <w:rsid w:val="001558DF"/>
    <w:rsid w:val="001560DA"/>
    <w:rsid w:val="00156B35"/>
    <w:rsid w:val="00156F05"/>
    <w:rsid w:val="0015726C"/>
    <w:rsid w:val="00157655"/>
    <w:rsid w:val="0016039E"/>
    <w:rsid w:val="001609E6"/>
    <w:rsid w:val="00160DB1"/>
    <w:rsid w:val="00161204"/>
    <w:rsid w:val="00161257"/>
    <w:rsid w:val="00161502"/>
    <w:rsid w:val="0016151D"/>
    <w:rsid w:val="0016199F"/>
    <w:rsid w:val="00161DA4"/>
    <w:rsid w:val="00162169"/>
    <w:rsid w:val="00162756"/>
    <w:rsid w:val="0016381E"/>
    <w:rsid w:val="00163A31"/>
    <w:rsid w:val="00164110"/>
    <w:rsid w:val="001643E3"/>
    <w:rsid w:val="0016450E"/>
    <w:rsid w:val="00164B8B"/>
    <w:rsid w:val="00164EFC"/>
    <w:rsid w:val="00164F02"/>
    <w:rsid w:val="0016587F"/>
    <w:rsid w:val="00165F68"/>
    <w:rsid w:val="00166399"/>
    <w:rsid w:val="00166A53"/>
    <w:rsid w:val="00166D5A"/>
    <w:rsid w:val="001674B9"/>
    <w:rsid w:val="001677CC"/>
    <w:rsid w:val="001703BB"/>
    <w:rsid w:val="0017047C"/>
    <w:rsid w:val="00170537"/>
    <w:rsid w:val="001705A9"/>
    <w:rsid w:val="00170608"/>
    <w:rsid w:val="00170948"/>
    <w:rsid w:val="0017099D"/>
    <w:rsid w:val="00170DA0"/>
    <w:rsid w:val="00171051"/>
    <w:rsid w:val="00171856"/>
    <w:rsid w:val="001727F4"/>
    <w:rsid w:val="00172DE5"/>
    <w:rsid w:val="00172F30"/>
    <w:rsid w:val="00174141"/>
    <w:rsid w:val="0017442F"/>
    <w:rsid w:val="001744B3"/>
    <w:rsid w:val="0017479D"/>
    <w:rsid w:val="001747EF"/>
    <w:rsid w:val="00174C95"/>
    <w:rsid w:val="00174D0B"/>
    <w:rsid w:val="001750CB"/>
    <w:rsid w:val="001755F2"/>
    <w:rsid w:val="001756FD"/>
    <w:rsid w:val="001762F7"/>
    <w:rsid w:val="00177095"/>
    <w:rsid w:val="00177A19"/>
    <w:rsid w:val="00177C00"/>
    <w:rsid w:val="00177F3F"/>
    <w:rsid w:val="00181601"/>
    <w:rsid w:val="0018184C"/>
    <w:rsid w:val="001820E2"/>
    <w:rsid w:val="00182C1D"/>
    <w:rsid w:val="00183185"/>
    <w:rsid w:val="00184C85"/>
    <w:rsid w:val="00184EB5"/>
    <w:rsid w:val="00184FC1"/>
    <w:rsid w:val="00184FCD"/>
    <w:rsid w:val="001852FE"/>
    <w:rsid w:val="00185661"/>
    <w:rsid w:val="00186022"/>
    <w:rsid w:val="001862D2"/>
    <w:rsid w:val="0018648B"/>
    <w:rsid w:val="001866D0"/>
    <w:rsid w:val="0018687D"/>
    <w:rsid w:val="00186C04"/>
    <w:rsid w:val="00187606"/>
    <w:rsid w:val="001876EB"/>
    <w:rsid w:val="0018772B"/>
    <w:rsid w:val="00187AE8"/>
    <w:rsid w:val="00190358"/>
    <w:rsid w:val="00190954"/>
    <w:rsid w:val="00190ECB"/>
    <w:rsid w:val="001910A7"/>
    <w:rsid w:val="00191290"/>
    <w:rsid w:val="00192796"/>
    <w:rsid w:val="0019375F"/>
    <w:rsid w:val="00193BBB"/>
    <w:rsid w:val="00193BC5"/>
    <w:rsid w:val="00194201"/>
    <w:rsid w:val="001945E0"/>
    <w:rsid w:val="001952CF"/>
    <w:rsid w:val="001966B4"/>
    <w:rsid w:val="00196943"/>
    <w:rsid w:val="001969D6"/>
    <w:rsid w:val="00197018"/>
    <w:rsid w:val="00197029"/>
    <w:rsid w:val="001977A5"/>
    <w:rsid w:val="00197B4F"/>
    <w:rsid w:val="00197C62"/>
    <w:rsid w:val="001A00CA"/>
    <w:rsid w:val="001A12AF"/>
    <w:rsid w:val="001A17FF"/>
    <w:rsid w:val="001A195B"/>
    <w:rsid w:val="001A1B9A"/>
    <w:rsid w:val="001A1F60"/>
    <w:rsid w:val="001A22EA"/>
    <w:rsid w:val="001A3567"/>
    <w:rsid w:val="001A407F"/>
    <w:rsid w:val="001A46D0"/>
    <w:rsid w:val="001A54FC"/>
    <w:rsid w:val="001A5513"/>
    <w:rsid w:val="001A574A"/>
    <w:rsid w:val="001A59FE"/>
    <w:rsid w:val="001A5C1E"/>
    <w:rsid w:val="001A60D1"/>
    <w:rsid w:val="001A6941"/>
    <w:rsid w:val="001A6B87"/>
    <w:rsid w:val="001A6E17"/>
    <w:rsid w:val="001A6F89"/>
    <w:rsid w:val="001A7358"/>
    <w:rsid w:val="001A739F"/>
    <w:rsid w:val="001A7435"/>
    <w:rsid w:val="001A79BC"/>
    <w:rsid w:val="001B16F1"/>
    <w:rsid w:val="001B1C1F"/>
    <w:rsid w:val="001B24DD"/>
    <w:rsid w:val="001B2B35"/>
    <w:rsid w:val="001B2D85"/>
    <w:rsid w:val="001B315E"/>
    <w:rsid w:val="001B33B8"/>
    <w:rsid w:val="001B3F41"/>
    <w:rsid w:val="001B4676"/>
    <w:rsid w:val="001B4A54"/>
    <w:rsid w:val="001B5571"/>
    <w:rsid w:val="001B6652"/>
    <w:rsid w:val="001B6D0D"/>
    <w:rsid w:val="001B75D4"/>
    <w:rsid w:val="001B782F"/>
    <w:rsid w:val="001B79F4"/>
    <w:rsid w:val="001C00DE"/>
    <w:rsid w:val="001C0101"/>
    <w:rsid w:val="001C0A0E"/>
    <w:rsid w:val="001C115F"/>
    <w:rsid w:val="001C16AB"/>
    <w:rsid w:val="001C1E36"/>
    <w:rsid w:val="001C1E78"/>
    <w:rsid w:val="001C2726"/>
    <w:rsid w:val="001C273E"/>
    <w:rsid w:val="001C2771"/>
    <w:rsid w:val="001C288D"/>
    <w:rsid w:val="001C322B"/>
    <w:rsid w:val="001C32D8"/>
    <w:rsid w:val="001C3311"/>
    <w:rsid w:val="001C38DD"/>
    <w:rsid w:val="001C3FF6"/>
    <w:rsid w:val="001C4615"/>
    <w:rsid w:val="001C463D"/>
    <w:rsid w:val="001C48B2"/>
    <w:rsid w:val="001C4F46"/>
    <w:rsid w:val="001C5091"/>
    <w:rsid w:val="001C5931"/>
    <w:rsid w:val="001C6000"/>
    <w:rsid w:val="001C632B"/>
    <w:rsid w:val="001C6785"/>
    <w:rsid w:val="001C69E4"/>
    <w:rsid w:val="001C6C98"/>
    <w:rsid w:val="001D013B"/>
    <w:rsid w:val="001D03A4"/>
    <w:rsid w:val="001D07A2"/>
    <w:rsid w:val="001D0D1F"/>
    <w:rsid w:val="001D0EA1"/>
    <w:rsid w:val="001D11B6"/>
    <w:rsid w:val="001D2C67"/>
    <w:rsid w:val="001D323F"/>
    <w:rsid w:val="001D3858"/>
    <w:rsid w:val="001D388D"/>
    <w:rsid w:val="001D3D4E"/>
    <w:rsid w:val="001D467B"/>
    <w:rsid w:val="001D50CB"/>
    <w:rsid w:val="001D5328"/>
    <w:rsid w:val="001D533D"/>
    <w:rsid w:val="001D570E"/>
    <w:rsid w:val="001D5A75"/>
    <w:rsid w:val="001D5DBE"/>
    <w:rsid w:val="001D5EED"/>
    <w:rsid w:val="001D6286"/>
    <w:rsid w:val="001D647A"/>
    <w:rsid w:val="001D775D"/>
    <w:rsid w:val="001D77D5"/>
    <w:rsid w:val="001D7E8D"/>
    <w:rsid w:val="001D7F06"/>
    <w:rsid w:val="001E047E"/>
    <w:rsid w:val="001E0B00"/>
    <w:rsid w:val="001E16C2"/>
    <w:rsid w:val="001E221C"/>
    <w:rsid w:val="001E23D3"/>
    <w:rsid w:val="001E2BF8"/>
    <w:rsid w:val="001E2C2C"/>
    <w:rsid w:val="001E2C79"/>
    <w:rsid w:val="001E2DA8"/>
    <w:rsid w:val="001E2DB5"/>
    <w:rsid w:val="001E2FC8"/>
    <w:rsid w:val="001E34B9"/>
    <w:rsid w:val="001E3958"/>
    <w:rsid w:val="001E3E37"/>
    <w:rsid w:val="001E4035"/>
    <w:rsid w:val="001E4066"/>
    <w:rsid w:val="001E4272"/>
    <w:rsid w:val="001E451B"/>
    <w:rsid w:val="001E4BA9"/>
    <w:rsid w:val="001E4D02"/>
    <w:rsid w:val="001E510D"/>
    <w:rsid w:val="001E53AD"/>
    <w:rsid w:val="001E5BCE"/>
    <w:rsid w:val="001E5E8F"/>
    <w:rsid w:val="001E600A"/>
    <w:rsid w:val="001E6D55"/>
    <w:rsid w:val="001E6E96"/>
    <w:rsid w:val="001E6FC9"/>
    <w:rsid w:val="001F027D"/>
    <w:rsid w:val="001F089B"/>
    <w:rsid w:val="001F0C58"/>
    <w:rsid w:val="001F13F7"/>
    <w:rsid w:val="001F1DB6"/>
    <w:rsid w:val="001F2669"/>
    <w:rsid w:val="001F2B29"/>
    <w:rsid w:val="001F3329"/>
    <w:rsid w:val="001F33A3"/>
    <w:rsid w:val="001F3510"/>
    <w:rsid w:val="001F43A8"/>
    <w:rsid w:val="001F4DD0"/>
    <w:rsid w:val="001F4ED5"/>
    <w:rsid w:val="001F560E"/>
    <w:rsid w:val="001F5692"/>
    <w:rsid w:val="001F580A"/>
    <w:rsid w:val="001F64CA"/>
    <w:rsid w:val="001F6A98"/>
    <w:rsid w:val="001F6CED"/>
    <w:rsid w:val="001F6E4C"/>
    <w:rsid w:val="001F6E68"/>
    <w:rsid w:val="001F6FF0"/>
    <w:rsid w:val="001F7FFA"/>
    <w:rsid w:val="00200290"/>
    <w:rsid w:val="0020086A"/>
    <w:rsid w:val="002019A0"/>
    <w:rsid w:val="00202226"/>
    <w:rsid w:val="002028BF"/>
    <w:rsid w:val="00203834"/>
    <w:rsid w:val="00203AE5"/>
    <w:rsid w:val="00203DB6"/>
    <w:rsid w:val="002047E4"/>
    <w:rsid w:val="00205738"/>
    <w:rsid w:val="00205D34"/>
    <w:rsid w:val="00205DC0"/>
    <w:rsid w:val="00206264"/>
    <w:rsid w:val="00206873"/>
    <w:rsid w:val="002073C7"/>
    <w:rsid w:val="002076A2"/>
    <w:rsid w:val="0020798C"/>
    <w:rsid w:val="00207A1A"/>
    <w:rsid w:val="00207B34"/>
    <w:rsid w:val="00207E72"/>
    <w:rsid w:val="002107CD"/>
    <w:rsid w:val="00211D53"/>
    <w:rsid w:val="00212302"/>
    <w:rsid w:val="0021245A"/>
    <w:rsid w:val="00212E88"/>
    <w:rsid w:val="0021352C"/>
    <w:rsid w:val="002135D0"/>
    <w:rsid w:val="00213A98"/>
    <w:rsid w:val="00214A14"/>
    <w:rsid w:val="00214AB9"/>
    <w:rsid w:val="00214D34"/>
    <w:rsid w:val="002150D9"/>
    <w:rsid w:val="00215BB7"/>
    <w:rsid w:val="00215E56"/>
    <w:rsid w:val="00216979"/>
    <w:rsid w:val="00216999"/>
    <w:rsid w:val="00216C93"/>
    <w:rsid w:val="00216CC2"/>
    <w:rsid w:val="00217837"/>
    <w:rsid w:val="00217C0A"/>
    <w:rsid w:val="00217DE4"/>
    <w:rsid w:val="00217E26"/>
    <w:rsid w:val="00220266"/>
    <w:rsid w:val="00220350"/>
    <w:rsid w:val="002206C3"/>
    <w:rsid w:val="002208E6"/>
    <w:rsid w:val="00220C2C"/>
    <w:rsid w:val="00221175"/>
    <w:rsid w:val="00221251"/>
    <w:rsid w:val="00221A61"/>
    <w:rsid w:val="0022202C"/>
    <w:rsid w:val="002223B4"/>
    <w:rsid w:val="00224702"/>
    <w:rsid w:val="00224783"/>
    <w:rsid w:val="002247E2"/>
    <w:rsid w:val="002249CC"/>
    <w:rsid w:val="00224F7C"/>
    <w:rsid w:val="00225038"/>
    <w:rsid w:val="00225AF2"/>
    <w:rsid w:val="002260D7"/>
    <w:rsid w:val="0022646E"/>
    <w:rsid w:val="002271F0"/>
    <w:rsid w:val="002303C1"/>
    <w:rsid w:val="002309DA"/>
    <w:rsid w:val="00230B3D"/>
    <w:rsid w:val="00230D83"/>
    <w:rsid w:val="00230F2A"/>
    <w:rsid w:val="002318D4"/>
    <w:rsid w:val="00231B32"/>
    <w:rsid w:val="0023249C"/>
    <w:rsid w:val="00232AA0"/>
    <w:rsid w:val="00232DC3"/>
    <w:rsid w:val="00233165"/>
    <w:rsid w:val="00233CE6"/>
    <w:rsid w:val="00235162"/>
    <w:rsid w:val="00235167"/>
    <w:rsid w:val="00235748"/>
    <w:rsid w:val="0023593C"/>
    <w:rsid w:val="002366B6"/>
    <w:rsid w:val="00236AB1"/>
    <w:rsid w:val="00236F12"/>
    <w:rsid w:val="002377ED"/>
    <w:rsid w:val="00237B8D"/>
    <w:rsid w:val="00237FFA"/>
    <w:rsid w:val="0024031C"/>
    <w:rsid w:val="0024072A"/>
    <w:rsid w:val="00240E6A"/>
    <w:rsid w:val="00240EAC"/>
    <w:rsid w:val="00241573"/>
    <w:rsid w:val="00241DA9"/>
    <w:rsid w:val="002429CE"/>
    <w:rsid w:val="002430AE"/>
    <w:rsid w:val="002432CE"/>
    <w:rsid w:val="00243314"/>
    <w:rsid w:val="00243699"/>
    <w:rsid w:val="00243A62"/>
    <w:rsid w:val="00243BC0"/>
    <w:rsid w:val="00244459"/>
    <w:rsid w:val="00244B73"/>
    <w:rsid w:val="00244DC0"/>
    <w:rsid w:val="00245081"/>
    <w:rsid w:val="00245548"/>
    <w:rsid w:val="00245BBA"/>
    <w:rsid w:val="00245C77"/>
    <w:rsid w:val="002460C2"/>
    <w:rsid w:val="002464A0"/>
    <w:rsid w:val="002465D0"/>
    <w:rsid w:val="00246B4F"/>
    <w:rsid w:val="00246C17"/>
    <w:rsid w:val="00246FCC"/>
    <w:rsid w:val="002474FB"/>
    <w:rsid w:val="00247EF0"/>
    <w:rsid w:val="0025019E"/>
    <w:rsid w:val="002504F7"/>
    <w:rsid w:val="00250EC9"/>
    <w:rsid w:val="00251923"/>
    <w:rsid w:val="00252325"/>
    <w:rsid w:val="00252421"/>
    <w:rsid w:val="0025279D"/>
    <w:rsid w:val="00252B5B"/>
    <w:rsid w:val="00252E8A"/>
    <w:rsid w:val="00253061"/>
    <w:rsid w:val="002532F6"/>
    <w:rsid w:val="002534FE"/>
    <w:rsid w:val="0025350C"/>
    <w:rsid w:val="00253952"/>
    <w:rsid w:val="00254307"/>
    <w:rsid w:val="002547ED"/>
    <w:rsid w:val="0025490B"/>
    <w:rsid w:val="00254A30"/>
    <w:rsid w:val="002550D4"/>
    <w:rsid w:val="00255137"/>
    <w:rsid w:val="00255C3D"/>
    <w:rsid w:val="0025636E"/>
    <w:rsid w:val="00256831"/>
    <w:rsid w:val="00256DE5"/>
    <w:rsid w:val="00256EAD"/>
    <w:rsid w:val="0025759A"/>
    <w:rsid w:val="00257B43"/>
    <w:rsid w:val="00260779"/>
    <w:rsid w:val="00260D9E"/>
    <w:rsid w:val="0026181D"/>
    <w:rsid w:val="00261C8B"/>
    <w:rsid w:val="00261D30"/>
    <w:rsid w:val="00261E41"/>
    <w:rsid w:val="002623FB"/>
    <w:rsid w:val="002625D5"/>
    <w:rsid w:val="002626E8"/>
    <w:rsid w:val="00262769"/>
    <w:rsid w:val="002627EB"/>
    <w:rsid w:val="002631D6"/>
    <w:rsid w:val="0026349C"/>
    <w:rsid w:val="00263918"/>
    <w:rsid w:val="00263A82"/>
    <w:rsid w:val="00263DD8"/>
    <w:rsid w:val="00265088"/>
    <w:rsid w:val="00266579"/>
    <w:rsid w:val="00267599"/>
    <w:rsid w:val="00267B28"/>
    <w:rsid w:val="0027004D"/>
    <w:rsid w:val="00270066"/>
    <w:rsid w:val="002703A9"/>
    <w:rsid w:val="00270745"/>
    <w:rsid w:val="00270A0B"/>
    <w:rsid w:val="00270E49"/>
    <w:rsid w:val="00270EC6"/>
    <w:rsid w:val="00270FA5"/>
    <w:rsid w:val="00271285"/>
    <w:rsid w:val="0027161F"/>
    <w:rsid w:val="00271B1B"/>
    <w:rsid w:val="00271B57"/>
    <w:rsid w:val="00271B79"/>
    <w:rsid w:val="00271B80"/>
    <w:rsid w:val="00272217"/>
    <w:rsid w:val="00272534"/>
    <w:rsid w:val="00272653"/>
    <w:rsid w:val="00272D19"/>
    <w:rsid w:val="00273642"/>
    <w:rsid w:val="00273D39"/>
    <w:rsid w:val="0027409E"/>
    <w:rsid w:val="002749D5"/>
    <w:rsid w:val="00274A03"/>
    <w:rsid w:val="00274D82"/>
    <w:rsid w:val="00274F50"/>
    <w:rsid w:val="00276307"/>
    <w:rsid w:val="002772F0"/>
    <w:rsid w:val="002777A4"/>
    <w:rsid w:val="00277A86"/>
    <w:rsid w:val="00277EA0"/>
    <w:rsid w:val="00280092"/>
    <w:rsid w:val="002816C3"/>
    <w:rsid w:val="00281965"/>
    <w:rsid w:val="00281D9F"/>
    <w:rsid w:val="00282816"/>
    <w:rsid w:val="00282980"/>
    <w:rsid w:val="002829CC"/>
    <w:rsid w:val="00282B47"/>
    <w:rsid w:val="00283020"/>
    <w:rsid w:val="002830FD"/>
    <w:rsid w:val="00283196"/>
    <w:rsid w:val="002847EC"/>
    <w:rsid w:val="0028497B"/>
    <w:rsid w:val="00284C58"/>
    <w:rsid w:val="00284D38"/>
    <w:rsid w:val="00285736"/>
    <w:rsid w:val="0028583A"/>
    <w:rsid w:val="00285D3C"/>
    <w:rsid w:val="00285E71"/>
    <w:rsid w:val="00285EFE"/>
    <w:rsid w:val="00285FF5"/>
    <w:rsid w:val="0028644E"/>
    <w:rsid w:val="00286731"/>
    <w:rsid w:val="0028688C"/>
    <w:rsid w:val="002870EC"/>
    <w:rsid w:val="00287525"/>
    <w:rsid w:val="00287922"/>
    <w:rsid w:val="0029137D"/>
    <w:rsid w:val="00291B09"/>
    <w:rsid w:val="00292061"/>
    <w:rsid w:val="00292196"/>
    <w:rsid w:val="00292BEC"/>
    <w:rsid w:val="00292E29"/>
    <w:rsid w:val="0029300D"/>
    <w:rsid w:val="00293470"/>
    <w:rsid w:val="002935EA"/>
    <w:rsid w:val="00293BE1"/>
    <w:rsid w:val="002946B1"/>
    <w:rsid w:val="00294B96"/>
    <w:rsid w:val="00295117"/>
    <w:rsid w:val="00295276"/>
    <w:rsid w:val="0029543C"/>
    <w:rsid w:val="002964C6"/>
    <w:rsid w:val="00296B54"/>
    <w:rsid w:val="002971C9"/>
    <w:rsid w:val="00297777"/>
    <w:rsid w:val="002977D6"/>
    <w:rsid w:val="002977E2"/>
    <w:rsid w:val="002A034F"/>
    <w:rsid w:val="002A093A"/>
    <w:rsid w:val="002A0961"/>
    <w:rsid w:val="002A0D5C"/>
    <w:rsid w:val="002A144C"/>
    <w:rsid w:val="002A1699"/>
    <w:rsid w:val="002A18A3"/>
    <w:rsid w:val="002A1F91"/>
    <w:rsid w:val="002A26CC"/>
    <w:rsid w:val="002A2A13"/>
    <w:rsid w:val="002A2D02"/>
    <w:rsid w:val="002A3BEB"/>
    <w:rsid w:val="002A4456"/>
    <w:rsid w:val="002A4696"/>
    <w:rsid w:val="002A5059"/>
    <w:rsid w:val="002A52BD"/>
    <w:rsid w:val="002A5C10"/>
    <w:rsid w:val="002A69B6"/>
    <w:rsid w:val="002A730B"/>
    <w:rsid w:val="002A75AD"/>
    <w:rsid w:val="002A7B4F"/>
    <w:rsid w:val="002A7BD6"/>
    <w:rsid w:val="002B031E"/>
    <w:rsid w:val="002B0C89"/>
    <w:rsid w:val="002B1117"/>
    <w:rsid w:val="002B23B6"/>
    <w:rsid w:val="002B2809"/>
    <w:rsid w:val="002B315E"/>
    <w:rsid w:val="002B35A7"/>
    <w:rsid w:val="002B382B"/>
    <w:rsid w:val="002B4239"/>
    <w:rsid w:val="002B44E1"/>
    <w:rsid w:val="002B50A9"/>
    <w:rsid w:val="002B5A9E"/>
    <w:rsid w:val="002B5F5B"/>
    <w:rsid w:val="002B675F"/>
    <w:rsid w:val="002B6D7A"/>
    <w:rsid w:val="002B72C8"/>
    <w:rsid w:val="002B76C5"/>
    <w:rsid w:val="002B7A2E"/>
    <w:rsid w:val="002B7F17"/>
    <w:rsid w:val="002C0338"/>
    <w:rsid w:val="002C083B"/>
    <w:rsid w:val="002C0889"/>
    <w:rsid w:val="002C0F86"/>
    <w:rsid w:val="002C13CE"/>
    <w:rsid w:val="002C1D28"/>
    <w:rsid w:val="002C1E0F"/>
    <w:rsid w:val="002C1F11"/>
    <w:rsid w:val="002C3A71"/>
    <w:rsid w:val="002C3E89"/>
    <w:rsid w:val="002C41AB"/>
    <w:rsid w:val="002C41DC"/>
    <w:rsid w:val="002C520E"/>
    <w:rsid w:val="002C54EA"/>
    <w:rsid w:val="002C5867"/>
    <w:rsid w:val="002C5991"/>
    <w:rsid w:val="002C5A3C"/>
    <w:rsid w:val="002C5DA8"/>
    <w:rsid w:val="002C625D"/>
    <w:rsid w:val="002C6369"/>
    <w:rsid w:val="002C7122"/>
    <w:rsid w:val="002C78B8"/>
    <w:rsid w:val="002C7BB1"/>
    <w:rsid w:val="002D0082"/>
    <w:rsid w:val="002D02A4"/>
    <w:rsid w:val="002D02D7"/>
    <w:rsid w:val="002D05CB"/>
    <w:rsid w:val="002D0C3B"/>
    <w:rsid w:val="002D0DE8"/>
    <w:rsid w:val="002D1263"/>
    <w:rsid w:val="002D18E4"/>
    <w:rsid w:val="002D194D"/>
    <w:rsid w:val="002D1F30"/>
    <w:rsid w:val="002D1F54"/>
    <w:rsid w:val="002D20A0"/>
    <w:rsid w:val="002D20DA"/>
    <w:rsid w:val="002D2732"/>
    <w:rsid w:val="002D2ED0"/>
    <w:rsid w:val="002D3802"/>
    <w:rsid w:val="002D3A4A"/>
    <w:rsid w:val="002D3C97"/>
    <w:rsid w:val="002D41F0"/>
    <w:rsid w:val="002D4617"/>
    <w:rsid w:val="002D4EF5"/>
    <w:rsid w:val="002D58D7"/>
    <w:rsid w:val="002D6170"/>
    <w:rsid w:val="002D6368"/>
    <w:rsid w:val="002D6814"/>
    <w:rsid w:val="002D6943"/>
    <w:rsid w:val="002D721A"/>
    <w:rsid w:val="002D77CC"/>
    <w:rsid w:val="002D7C5E"/>
    <w:rsid w:val="002E00E0"/>
    <w:rsid w:val="002E0238"/>
    <w:rsid w:val="002E0830"/>
    <w:rsid w:val="002E1088"/>
    <w:rsid w:val="002E13E7"/>
    <w:rsid w:val="002E151E"/>
    <w:rsid w:val="002E1700"/>
    <w:rsid w:val="002E193B"/>
    <w:rsid w:val="002E1DDF"/>
    <w:rsid w:val="002E3317"/>
    <w:rsid w:val="002E349D"/>
    <w:rsid w:val="002E3F0E"/>
    <w:rsid w:val="002E40C9"/>
    <w:rsid w:val="002E4D50"/>
    <w:rsid w:val="002E678B"/>
    <w:rsid w:val="002E6DD3"/>
    <w:rsid w:val="002E6E2E"/>
    <w:rsid w:val="002E7BDE"/>
    <w:rsid w:val="002E7CC1"/>
    <w:rsid w:val="002E7F8B"/>
    <w:rsid w:val="002F0303"/>
    <w:rsid w:val="002F0DEC"/>
    <w:rsid w:val="002F0F8C"/>
    <w:rsid w:val="002F1166"/>
    <w:rsid w:val="002F1668"/>
    <w:rsid w:val="002F1BED"/>
    <w:rsid w:val="002F2079"/>
    <w:rsid w:val="002F20FF"/>
    <w:rsid w:val="002F3041"/>
    <w:rsid w:val="002F3497"/>
    <w:rsid w:val="002F3690"/>
    <w:rsid w:val="002F37D8"/>
    <w:rsid w:val="002F37ED"/>
    <w:rsid w:val="002F425E"/>
    <w:rsid w:val="002F49BB"/>
    <w:rsid w:val="002F5079"/>
    <w:rsid w:val="002F5944"/>
    <w:rsid w:val="002F5C07"/>
    <w:rsid w:val="002F6616"/>
    <w:rsid w:val="002F68D9"/>
    <w:rsid w:val="002F796F"/>
    <w:rsid w:val="002F7A2C"/>
    <w:rsid w:val="002F7AD2"/>
    <w:rsid w:val="002F7B4C"/>
    <w:rsid w:val="002F7C8E"/>
    <w:rsid w:val="003003C0"/>
    <w:rsid w:val="00300C30"/>
    <w:rsid w:val="00300EF5"/>
    <w:rsid w:val="003011C8"/>
    <w:rsid w:val="003016E2"/>
    <w:rsid w:val="00301A73"/>
    <w:rsid w:val="00302065"/>
    <w:rsid w:val="003022EB"/>
    <w:rsid w:val="00304344"/>
    <w:rsid w:val="003043C9"/>
    <w:rsid w:val="00304485"/>
    <w:rsid w:val="00304489"/>
    <w:rsid w:val="003047FC"/>
    <w:rsid w:val="003052EF"/>
    <w:rsid w:val="00305448"/>
    <w:rsid w:val="00305612"/>
    <w:rsid w:val="00305827"/>
    <w:rsid w:val="00305CD7"/>
    <w:rsid w:val="00306184"/>
    <w:rsid w:val="00306D4F"/>
    <w:rsid w:val="00307435"/>
    <w:rsid w:val="0030750E"/>
    <w:rsid w:val="0030764E"/>
    <w:rsid w:val="003077D0"/>
    <w:rsid w:val="0030781D"/>
    <w:rsid w:val="00307ED2"/>
    <w:rsid w:val="00310B7A"/>
    <w:rsid w:val="00310FA6"/>
    <w:rsid w:val="00310FB3"/>
    <w:rsid w:val="003119DC"/>
    <w:rsid w:val="00311BEC"/>
    <w:rsid w:val="00311C3C"/>
    <w:rsid w:val="003120E1"/>
    <w:rsid w:val="0031264D"/>
    <w:rsid w:val="00313BD9"/>
    <w:rsid w:val="00313EA7"/>
    <w:rsid w:val="00314271"/>
    <w:rsid w:val="0031457D"/>
    <w:rsid w:val="00314586"/>
    <w:rsid w:val="00314AED"/>
    <w:rsid w:val="00314C77"/>
    <w:rsid w:val="00314DFE"/>
    <w:rsid w:val="00315483"/>
    <w:rsid w:val="00316082"/>
    <w:rsid w:val="003165E0"/>
    <w:rsid w:val="003170DF"/>
    <w:rsid w:val="00317551"/>
    <w:rsid w:val="00317E3B"/>
    <w:rsid w:val="00317F64"/>
    <w:rsid w:val="00320341"/>
    <w:rsid w:val="00320C4C"/>
    <w:rsid w:val="00320CAF"/>
    <w:rsid w:val="00321E46"/>
    <w:rsid w:val="0032223E"/>
    <w:rsid w:val="0032263B"/>
    <w:rsid w:val="00322690"/>
    <w:rsid w:val="00322926"/>
    <w:rsid w:val="00322964"/>
    <w:rsid w:val="00323229"/>
    <w:rsid w:val="00323490"/>
    <w:rsid w:val="00323E19"/>
    <w:rsid w:val="003249EF"/>
    <w:rsid w:val="00325BCF"/>
    <w:rsid w:val="00325C15"/>
    <w:rsid w:val="003262EF"/>
    <w:rsid w:val="00326CF9"/>
    <w:rsid w:val="00326EF6"/>
    <w:rsid w:val="00327B7F"/>
    <w:rsid w:val="003319C5"/>
    <w:rsid w:val="00332034"/>
    <w:rsid w:val="003320AF"/>
    <w:rsid w:val="00332120"/>
    <w:rsid w:val="0033240E"/>
    <w:rsid w:val="0033243B"/>
    <w:rsid w:val="00332D4C"/>
    <w:rsid w:val="00332DFA"/>
    <w:rsid w:val="00333EA9"/>
    <w:rsid w:val="00333F4E"/>
    <w:rsid w:val="003341E7"/>
    <w:rsid w:val="0033505D"/>
    <w:rsid w:val="00335EF8"/>
    <w:rsid w:val="00336060"/>
    <w:rsid w:val="003360A0"/>
    <w:rsid w:val="003365B0"/>
    <w:rsid w:val="003369B4"/>
    <w:rsid w:val="00336A18"/>
    <w:rsid w:val="00337197"/>
    <w:rsid w:val="003372D9"/>
    <w:rsid w:val="00337718"/>
    <w:rsid w:val="0033799F"/>
    <w:rsid w:val="00337ECE"/>
    <w:rsid w:val="00340219"/>
    <w:rsid w:val="003404C4"/>
    <w:rsid w:val="00340B14"/>
    <w:rsid w:val="00340D67"/>
    <w:rsid w:val="003410B1"/>
    <w:rsid w:val="003410CE"/>
    <w:rsid w:val="003421C0"/>
    <w:rsid w:val="00342FAC"/>
    <w:rsid w:val="003434E3"/>
    <w:rsid w:val="003435AA"/>
    <w:rsid w:val="003435D9"/>
    <w:rsid w:val="00343D11"/>
    <w:rsid w:val="003444FD"/>
    <w:rsid w:val="00344569"/>
    <w:rsid w:val="003446A3"/>
    <w:rsid w:val="0034475D"/>
    <w:rsid w:val="00344A1F"/>
    <w:rsid w:val="00344E9F"/>
    <w:rsid w:val="003459D3"/>
    <w:rsid w:val="00346336"/>
    <w:rsid w:val="003469D5"/>
    <w:rsid w:val="00346BD5"/>
    <w:rsid w:val="003470C7"/>
    <w:rsid w:val="0034715B"/>
    <w:rsid w:val="003472E0"/>
    <w:rsid w:val="0034733A"/>
    <w:rsid w:val="00347622"/>
    <w:rsid w:val="00347971"/>
    <w:rsid w:val="00347A80"/>
    <w:rsid w:val="00347AAF"/>
    <w:rsid w:val="00350062"/>
    <w:rsid w:val="00350639"/>
    <w:rsid w:val="0035137E"/>
    <w:rsid w:val="00351963"/>
    <w:rsid w:val="00351B0C"/>
    <w:rsid w:val="00351FA4"/>
    <w:rsid w:val="0035253D"/>
    <w:rsid w:val="00352958"/>
    <w:rsid w:val="0035358C"/>
    <w:rsid w:val="00353B78"/>
    <w:rsid w:val="0035421E"/>
    <w:rsid w:val="0035425F"/>
    <w:rsid w:val="00354289"/>
    <w:rsid w:val="00354319"/>
    <w:rsid w:val="00354A44"/>
    <w:rsid w:val="00355542"/>
    <w:rsid w:val="003561D2"/>
    <w:rsid w:val="003564A8"/>
    <w:rsid w:val="00356929"/>
    <w:rsid w:val="00356AAC"/>
    <w:rsid w:val="00356DD7"/>
    <w:rsid w:val="00357072"/>
    <w:rsid w:val="00357096"/>
    <w:rsid w:val="00357397"/>
    <w:rsid w:val="00361067"/>
    <w:rsid w:val="003611E6"/>
    <w:rsid w:val="003615C7"/>
    <w:rsid w:val="00361806"/>
    <w:rsid w:val="00361DEF"/>
    <w:rsid w:val="0036281B"/>
    <w:rsid w:val="003628B1"/>
    <w:rsid w:val="003629ED"/>
    <w:rsid w:val="00362A8F"/>
    <w:rsid w:val="00362CBD"/>
    <w:rsid w:val="003631C6"/>
    <w:rsid w:val="00363B7D"/>
    <w:rsid w:val="00363EB0"/>
    <w:rsid w:val="00363ED4"/>
    <w:rsid w:val="00364383"/>
    <w:rsid w:val="00364513"/>
    <w:rsid w:val="00364A59"/>
    <w:rsid w:val="003650E0"/>
    <w:rsid w:val="0036527B"/>
    <w:rsid w:val="0036576B"/>
    <w:rsid w:val="003659CC"/>
    <w:rsid w:val="00365B02"/>
    <w:rsid w:val="0036600D"/>
    <w:rsid w:val="00366039"/>
    <w:rsid w:val="003662FC"/>
    <w:rsid w:val="003665EE"/>
    <w:rsid w:val="00367006"/>
    <w:rsid w:val="00367372"/>
    <w:rsid w:val="003678FC"/>
    <w:rsid w:val="00367993"/>
    <w:rsid w:val="00367E96"/>
    <w:rsid w:val="00370622"/>
    <w:rsid w:val="003708BF"/>
    <w:rsid w:val="00370C0D"/>
    <w:rsid w:val="0037135F"/>
    <w:rsid w:val="00371C26"/>
    <w:rsid w:val="00371D0B"/>
    <w:rsid w:val="003721C5"/>
    <w:rsid w:val="003726FC"/>
    <w:rsid w:val="00372C2A"/>
    <w:rsid w:val="00372CD5"/>
    <w:rsid w:val="00372DD0"/>
    <w:rsid w:val="00372F05"/>
    <w:rsid w:val="0037305D"/>
    <w:rsid w:val="00373190"/>
    <w:rsid w:val="00373245"/>
    <w:rsid w:val="0037339B"/>
    <w:rsid w:val="00373595"/>
    <w:rsid w:val="00373BCE"/>
    <w:rsid w:val="00373C5E"/>
    <w:rsid w:val="00373DFA"/>
    <w:rsid w:val="00374794"/>
    <w:rsid w:val="00374834"/>
    <w:rsid w:val="00375AB1"/>
    <w:rsid w:val="00375BDF"/>
    <w:rsid w:val="00375F13"/>
    <w:rsid w:val="0037606D"/>
    <w:rsid w:val="003765FF"/>
    <w:rsid w:val="003772A8"/>
    <w:rsid w:val="003802DA"/>
    <w:rsid w:val="003808B4"/>
    <w:rsid w:val="00380CD7"/>
    <w:rsid w:val="00380F35"/>
    <w:rsid w:val="003811AD"/>
    <w:rsid w:val="003811D0"/>
    <w:rsid w:val="00381958"/>
    <w:rsid w:val="00381DCB"/>
    <w:rsid w:val="00382D37"/>
    <w:rsid w:val="003832F0"/>
    <w:rsid w:val="003836D7"/>
    <w:rsid w:val="0038384D"/>
    <w:rsid w:val="00383869"/>
    <w:rsid w:val="00383EEC"/>
    <w:rsid w:val="00384B98"/>
    <w:rsid w:val="00384D9E"/>
    <w:rsid w:val="003860E4"/>
    <w:rsid w:val="00386602"/>
    <w:rsid w:val="0038689A"/>
    <w:rsid w:val="0038693E"/>
    <w:rsid w:val="00386B43"/>
    <w:rsid w:val="00386BA6"/>
    <w:rsid w:val="00386C05"/>
    <w:rsid w:val="003872D8"/>
    <w:rsid w:val="00387434"/>
    <w:rsid w:val="00387A93"/>
    <w:rsid w:val="00387B64"/>
    <w:rsid w:val="003904F4"/>
    <w:rsid w:val="00390C87"/>
    <w:rsid w:val="00390E57"/>
    <w:rsid w:val="00392464"/>
    <w:rsid w:val="00392696"/>
    <w:rsid w:val="003927F9"/>
    <w:rsid w:val="0039298E"/>
    <w:rsid w:val="003929D1"/>
    <w:rsid w:val="00393DB6"/>
    <w:rsid w:val="003940F1"/>
    <w:rsid w:val="0039483A"/>
    <w:rsid w:val="00394A20"/>
    <w:rsid w:val="00394BBC"/>
    <w:rsid w:val="00394DFF"/>
    <w:rsid w:val="00395486"/>
    <w:rsid w:val="00395CA4"/>
    <w:rsid w:val="003961F3"/>
    <w:rsid w:val="00396411"/>
    <w:rsid w:val="00396816"/>
    <w:rsid w:val="00396B00"/>
    <w:rsid w:val="00396B2E"/>
    <w:rsid w:val="00397037"/>
    <w:rsid w:val="003973D8"/>
    <w:rsid w:val="00397AE0"/>
    <w:rsid w:val="00397B2F"/>
    <w:rsid w:val="003A0077"/>
    <w:rsid w:val="003A03CC"/>
    <w:rsid w:val="003A0D49"/>
    <w:rsid w:val="003A0D6C"/>
    <w:rsid w:val="003A1253"/>
    <w:rsid w:val="003A138A"/>
    <w:rsid w:val="003A1FD4"/>
    <w:rsid w:val="003A2272"/>
    <w:rsid w:val="003A2D1B"/>
    <w:rsid w:val="003A2EBC"/>
    <w:rsid w:val="003A2F2C"/>
    <w:rsid w:val="003A2FD9"/>
    <w:rsid w:val="003A3831"/>
    <w:rsid w:val="003A3EAA"/>
    <w:rsid w:val="003A4669"/>
    <w:rsid w:val="003A4719"/>
    <w:rsid w:val="003A4B57"/>
    <w:rsid w:val="003A4D86"/>
    <w:rsid w:val="003A5902"/>
    <w:rsid w:val="003A5AE2"/>
    <w:rsid w:val="003A64E3"/>
    <w:rsid w:val="003A66E2"/>
    <w:rsid w:val="003A698F"/>
    <w:rsid w:val="003A6DFA"/>
    <w:rsid w:val="003A7B16"/>
    <w:rsid w:val="003B0424"/>
    <w:rsid w:val="003B0A0F"/>
    <w:rsid w:val="003B0C22"/>
    <w:rsid w:val="003B1061"/>
    <w:rsid w:val="003B1545"/>
    <w:rsid w:val="003B15C0"/>
    <w:rsid w:val="003B193A"/>
    <w:rsid w:val="003B197A"/>
    <w:rsid w:val="003B205E"/>
    <w:rsid w:val="003B2A13"/>
    <w:rsid w:val="003B2A87"/>
    <w:rsid w:val="003B2E97"/>
    <w:rsid w:val="003B2ED2"/>
    <w:rsid w:val="003B31A0"/>
    <w:rsid w:val="003B32B6"/>
    <w:rsid w:val="003B32D8"/>
    <w:rsid w:val="003B3893"/>
    <w:rsid w:val="003B40BD"/>
    <w:rsid w:val="003B427C"/>
    <w:rsid w:val="003B456B"/>
    <w:rsid w:val="003B482B"/>
    <w:rsid w:val="003B51F8"/>
    <w:rsid w:val="003B55B9"/>
    <w:rsid w:val="003B5764"/>
    <w:rsid w:val="003B5813"/>
    <w:rsid w:val="003B5F5C"/>
    <w:rsid w:val="003B5FB7"/>
    <w:rsid w:val="003B65EA"/>
    <w:rsid w:val="003B684F"/>
    <w:rsid w:val="003B6DE6"/>
    <w:rsid w:val="003B7099"/>
    <w:rsid w:val="003B7110"/>
    <w:rsid w:val="003B7117"/>
    <w:rsid w:val="003B790A"/>
    <w:rsid w:val="003B7D05"/>
    <w:rsid w:val="003B7EE7"/>
    <w:rsid w:val="003C07BD"/>
    <w:rsid w:val="003C0D6F"/>
    <w:rsid w:val="003C2434"/>
    <w:rsid w:val="003C29FA"/>
    <w:rsid w:val="003C2ED1"/>
    <w:rsid w:val="003C401A"/>
    <w:rsid w:val="003C4097"/>
    <w:rsid w:val="003C42F6"/>
    <w:rsid w:val="003C4743"/>
    <w:rsid w:val="003C54D0"/>
    <w:rsid w:val="003C54FD"/>
    <w:rsid w:val="003C59B2"/>
    <w:rsid w:val="003C6106"/>
    <w:rsid w:val="003C621B"/>
    <w:rsid w:val="003C6670"/>
    <w:rsid w:val="003C7944"/>
    <w:rsid w:val="003C7D26"/>
    <w:rsid w:val="003C7E84"/>
    <w:rsid w:val="003D028D"/>
    <w:rsid w:val="003D0602"/>
    <w:rsid w:val="003D0CE6"/>
    <w:rsid w:val="003D0DF9"/>
    <w:rsid w:val="003D1A3B"/>
    <w:rsid w:val="003D1CFF"/>
    <w:rsid w:val="003D214F"/>
    <w:rsid w:val="003D21FE"/>
    <w:rsid w:val="003D2356"/>
    <w:rsid w:val="003D29CF"/>
    <w:rsid w:val="003D2C26"/>
    <w:rsid w:val="003D4126"/>
    <w:rsid w:val="003D50EE"/>
    <w:rsid w:val="003D5200"/>
    <w:rsid w:val="003D55DE"/>
    <w:rsid w:val="003D6466"/>
    <w:rsid w:val="003D680D"/>
    <w:rsid w:val="003D6C2C"/>
    <w:rsid w:val="003D717C"/>
    <w:rsid w:val="003D77C6"/>
    <w:rsid w:val="003E03DF"/>
    <w:rsid w:val="003E0C30"/>
    <w:rsid w:val="003E1289"/>
    <w:rsid w:val="003E13D3"/>
    <w:rsid w:val="003E176A"/>
    <w:rsid w:val="003E1A5A"/>
    <w:rsid w:val="003E1B33"/>
    <w:rsid w:val="003E1F33"/>
    <w:rsid w:val="003E2419"/>
    <w:rsid w:val="003E26C9"/>
    <w:rsid w:val="003E2A0C"/>
    <w:rsid w:val="003E2C72"/>
    <w:rsid w:val="003E2D9E"/>
    <w:rsid w:val="003E3003"/>
    <w:rsid w:val="003E3129"/>
    <w:rsid w:val="003E36DE"/>
    <w:rsid w:val="003E3A86"/>
    <w:rsid w:val="003E3A9C"/>
    <w:rsid w:val="003E3A9D"/>
    <w:rsid w:val="003E4287"/>
    <w:rsid w:val="003E45EA"/>
    <w:rsid w:val="003E4BB0"/>
    <w:rsid w:val="003E500E"/>
    <w:rsid w:val="003E547E"/>
    <w:rsid w:val="003E56F3"/>
    <w:rsid w:val="003E57B9"/>
    <w:rsid w:val="003E5C40"/>
    <w:rsid w:val="003E5DF1"/>
    <w:rsid w:val="003E643C"/>
    <w:rsid w:val="003E65E5"/>
    <w:rsid w:val="003E6738"/>
    <w:rsid w:val="003E6807"/>
    <w:rsid w:val="003E706B"/>
    <w:rsid w:val="003E716D"/>
    <w:rsid w:val="003E7430"/>
    <w:rsid w:val="003E7918"/>
    <w:rsid w:val="003F0027"/>
    <w:rsid w:val="003F01D2"/>
    <w:rsid w:val="003F0228"/>
    <w:rsid w:val="003F082E"/>
    <w:rsid w:val="003F10E5"/>
    <w:rsid w:val="003F151D"/>
    <w:rsid w:val="003F1BE0"/>
    <w:rsid w:val="003F1DD5"/>
    <w:rsid w:val="003F1FD6"/>
    <w:rsid w:val="003F2520"/>
    <w:rsid w:val="003F333F"/>
    <w:rsid w:val="003F3577"/>
    <w:rsid w:val="003F4287"/>
    <w:rsid w:val="003F42C3"/>
    <w:rsid w:val="003F4319"/>
    <w:rsid w:val="003F4416"/>
    <w:rsid w:val="003F47F2"/>
    <w:rsid w:val="003F534E"/>
    <w:rsid w:val="003F5967"/>
    <w:rsid w:val="003F5C2E"/>
    <w:rsid w:val="003F6489"/>
    <w:rsid w:val="003F6714"/>
    <w:rsid w:val="003F6BAD"/>
    <w:rsid w:val="003F7565"/>
    <w:rsid w:val="003F79AB"/>
    <w:rsid w:val="004003EB"/>
    <w:rsid w:val="0040041D"/>
    <w:rsid w:val="00400CE5"/>
    <w:rsid w:val="00400D13"/>
    <w:rsid w:val="00401A1F"/>
    <w:rsid w:val="00402510"/>
    <w:rsid w:val="00402589"/>
    <w:rsid w:val="00402A86"/>
    <w:rsid w:val="00403427"/>
    <w:rsid w:val="004037D9"/>
    <w:rsid w:val="00404D24"/>
    <w:rsid w:val="00404F85"/>
    <w:rsid w:val="00405FA3"/>
    <w:rsid w:val="00405FFD"/>
    <w:rsid w:val="00406037"/>
    <w:rsid w:val="00407142"/>
    <w:rsid w:val="0040717A"/>
    <w:rsid w:val="0040730F"/>
    <w:rsid w:val="00407400"/>
    <w:rsid w:val="00407D37"/>
    <w:rsid w:val="00407FF5"/>
    <w:rsid w:val="00410A6A"/>
    <w:rsid w:val="00410DD9"/>
    <w:rsid w:val="0041127A"/>
    <w:rsid w:val="00411FC4"/>
    <w:rsid w:val="00412349"/>
    <w:rsid w:val="00412550"/>
    <w:rsid w:val="004128A8"/>
    <w:rsid w:val="0041305E"/>
    <w:rsid w:val="00413158"/>
    <w:rsid w:val="0041388B"/>
    <w:rsid w:val="00413A32"/>
    <w:rsid w:val="00414E3E"/>
    <w:rsid w:val="004150E6"/>
    <w:rsid w:val="004152EE"/>
    <w:rsid w:val="00415846"/>
    <w:rsid w:val="00415C12"/>
    <w:rsid w:val="00415EA5"/>
    <w:rsid w:val="0041601D"/>
    <w:rsid w:val="004166C8"/>
    <w:rsid w:val="004167AE"/>
    <w:rsid w:val="00417489"/>
    <w:rsid w:val="00417A5F"/>
    <w:rsid w:val="00417EAE"/>
    <w:rsid w:val="00420A56"/>
    <w:rsid w:val="00420B31"/>
    <w:rsid w:val="00420FD9"/>
    <w:rsid w:val="00420FEC"/>
    <w:rsid w:val="0042121E"/>
    <w:rsid w:val="00421669"/>
    <w:rsid w:val="00421CD1"/>
    <w:rsid w:val="004221F9"/>
    <w:rsid w:val="00423896"/>
    <w:rsid w:val="00423A93"/>
    <w:rsid w:val="00423DCC"/>
    <w:rsid w:val="00423F82"/>
    <w:rsid w:val="0042402C"/>
    <w:rsid w:val="004243EC"/>
    <w:rsid w:val="004246B5"/>
    <w:rsid w:val="00424EC0"/>
    <w:rsid w:val="00424F39"/>
    <w:rsid w:val="00424F53"/>
    <w:rsid w:val="00425098"/>
    <w:rsid w:val="00425246"/>
    <w:rsid w:val="0042576F"/>
    <w:rsid w:val="00426CC9"/>
    <w:rsid w:val="0042704A"/>
    <w:rsid w:val="004275C3"/>
    <w:rsid w:val="00430268"/>
    <w:rsid w:val="00430732"/>
    <w:rsid w:val="00430FB6"/>
    <w:rsid w:val="004315B2"/>
    <w:rsid w:val="004317C0"/>
    <w:rsid w:val="00431DC8"/>
    <w:rsid w:val="004329E6"/>
    <w:rsid w:val="0043311C"/>
    <w:rsid w:val="004334C2"/>
    <w:rsid w:val="004344EE"/>
    <w:rsid w:val="004351DE"/>
    <w:rsid w:val="00435615"/>
    <w:rsid w:val="0043571C"/>
    <w:rsid w:val="004359D9"/>
    <w:rsid w:val="00435A84"/>
    <w:rsid w:val="00436714"/>
    <w:rsid w:val="00437588"/>
    <w:rsid w:val="004376A8"/>
    <w:rsid w:val="00437788"/>
    <w:rsid w:val="00437A28"/>
    <w:rsid w:val="0044014B"/>
    <w:rsid w:val="0044028A"/>
    <w:rsid w:val="0044118C"/>
    <w:rsid w:val="0044184D"/>
    <w:rsid w:val="0044189A"/>
    <w:rsid w:val="00441956"/>
    <w:rsid w:val="00441C22"/>
    <w:rsid w:val="00441E8D"/>
    <w:rsid w:val="00441FC9"/>
    <w:rsid w:val="00442C9E"/>
    <w:rsid w:val="00442E1E"/>
    <w:rsid w:val="0044350E"/>
    <w:rsid w:val="00443618"/>
    <w:rsid w:val="00443747"/>
    <w:rsid w:val="00443AA2"/>
    <w:rsid w:val="00443B16"/>
    <w:rsid w:val="0044436B"/>
    <w:rsid w:val="004445EE"/>
    <w:rsid w:val="00444AE8"/>
    <w:rsid w:val="00444CAD"/>
    <w:rsid w:val="0044582E"/>
    <w:rsid w:val="00445A27"/>
    <w:rsid w:val="00445B63"/>
    <w:rsid w:val="00445F0F"/>
    <w:rsid w:val="00445FB2"/>
    <w:rsid w:val="0044620B"/>
    <w:rsid w:val="0044654E"/>
    <w:rsid w:val="00446770"/>
    <w:rsid w:val="004469D8"/>
    <w:rsid w:val="00446B40"/>
    <w:rsid w:val="00446F1F"/>
    <w:rsid w:val="0044758C"/>
    <w:rsid w:val="00447994"/>
    <w:rsid w:val="00447AD7"/>
    <w:rsid w:val="00447D03"/>
    <w:rsid w:val="0045003B"/>
    <w:rsid w:val="00450386"/>
    <w:rsid w:val="00450B09"/>
    <w:rsid w:val="004511D9"/>
    <w:rsid w:val="0045185F"/>
    <w:rsid w:val="00451A81"/>
    <w:rsid w:val="00451C39"/>
    <w:rsid w:val="00452326"/>
    <w:rsid w:val="0045234A"/>
    <w:rsid w:val="00452819"/>
    <w:rsid w:val="00452B66"/>
    <w:rsid w:val="00452D05"/>
    <w:rsid w:val="00453171"/>
    <w:rsid w:val="004535D6"/>
    <w:rsid w:val="004536EF"/>
    <w:rsid w:val="00454677"/>
    <w:rsid w:val="004549F2"/>
    <w:rsid w:val="00454D03"/>
    <w:rsid w:val="00455743"/>
    <w:rsid w:val="00455A88"/>
    <w:rsid w:val="00457A3D"/>
    <w:rsid w:val="00460247"/>
    <w:rsid w:val="004608ED"/>
    <w:rsid w:val="00461202"/>
    <w:rsid w:val="004618DD"/>
    <w:rsid w:val="004619FF"/>
    <w:rsid w:val="00461A25"/>
    <w:rsid w:val="00462C35"/>
    <w:rsid w:val="00462E06"/>
    <w:rsid w:val="0046449C"/>
    <w:rsid w:val="00464557"/>
    <w:rsid w:val="00464599"/>
    <w:rsid w:val="00464D4B"/>
    <w:rsid w:val="00465253"/>
    <w:rsid w:val="00465816"/>
    <w:rsid w:val="004658CF"/>
    <w:rsid w:val="00465BDE"/>
    <w:rsid w:val="00465F23"/>
    <w:rsid w:val="00467067"/>
    <w:rsid w:val="0046720D"/>
    <w:rsid w:val="00467C34"/>
    <w:rsid w:val="004702A0"/>
    <w:rsid w:val="0047054D"/>
    <w:rsid w:val="004708C8"/>
    <w:rsid w:val="00470AEC"/>
    <w:rsid w:val="00470E22"/>
    <w:rsid w:val="004720F8"/>
    <w:rsid w:val="004725D3"/>
    <w:rsid w:val="00472905"/>
    <w:rsid w:val="00472A24"/>
    <w:rsid w:val="004731C1"/>
    <w:rsid w:val="004732EB"/>
    <w:rsid w:val="00473AA2"/>
    <w:rsid w:val="00473CCD"/>
    <w:rsid w:val="004741F3"/>
    <w:rsid w:val="004756CA"/>
    <w:rsid w:val="00475BF6"/>
    <w:rsid w:val="004765A6"/>
    <w:rsid w:val="00476945"/>
    <w:rsid w:val="00476C2A"/>
    <w:rsid w:val="0047717F"/>
    <w:rsid w:val="00477F8B"/>
    <w:rsid w:val="004806AE"/>
    <w:rsid w:val="00480AAF"/>
    <w:rsid w:val="00481700"/>
    <w:rsid w:val="00481BA2"/>
    <w:rsid w:val="00482906"/>
    <w:rsid w:val="00482981"/>
    <w:rsid w:val="00482A96"/>
    <w:rsid w:val="00483144"/>
    <w:rsid w:val="00483207"/>
    <w:rsid w:val="00483CC1"/>
    <w:rsid w:val="00483DF2"/>
    <w:rsid w:val="004843A1"/>
    <w:rsid w:val="004845E4"/>
    <w:rsid w:val="00484DCF"/>
    <w:rsid w:val="00484FDE"/>
    <w:rsid w:val="0048606F"/>
    <w:rsid w:val="0048655E"/>
    <w:rsid w:val="00486789"/>
    <w:rsid w:val="00486A18"/>
    <w:rsid w:val="00486C42"/>
    <w:rsid w:val="00486C59"/>
    <w:rsid w:val="004870C9"/>
    <w:rsid w:val="00487304"/>
    <w:rsid w:val="00487443"/>
    <w:rsid w:val="004874C0"/>
    <w:rsid w:val="004875C0"/>
    <w:rsid w:val="004879A2"/>
    <w:rsid w:val="0049001C"/>
    <w:rsid w:val="00490C93"/>
    <w:rsid w:val="00490CEB"/>
    <w:rsid w:val="004911A3"/>
    <w:rsid w:val="00491573"/>
    <w:rsid w:val="00491A8D"/>
    <w:rsid w:val="0049242C"/>
    <w:rsid w:val="00492593"/>
    <w:rsid w:val="00492A04"/>
    <w:rsid w:val="00492A9E"/>
    <w:rsid w:val="004940D6"/>
    <w:rsid w:val="00494608"/>
    <w:rsid w:val="00495713"/>
    <w:rsid w:val="00495743"/>
    <w:rsid w:val="00495795"/>
    <w:rsid w:val="00495BF2"/>
    <w:rsid w:val="00496084"/>
    <w:rsid w:val="0049616B"/>
    <w:rsid w:val="00496528"/>
    <w:rsid w:val="00496892"/>
    <w:rsid w:val="00496D93"/>
    <w:rsid w:val="004975EA"/>
    <w:rsid w:val="004978A5"/>
    <w:rsid w:val="00497A93"/>
    <w:rsid w:val="00497B8A"/>
    <w:rsid w:val="00497CAB"/>
    <w:rsid w:val="00497EC7"/>
    <w:rsid w:val="004A02F5"/>
    <w:rsid w:val="004A0686"/>
    <w:rsid w:val="004A06BA"/>
    <w:rsid w:val="004A0DD0"/>
    <w:rsid w:val="004A0F54"/>
    <w:rsid w:val="004A0FC2"/>
    <w:rsid w:val="004A16F9"/>
    <w:rsid w:val="004A323D"/>
    <w:rsid w:val="004A3D2E"/>
    <w:rsid w:val="004A3E84"/>
    <w:rsid w:val="004A44FA"/>
    <w:rsid w:val="004A50C2"/>
    <w:rsid w:val="004A51D9"/>
    <w:rsid w:val="004A5DAC"/>
    <w:rsid w:val="004A6529"/>
    <w:rsid w:val="004A691D"/>
    <w:rsid w:val="004A6A62"/>
    <w:rsid w:val="004A6AB5"/>
    <w:rsid w:val="004A6F41"/>
    <w:rsid w:val="004A78CD"/>
    <w:rsid w:val="004A7A62"/>
    <w:rsid w:val="004A7AD0"/>
    <w:rsid w:val="004A7CF5"/>
    <w:rsid w:val="004A7E04"/>
    <w:rsid w:val="004A7F05"/>
    <w:rsid w:val="004B0172"/>
    <w:rsid w:val="004B02F2"/>
    <w:rsid w:val="004B06D5"/>
    <w:rsid w:val="004B0D42"/>
    <w:rsid w:val="004B0E62"/>
    <w:rsid w:val="004B102C"/>
    <w:rsid w:val="004B13E3"/>
    <w:rsid w:val="004B1675"/>
    <w:rsid w:val="004B1793"/>
    <w:rsid w:val="004B1E36"/>
    <w:rsid w:val="004B2123"/>
    <w:rsid w:val="004B287F"/>
    <w:rsid w:val="004B3D1A"/>
    <w:rsid w:val="004B3DA0"/>
    <w:rsid w:val="004B4180"/>
    <w:rsid w:val="004B43E9"/>
    <w:rsid w:val="004B582B"/>
    <w:rsid w:val="004B5D06"/>
    <w:rsid w:val="004B5E8D"/>
    <w:rsid w:val="004B647E"/>
    <w:rsid w:val="004B6BCA"/>
    <w:rsid w:val="004B6C44"/>
    <w:rsid w:val="004B6C70"/>
    <w:rsid w:val="004B73A0"/>
    <w:rsid w:val="004B7ABF"/>
    <w:rsid w:val="004B7DD8"/>
    <w:rsid w:val="004C0043"/>
    <w:rsid w:val="004C089D"/>
    <w:rsid w:val="004C15F1"/>
    <w:rsid w:val="004C1CAF"/>
    <w:rsid w:val="004C224C"/>
    <w:rsid w:val="004C2A85"/>
    <w:rsid w:val="004C3AB2"/>
    <w:rsid w:val="004C4085"/>
    <w:rsid w:val="004C46CC"/>
    <w:rsid w:val="004C4EA7"/>
    <w:rsid w:val="004C5351"/>
    <w:rsid w:val="004C558A"/>
    <w:rsid w:val="004C578C"/>
    <w:rsid w:val="004C579C"/>
    <w:rsid w:val="004C5B34"/>
    <w:rsid w:val="004C5C57"/>
    <w:rsid w:val="004C5EFF"/>
    <w:rsid w:val="004C687E"/>
    <w:rsid w:val="004C74AE"/>
    <w:rsid w:val="004C7587"/>
    <w:rsid w:val="004C798F"/>
    <w:rsid w:val="004D06B2"/>
    <w:rsid w:val="004D0A50"/>
    <w:rsid w:val="004D0ADB"/>
    <w:rsid w:val="004D0E9E"/>
    <w:rsid w:val="004D14BF"/>
    <w:rsid w:val="004D16D1"/>
    <w:rsid w:val="004D17B7"/>
    <w:rsid w:val="004D1ADA"/>
    <w:rsid w:val="004D1D41"/>
    <w:rsid w:val="004D28C5"/>
    <w:rsid w:val="004D32C7"/>
    <w:rsid w:val="004D46A3"/>
    <w:rsid w:val="004D46A9"/>
    <w:rsid w:val="004D4819"/>
    <w:rsid w:val="004D481D"/>
    <w:rsid w:val="004D497F"/>
    <w:rsid w:val="004D5020"/>
    <w:rsid w:val="004D5050"/>
    <w:rsid w:val="004D50D5"/>
    <w:rsid w:val="004D51E8"/>
    <w:rsid w:val="004D6005"/>
    <w:rsid w:val="004D7336"/>
    <w:rsid w:val="004D7543"/>
    <w:rsid w:val="004D7B7B"/>
    <w:rsid w:val="004D7D83"/>
    <w:rsid w:val="004D7E8C"/>
    <w:rsid w:val="004E041E"/>
    <w:rsid w:val="004E0851"/>
    <w:rsid w:val="004E0BF5"/>
    <w:rsid w:val="004E16C5"/>
    <w:rsid w:val="004E19A1"/>
    <w:rsid w:val="004E1EE3"/>
    <w:rsid w:val="004E1FF2"/>
    <w:rsid w:val="004E2316"/>
    <w:rsid w:val="004E297A"/>
    <w:rsid w:val="004E31AA"/>
    <w:rsid w:val="004E3579"/>
    <w:rsid w:val="004E3D27"/>
    <w:rsid w:val="004E44E3"/>
    <w:rsid w:val="004E4CFF"/>
    <w:rsid w:val="004E53BC"/>
    <w:rsid w:val="004E5646"/>
    <w:rsid w:val="004E5726"/>
    <w:rsid w:val="004E5B29"/>
    <w:rsid w:val="004E5CD3"/>
    <w:rsid w:val="004E739C"/>
    <w:rsid w:val="004E7474"/>
    <w:rsid w:val="004E76CB"/>
    <w:rsid w:val="004E7963"/>
    <w:rsid w:val="004E7DAD"/>
    <w:rsid w:val="004F000E"/>
    <w:rsid w:val="004F02AF"/>
    <w:rsid w:val="004F0329"/>
    <w:rsid w:val="004F047D"/>
    <w:rsid w:val="004F15A4"/>
    <w:rsid w:val="004F1631"/>
    <w:rsid w:val="004F1DB0"/>
    <w:rsid w:val="004F1EC4"/>
    <w:rsid w:val="004F29BC"/>
    <w:rsid w:val="004F29C9"/>
    <w:rsid w:val="004F3120"/>
    <w:rsid w:val="004F3278"/>
    <w:rsid w:val="004F34EF"/>
    <w:rsid w:val="004F3B26"/>
    <w:rsid w:val="004F3B84"/>
    <w:rsid w:val="004F427F"/>
    <w:rsid w:val="004F4B3A"/>
    <w:rsid w:val="004F4FE4"/>
    <w:rsid w:val="004F50BE"/>
    <w:rsid w:val="004F51AC"/>
    <w:rsid w:val="004F53FD"/>
    <w:rsid w:val="004F55DD"/>
    <w:rsid w:val="004F5766"/>
    <w:rsid w:val="004F59E4"/>
    <w:rsid w:val="004F5DE4"/>
    <w:rsid w:val="004F624F"/>
    <w:rsid w:val="004F69D3"/>
    <w:rsid w:val="004F6F02"/>
    <w:rsid w:val="004F7B42"/>
    <w:rsid w:val="004F7CF4"/>
    <w:rsid w:val="0050059B"/>
    <w:rsid w:val="005015CA"/>
    <w:rsid w:val="005015D6"/>
    <w:rsid w:val="00501ACD"/>
    <w:rsid w:val="00501CB1"/>
    <w:rsid w:val="00501E5E"/>
    <w:rsid w:val="00502550"/>
    <w:rsid w:val="0050256C"/>
    <w:rsid w:val="0050267C"/>
    <w:rsid w:val="005028C9"/>
    <w:rsid w:val="00502AF5"/>
    <w:rsid w:val="00502C27"/>
    <w:rsid w:val="005031D1"/>
    <w:rsid w:val="00503A71"/>
    <w:rsid w:val="00503F1D"/>
    <w:rsid w:val="005044E1"/>
    <w:rsid w:val="00504B11"/>
    <w:rsid w:val="00504C76"/>
    <w:rsid w:val="00505437"/>
    <w:rsid w:val="00505932"/>
    <w:rsid w:val="00505E61"/>
    <w:rsid w:val="00505EA1"/>
    <w:rsid w:val="005068E5"/>
    <w:rsid w:val="00506DE6"/>
    <w:rsid w:val="00507777"/>
    <w:rsid w:val="00507C3D"/>
    <w:rsid w:val="00510EC3"/>
    <w:rsid w:val="0051150B"/>
    <w:rsid w:val="005117BC"/>
    <w:rsid w:val="00511D88"/>
    <w:rsid w:val="005120E8"/>
    <w:rsid w:val="00512682"/>
    <w:rsid w:val="00512CD7"/>
    <w:rsid w:val="005131AA"/>
    <w:rsid w:val="00513C46"/>
    <w:rsid w:val="005144D5"/>
    <w:rsid w:val="00514528"/>
    <w:rsid w:val="00514A3B"/>
    <w:rsid w:val="00514C62"/>
    <w:rsid w:val="00514DE2"/>
    <w:rsid w:val="00514FCF"/>
    <w:rsid w:val="00515B22"/>
    <w:rsid w:val="00516716"/>
    <w:rsid w:val="005169F1"/>
    <w:rsid w:val="00516AC8"/>
    <w:rsid w:val="005171F9"/>
    <w:rsid w:val="00517299"/>
    <w:rsid w:val="00517668"/>
    <w:rsid w:val="005179F5"/>
    <w:rsid w:val="0052015E"/>
    <w:rsid w:val="00520B17"/>
    <w:rsid w:val="00520EEE"/>
    <w:rsid w:val="00521C9F"/>
    <w:rsid w:val="00522538"/>
    <w:rsid w:val="00523279"/>
    <w:rsid w:val="00523BDC"/>
    <w:rsid w:val="00523C51"/>
    <w:rsid w:val="0052436A"/>
    <w:rsid w:val="005245B2"/>
    <w:rsid w:val="00524855"/>
    <w:rsid w:val="0052496D"/>
    <w:rsid w:val="005249FE"/>
    <w:rsid w:val="00525500"/>
    <w:rsid w:val="00525A0D"/>
    <w:rsid w:val="00525B8A"/>
    <w:rsid w:val="00525EAB"/>
    <w:rsid w:val="00526000"/>
    <w:rsid w:val="005261A7"/>
    <w:rsid w:val="00526202"/>
    <w:rsid w:val="0052624C"/>
    <w:rsid w:val="00526A7B"/>
    <w:rsid w:val="00526D87"/>
    <w:rsid w:val="00527D30"/>
    <w:rsid w:val="00527DCD"/>
    <w:rsid w:val="00527F5B"/>
    <w:rsid w:val="0053039A"/>
    <w:rsid w:val="00530432"/>
    <w:rsid w:val="005304B2"/>
    <w:rsid w:val="00530AAB"/>
    <w:rsid w:val="00531598"/>
    <w:rsid w:val="005317D2"/>
    <w:rsid w:val="00531906"/>
    <w:rsid w:val="00531985"/>
    <w:rsid w:val="00531BA1"/>
    <w:rsid w:val="00532532"/>
    <w:rsid w:val="00532AF8"/>
    <w:rsid w:val="005334A8"/>
    <w:rsid w:val="00533D66"/>
    <w:rsid w:val="00533E2B"/>
    <w:rsid w:val="0053455C"/>
    <w:rsid w:val="005356EE"/>
    <w:rsid w:val="00535C8B"/>
    <w:rsid w:val="00536304"/>
    <w:rsid w:val="0053638D"/>
    <w:rsid w:val="0053683C"/>
    <w:rsid w:val="00536A4D"/>
    <w:rsid w:val="0053714A"/>
    <w:rsid w:val="00537F60"/>
    <w:rsid w:val="0054031C"/>
    <w:rsid w:val="00541D08"/>
    <w:rsid w:val="00541DAE"/>
    <w:rsid w:val="00541FC2"/>
    <w:rsid w:val="00542306"/>
    <w:rsid w:val="0054252F"/>
    <w:rsid w:val="00542C67"/>
    <w:rsid w:val="00542E21"/>
    <w:rsid w:val="0054326C"/>
    <w:rsid w:val="0054335D"/>
    <w:rsid w:val="005434FA"/>
    <w:rsid w:val="005445DC"/>
    <w:rsid w:val="00544B9E"/>
    <w:rsid w:val="00544CEC"/>
    <w:rsid w:val="00544FBA"/>
    <w:rsid w:val="00545661"/>
    <w:rsid w:val="005456FA"/>
    <w:rsid w:val="00546DFD"/>
    <w:rsid w:val="00547232"/>
    <w:rsid w:val="00547A23"/>
    <w:rsid w:val="005501E3"/>
    <w:rsid w:val="00550476"/>
    <w:rsid w:val="0055048F"/>
    <w:rsid w:val="005505F0"/>
    <w:rsid w:val="005506B2"/>
    <w:rsid w:val="00550FD5"/>
    <w:rsid w:val="005512FF"/>
    <w:rsid w:val="005521EB"/>
    <w:rsid w:val="005522E7"/>
    <w:rsid w:val="00552BBE"/>
    <w:rsid w:val="00552C39"/>
    <w:rsid w:val="005531FC"/>
    <w:rsid w:val="005533D9"/>
    <w:rsid w:val="00553828"/>
    <w:rsid w:val="00553987"/>
    <w:rsid w:val="005541FA"/>
    <w:rsid w:val="00554242"/>
    <w:rsid w:val="005548C4"/>
    <w:rsid w:val="00555949"/>
    <w:rsid w:val="00557522"/>
    <w:rsid w:val="00557831"/>
    <w:rsid w:val="00557E1D"/>
    <w:rsid w:val="00557F0C"/>
    <w:rsid w:val="005620B3"/>
    <w:rsid w:val="0056217B"/>
    <w:rsid w:val="0056285A"/>
    <w:rsid w:val="00564199"/>
    <w:rsid w:val="0056433F"/>
    <w:rsid w:val="0056473A"/>
    <w:rsid w:val="00564AB6"/>
    <w:rsid w:val="00564DCF"/>
    <w:rsid w:val="00564ECB"/>
    <w:rsid w:val="00565C87"/>
    <w:rsid w:val="005666DD"/>
    <w:rsid w:val="0056684A"/>
    <w:rsid w:val="005669B3"/>
    <w:rsid w:val="00566A1D"/>
    <w:rsid w:val="005670C7"/>
    <w:rsid w:val="0056743E"/>
    <w:rsid w:val="005678CD"/>
    <w:rsid w:val="005679F6"/>
    <w:rsid w:val="00570323"/>
    <w:rsid w:val="00570585"/>
    <w:rsid w:val="005707B1"/>
    <w:rsid w:val="00570887"/>
    <w:rsid w:val="00571267"/>
    <w:rsid w:val="00571692"/>
    <w:rsid w:val="00571B12"/>
    <w:rsid w:val="00571D04"/>
    <w:rsid w:val="0057282A"/>
    <w:rsid w:val="00572C55"/>
    <w:rsid w:val="00572DCD"/>
    <w:rsid w:val="005730ED"/>
    <w:rsid w:val="00573BBA"/>
    <w:rsid w:val="00574D56"/>
    <w:rsid w:val="00574E91"/>
    <w:rsid w:val="00574F25"/>
    <w:rsid w:val="0057511C"/>
    <w:rsid w:val="00575417"/>
    <w:rsid w:val="00575941"/>
    <w:rsid w:val="00576B7E"/>
    <w:rsid w:val="005771E8"/>
    <w:rsid w:val="00577581"/>
    <w:rsid w:val="005775E8"/>
    <w:rsid w:val="00580779"/>
    <w:rsid w:val="0058086F"/>
    <w:rsid w:val="005810C0"/>
    <w:rsid w:val="00581ADA"/>
    <w:rsid w:val="00581E06"/>
    <w:rsid w:val="005820B3"/>
    <w:rsid w:val="005820C3"/>
    <w:rsid w:val="005821EE"/>
    <w:rsid w:val="005829B1"/>
    <w:rsid w:val="005829CB"/>
    <w:rsid w:val="00582A87"/>
    <w:rsid w:val="00582CE6"/>
    <w:rsid w:val="005836E8"/>
    <w:rsid w:val="0058396E"/>
    <w:rsid w:val="00583CAC"/>
    <w:rsid w:val="00583F36"/>
    <w:rsid w:val="00583F91"/>
    <w:rsid w:val="00584089"/>
    <w:rsid w:val="005854C1"/>
    <w:rsid w:val="00586DE0"/>
    <w:rsid w:val="0058703D"/>
    <w:rsid w:val="00587149"/>
    <w:rsid w:val="0059009D"/>
    <w:rsid w:val="00590BC1"/>
    <w:rsid w:val="005910E9"/>
    <w:rsid w:val="00591CCF"/>
    <w:rsid w:val="00591D6C"/>
    <w:rsid w:val="0059374A"/>
    <w:rsid w:val="00593A39"/>
    <w:rsid w:val="00593B2F"/>
    <w:rsid w:val="0059461C"/>
    <w:rsid w:val="00594C68"/>
    <w:rsid w:val="0059539C"/>
    <w:rsid w:val="00596E5D"/>
    <w:rsid w:val="005A0E45"/>
    <w:rsid w:val="005A109E"/>
    <w:rsid w:val="005A1688"/>
    <w:rsid w:val="005A1A58"/>
    <w:rsid w:val="005A2611"/>
    <w:rsid w:val="005A275F"/>
    <w:rsid w:val="005A3111"/>
    <w:rsid w:val="005A3755"/>
    <w:rsid w:val="005A3C14"/>
    <w:rsid w:val="005A5168"/>
    <w:rsid w:val="005A5BE1"/>
    <w:rsid w:val="005A5DD8"/>
    <w:rsid w:val="005A5E74"/>
    <w:rsid w:val="005A6102"/>
    <w:rsid w:val="005A6313"/>
    <w:rsid w:val="005A6935"/>
    <w:rsid w:val="005A75E5"/>
    <w:rsid w:val="005A7C78"/>
    <w:rsid w:val="005B0052"/>
    <w:rsid w:val="005B0722"/>
    <w:rsid w:val="005B124E"/>
    <w:rsid w:val="005B153D"/>
    <w:rsid w:val="005B1926"/>
    <w:rsid w:val="005B2156"/>
    <w:rsid w:val="005B23EC"/>
    <w:rsid w:val="005B2440"/>
    <w:rsid w:val="005B27AA"/>
    <w:rsid w:val="005B29BC"/>
    <w:rsid w:val="005B2BA7"/>
    <w:rsid w:val="005B2CE0"/>
    <w:rsid w:val="005B3DD3"/>
    <w:rsid w:val="005B469A"/>
    <w:rsid w:val="005B4897"/>
    <w:rsid w:val="005B48CD"/>
    <w:rsid w:val="005B4D63"/>
    <w:rsid w:val="005B4DEB"/>
    <w:rsid w:val="005B525D"/>
    <w:rsid w:val="005B5558"/>
    <w:rsid w:val="005B5D3A"/>
    <w:rsid w:val="005B6149"/>
    <w:rsid w:val="005B6413"/>
    <w:rsid w:val="005B68C1"/>
    <w:rsid w:val="005B6BA9"/>
    <w:rsid w:val="005B6FE0"/>
    <w:rsid w:val="005B72A9"/>
    <w:rsid w:val="005B7454"/>
    <w:rsid w:val="005B74CF"/>
    <w:rsid w:val="005B7860"/>
    <w:rsid w:val="005B7BFC"/>
    <w:rsid w:val="005C04B9"/>
    <w:rsid w:val="005C077E"/>
    <w:rsid w:val="005C0D94"/>
    <w:rsid w:val="005C0F6A"/>
    <w:rsid w:val="005C194F"/>
    <w:rsid w:val="005C1B16"/>
    <w:rsid w:val="005C1E74"/>
    <w:rsid w:val="005C1ED5"/>
    <w:rsid w:val="005C2827"/>
    <w:rsid w:val="005C2A9B"/>
    <w:rsid w:val="005C2B92"/>
    <w:rsid w:val="005C31DD"/>
    <w:rsid w:val="005C3B1E"/>
    <w:rsid w:val="005C4616"/>
    <w:rsid w:val="005C4D54"/>
    <w:rsid w:val="005C5077"/>
    <w:rsid w:val="005C5655"/>
    <w:rsid w:val="005C5DA0"/>
    <w:rsid w:val="005C5FCD"/>
    <w:rsid w:val="005C5FE2"/>
    <w:rsid w:val="005C65B4"/>
    <w:rsid w:val="005D05E0"/>
    <w:rsid w:val="005D068C"/>
    <w:rsid w:val="005D0AB5"/>
    <w:rsid w:val="005D15D7"/>
    <w:rsid w:val="005D1F8A"/>
    <w:rsid w:val="005D2433"/>
    <w:rsid w:val="005D39DC"/>
    <w:rsid w:val="005D3DA5"/>
    <w:rsid w:val="005D3E1E"/>
    <w:rsid w:val="005D40D2"/>
    <w:rsid w:val="005D411A"/>
    <w:rsid w:val="005D413E"/>
    <w:rsid w:val="005D4612"/>
    <w:rsid w:val="005D4B23"/>
    <w:rsid w:val="005D4CCB"/>
    <w:rsid w:val="005D5BD5"/>
    <w:rsid w:val="005D6077"/>
    <w:rsid w:val="005D6184"/>
    <w:rsid w:val="005D62DB"/>
    <w:rsid w:val="005D689E"/>
    <w:rsid w:val="005D6B49"/>
    <w:rsid w:val="005D723D"/>
    <w:rsid w:val="005D7993"/>
    <w:rsid w:val="005E00F9"/>
    <w:rsid w:val="005E01D9"/>
    <w:rsid w:val="005E0B4B"/>
    <w:rsid w:val="005E0D7C"/>
    <w:rsid w:val="005E0E1E"/>
    <w:rsid w:val="005E16E2"/>
    <w:rsid w:val="005E1770"/>
    <w:rsid w:val="005E1AB7"/>
    <w:rsid w:val="005E1E2B"/>
    <w:rsid w:val="005E20A3"/>
    <w:rsid w:val="005E2240"/>
    <w:rsid w:val="005E22B5"/>
    <w:rsid w:val="005E22F1"/>
    <w:rsid w:val="005E2B17"/>
    <w:rsid w:val="005E3225"/>
    <w:rsid w:val="005E3246"/>
    <w:rsid w:val="005E32F0"/>
    <w:rsid w:val="005E3C66"/>
    <w:rsid w:val="005E45BA"/>
    <w:rsid w:val="005E45E0"/>
    <w:rsid w:val="005E5117"/>
    <w:rsid w:val="005E5AB3"/>
    <w:rsid w:val="005E5FEA"/>
    <w:rsid w:val="005E685A"/>
    <w:rsid w:val="005E6C57"/>
    <w:rsid w:val="005E7216"/>
    <w:rsid w:val="005E7673"/>
    <w:rsid w:val="005E7936"/>
    <w:rsid w:val="005E7D89"/>
    <w:rsid w:val="005E7D96"/>
    <w:rsid w:val="005F131E"/>
    <w:rsid w:val="005F13C5"/>
    <w:rsid w:val="005F20B8"/>
    <w:rsid w:val="005F24EB"/>
    <w:rsid w:val="005F26E4"/>
    <w:rsid w:val="005F2E36"/>
    <w:rsid w:val="005F2ECB"/>
    <w:rsid w:val="005F3721"/>
    <w:rsid w:val="005F386C"/>
    <w:rsid w:val="005F3E5A"/>
    <w:rsid w:val="005F4556"/>
    <w:rsid w:val="005F457E"/>
    <w:rsid w:val="005F485E"/>
    <w:rsid w:val="005F48CE"/>
    <w:rsid w:val="005F4AD3"/>
    <w:rsid w:val="005F522F"/>
    <w:rsid w:val="005F53FB"/>
    <w:rsid w:val="005F5433"/>
    <w:rsid w:val="005F59C7"/>
    <w:rsid w:val="005F5AA3"/>
    <w:rsid w:val="005F6024"/>
    <w:rsid w:val="005F65B6"/>
    <w:rsid w:val="005F6949"/>
    <w:rsid w:val="005F6E67"/>
    <w:rsid w:val="005F70ED"/>
    <w:rsid w:val="005F77A7"/>
    <w:rsid w:val="0060044F"/>
    <w:rsid w:val="006005CA"/>
    <w:rsid w:val="0060096C"/>
    <w:rsid w:val="00600E2B"/>
    <w:rsid w:val="006010B6"/>
    <w:rsid w:val="0060141D"/>
    <w:rsid w:val="00601A20"/>
    <w:rsid w:val="00601CF9"/>
    <w:rsid w:val="006021C7"/>
    <w:rsid w:val="006021D7"/>
    <w:rsid w:val="006023C6"/>
    <w:rsid w:val="00602850"/>
    <w:rsid w:val="00602A81"/>
    <w:rsid w:val="00602AB0"/>
    <w:rsid w:val="00602E57"/>
    <w:rsid w:val="006037E3"/>
    <w:rsid w:val="00603D96"/>
    <w:rsid w:val="00604A23"/>
    <w:rsid w:val="00605153"/>
    <w:rsid w:val="006053DD"/>
    <w:rsid w:val="00605E02"/>
    <w:rsid w:val="006061B8"/>
    <w:rsid w:val="0060692F"/>
    <w:rsid w:val="00606C2B"/>
    <w:rsid w:val="00607591"/>
    <w:rsid w:val="00607BD8"/>
    <w:rsid w:val="00607DBA"/>
    <w:rsid w:val="00610859"/>
    <w:rsid w:val="0061089E"/>
    <w:rsid w:val="00610E25"/>
    <w:rsid w:val="006117CD"/>
    <w:rsid w:val="00611B13"/>
    <w:rsid w:val="00611C71"/>
    <w:rsid w:val="0061217F"/>
    <w:rsid w:val="00612AEA"/>
    <w:rsid w:val="00613C8F"/>
    <w:rsid w:val="00613FBE"/>
    <w:rsid w:val="0061401C"/>
    <w:rsid w:val="006143A0"/>
    <w:rsid w:val="006148A0"/>
    <w:rsid w:val="00614D49"/>
    <w:rsid w:val="006152FD"/>
    <w:rsid w:val="00615C78"/>
    <w:rsid w:val="00616FDE"/>
    <w:rsid w:val="0061749F"/>
    <w:rsid w:val="0061755B"/>
    <w:rsid w:val="00620141"/>
    <w:rsid w:val="00620EFB"/>
    <w:rsid w:val="006217F5"/>
    <w:rsid w:val="00622326"/>
    <w:rsid w:val="00622384"/>
    <w:rsid w:val="00622B31"/>
    <w:rsid w:val="00622C74"/>
    <w:rsid w:val="006236C6"/>
    <w:rsid w:val="00623EF3"/>
    <w:rsid w:val="006243EB"/>
    <w:rsid w:val="00624CD6"/>
    <w:rsid w:val="0062554C"/>
    <w:rsid w:val="006255D1"/>
    <w:rsid w:val="00625694"/>
    <w:rsid w:val="00625882"/>
    <w:rsid w:val="00626312"/>
    <w:rsid w:val="00626995"/>
    <w:rsid w:val="00626D0C"/>
    <w:rsid w:val="00626E2C"/>
    <w:rsid w:val="00626E8E"/>
    <w:rsid w:val="0062700B"/>
    <w:rsid w:val="006274FA"/>
    <w:rsid w:val="00627FEB"/>
    <w:rsid w:val="00630158"/>
    <w:rsid w:val="0063028B"/>
    <w:rsid w:val="00630667"/>
    <w:rsid w:val="00630BD0"/>
    <w:rsid w:val="00630CCC"/>
    <w:rsid w:val="00631201"/>
    <w:rsid w:val="006313B6"/>
    <w:rsid w:val="00631922"/>
    <w:rsid w:val="00631A81"/>
    <w:rsid w:val="00631AE5"/>
    <w:rsid w:val="00631BDC"/>
    <w:rsid w:val="00632490"/>
    <w:rsid w:val="006324DF"/>
    <w:rsid w:val="006327B6"/>
    <w:rsid w:val="006329C1"/>
    <w:rsid w:val="006330E8"/>
    <w:rsid w:val="00633198"/>
    <w:rsid w:val="00633C00"/>
    <w:rsid w:val="00633FD7"/>
    <w:rsid w:val="006341F6"/>
    <w:rsid w:val="006341F7"/>
    <w:rsid w:val="00634993"/>
    <w:rsid w:val="00635842"/>
    <w:rsid w:val="00635AD2"/>
    <w:rsid w:val="00636200"/>
    <w:rsid w:val="00636FCF"/>
    <w:rsid w:val="00637448"/>
    <w:rsid w:val="006374C8"/>
    <w:rsid w:val="006376CD"/>
    <w:rsid w:val="006377B2"/>
    <w:rsid w:val="00637B31"/>
    <w:rsid w:val="00637F96"/>
    <w:rsid w:val="006403E4"/>
    <w:rsid w:val="006407C1"/>
    <w:rsid w:val="006408CD"/>
    <w:rsid w:val="00640C8F"/>
    <w:rsid w:val="00641028"/>
    <w:rsid w:val="00641427"/>
    <w:rsid w:val="00641872"/>
    <w:rsid w:val="00641FA5"/>
    <w:rsid w:val="0064227E"/>
    <w:rsid w:val="00642570"/>
    <w:rsid w:val="006434D4"/>
    <w:rsid w:val="00643736"/>
    <w:rsid w:val="0064384F"/>
    <w:rsid w:val="00644DC5"/>
    <w:rsid w:val="0064507E"/>
    <w:rsid w:val="006454D7"/>
    <w:rsid w:val="00645969"/>
    <w:rsid w:val="00645E32"/>
    <w:rsid w:val="00645F87"/>
    <w:rsid w:val="00645F92"/>
    <w:rsid w:val="00646324"/>
    <w:rsid w:val="00646768"/>
    <w:rsid w:val="006467BF"/>
    <w:rsid w:val="00647281"/>
    <w:rsid w:val="006475BD"/>
    <w:rsid w:val="00647CD3"/>
    <w:rsid w:val="006506B6"/>
    <w:rsid w:val="006506CD"/>
    <w:rsid w:val="00650C25"/>
    <w:rsid w:val="00650EAB"/>
    <w:rsid w:val="006513D3"/>
    <w:rsid w:val="00651A4D"/>
    <w:rsid w:val="006520D1"/>
    <w:rsid w:val="006521ED"/>
    <w:rsid w:val="006521FA"/>
    <w:rsid w:val="00652487"/>
    <w:rsid w:val="006524EC"/>
    <w:rsid w:val="00652759"/>
    <w:rsid w:val="00652B00"/>
    <w:rsid w:val="00652F06"/>
    <w:rsid w:val="00652F59"/>
    <w:rsid w:val="00653040"/>
    <w:rsid w:val="0065407E"/>
    <w:rsid w:val="0065409C"/>
    <w:rsid w:val="00654A93"/>
    <w:rsid w:val="006553F9"/>
    <w:rsid w:val="00655B2E"/>
    <w:rsid w:val="00655B35"/>
    <w:rsid w:val="00656710"/>
    <w:rsid w:val="00657345"/>
    <w:rsid w:val="006578BF"/>
    <w:rsid w:val="00657BB2"/>
    <w:rsid w:val="00657D9A"/>
    <w:rsid w:val="0066052F"/>
    <w:rsid w:val="006605B0"/>
    <w:rsid w:val="00660667"/>
    <w:rsid w:val="006607EE"/>
    <w:rsid w:val="00660AC9"/>
    <w:rsid w:val="00661E53"/>
    <w:rsid w:val="00662ADF"/>
    <w:rsid w:val="00662C63"/>
    <w:rsid w:val="00662F9C"/>
    <w:rsid w:val="00663670"/>
    <w:rsid w:val="00663729"/>
    <w:rsid w:val="00663A70"/>
    <w:rsid w:val="00663AB6"/>
    <w:rsid w:val="00663BD7"/>
    <w:rsid w:val="00663C64"/>
    <w:rsid w:val="0066423B"/>
    <w:rsid w:val="006649E4"/>
    <w:rsid w:val="00665D59"/>
    <w:rsid w:val="0066727D"/>
    <w:rsid w:val="0066736A"/>
    <w:rsid w:val="00667598"/>
    <w:rsid w:val="00667EAC"/>
    <w:rsid w:val="00667F4C"/>
    <w:rsid w:val="006700CA"/>
    <w:rsid w:val="00670B36"/>
    <w:rsid w:val="00670FC5"/>
    <w:rsid w:val="00670FFB"/>
    <w:rsid w:val="006714C4"/>
    <w:rsid w:val="0067187D"/>
    <w:rsid w:val="00671906"/>
    <w:rsid w:val="00671974"/>
    <w:rsid w:val="006724D1"/>
    <w:rsid w:val="00672937"/>
    <w:rsid w:val="006737F4"/>
    <w:rsid w:val="00673CFD"/>
    <w:rsid w:val="00673DFC"/>
    <w:rsid w:val="00674373"/>
    <w:rsid w:val="00674F2D"/>
    <w:rsid w:val="006751D0"/>
    <w:rsid w:val="0067590A"/>
    <w:rsid w:val="00676885"/>
    <w:rsid w:val="00677923"/>
    <w:rsid w:val="00677A93"/>
    <w:rsid w:val="00677E4A"/>
    <w:rsid w:val="006801E2"/>
    <w:rsid w:val="00681EA4"/>
    <w:rsid w:val="006824C3"/>
    <w:rsid w:val="00682761"/>
    <w:rsid w:val="006829B5"/>
    <w:rsid w:val="00682CC0"/>
    <w:rsid w:val="00682FF3"/>
    <w:rsid w:val="00683768"/>
    <w:rsid w:val="00683B40"/>
    <w:rsid w:val="00683D2D"/>
    <w:rsid w:val="00683DEF"/>
    <w:rsid w:val="006841F0"/>
    <w:rsid w:val="006842E7"/>
    <w:rsid w:val="00684A5E"/>
    <w:rsid w:val="00684B3F"/>
    <w:rsid w:val="00685282"/>
    <w:rsid w:val="006852AE"/>
    <w:rsid w:val="0068575C"/>
    <w:rsid w:val="00685ED2"/>
    <w:rsid w:val="0068613F"/>
    <w:rsid w:val="0068632F"/>
    <w:rsid w:val="00686D04"/>
    <w:rsid w:val="00686E06"/>
    <w:rsid w:val="00686EC4"/>
    <w:rsid w:val="00687352"/>
    <w:rsid w:val="00687A40"/>
    <w:rsid w:val="00687F83"/>
    <w:rsid w:val="00690019"/>
    <w:rsid w:val="0069006A"/>
    <w:rsid w:val="006908EC"/>
    <w:rsid w:val="00690D67"/>
    <w:rsid w:val="00691138"/>
    <w:rsid w:val="006913B0"/>
    <w:rsid w:val="00691AA8"/>
    <w:rsid w:val="00691CB6"/>
    <w:rsid w:val="00692177"/>
    <w:rsid w:val="00692BB4"/>
    <w:rsid w:val="00692BC0"/>
    <w:rsid w:val="00692D1D"/>
    <w:rsid w:val="006930BA"/>
    <w:rsid w:val="0069329D"/>
    <w:rsid w:val="0069339D"/>
    <w:rsid w:val="00693824"/>
    <w:rsid w:val="00693E06"/>
    <w:rsid w:val="006948D4"/>
    <w:rsid w:val="00694966"/>
    <w:rsid w:val="00694CCB"/>
    <w:rsid w:val="00694F19"/>
    <w:rsid w:val="00695266"/>
    <w:rsid w:val="00695388"/>
    <w:rsid w:val="00695B91"/>
    <w:rsid w:val="00695CDF"/>
    <w:rsid w:val="0069658B"/>
    <w:rsid w:val="006965C8"/>
    <w:rsid w:val="0069671A"/>
    <w:rsid w:val="0069688F"/>
    <w:rsid w:val="00696A11"/>
    <w:rsid w:val="00696C49"/>
    <w:rsid w:val="00696D2E"/>
    <w:rsid w:val="006971A0"/>
    <w:rsid w:val="006972F3"/>
    <w:rsid w:val="0069744B"/>
    <w:rsid w:val="00697756"/>
    <w:rsid w:val="006A02E8"/>
    <w:rsid w:val="006A05D7"/>
    <w:rsid w:val="006A1357"/>
    <w:rsid w:val="006A1E49"/>
    <w:rsid w:val="006A23B6"/>
    <w:rsid w:val="006A24AD"/>
    <w:rsid w:val="006A2A9B"/>
    <w:rsid w:val="006A2BE2"/>
    <w:rsid w:val="006A2D41"/>
    <w:rsid w:val="006A2FA7"/>
    <w:rsid w:val="006A3535"/>
    <w:rsid w:val="006A3DA9"/>
    <w:rsid w:val="006A4665"/>
    <w:rsid w:val="006A4B23"/>
    <w:rsid w:val="006A50E1"/>
    <w:rsid w:val="006A5295"/>
    <w:rsid w:val="006A5372"/>
    <w:rsid w:val="006A53F5"/>
    <w:rsid w:val="006A58A9"/>
    <w:rsid w:val="006A5E27"/>
    <w:rsid w:val="006A617D"/>
    <w:rsid w:val="006A635F"/>
    <w:rsid w:val="006A63E3"/>
    <w:rsid w:val="006A6F2F"/>
    <w:rsid w:val="006A7789"/>
    <w:rsid w:val="006A783E"/>
    <w:rsid w:val="006A7B25"/>
    <w:rsid w:val="006B0359"/>
    <w:rsid w:val="006B0519"/>
    <w:rsid w:val="006B12A9"/>
    <w:rsid w:val="006B15F8"/>
    <w:rsid w:val="006B1937"/>
    <w:rsid w:val="006B1CDD"/>
    <w:rsid w:val="006B21D0"/>
    <w:rsid w:val="006B2202"/>
    <w:rsid w:val="006B22D7"/>
    <w:rsid w:val="006B2574"/>
    <w:rsid w:val="006B323B"/>
    <w:rsid w:val="006B32FA"/>
    <w:rsid w:val="006B350B"/>
    <w:rsid w:val="006B373D"/>
    <w:rsid w:val="006B3955"/>
    <w:rsid w:val="006B4462"/>
    <w:rsid w:val="006B4790"/>
    <w:rsid w:val="006B4CE1"/>
    <w:rsid w:val="006B4E84"/>
    <w:rsid w:val="006B57D0"/>
    <w:rsid w:val="006B675A"/>
    <w:rsid w:val="006B6BCE"/>
    <w:rsid w:val="006B7513"/>
    <w:rsid w:val="006B770B"/>
    <w:rsid w:val="006B7B84"/>
    <w:rsid w:val="006C00DE"/>
    <w:rsid w:val="006C0A97"/>
    <w:rsid w:val="006C0D53"/>
    <w:rsid w:val="006C0E23"/>
    <w:rsid w:val="006C0E5F"/>
    <w:rsid w:val="006C10BC"/>
    <w:rsid w:val="006C11EC"/>
    <w:rsid w:val="006C19E1"/>
    <w:rsid w:val="006C1CDF"/>
    <w:rsid w:val="006C2345"/>
    <w:rsid w:val="006C2859"/>
    <w:rsid w:val="006C2CEC"/>
    <w:rsid w:val="006C2F59"/>
    <w:rsid w:val="006C314E"/>
    <w:rsid w:val="006C3809"/>
    <w:rsid w:val="006C3ED6"/>
    <w:rsid w:val="006C44AD"/>
    <w:rsid w:val="006C4893"/>
    <w:rsid w:val="006C5152"/>
    <w:rsid w:val="006C5667"/>
    <w:rsid w:val="006C6610"/>
    <w:rsid w:val="006C6D8E"/>
    <w:rsid w:val="006C6D90"/>
    <w:rsid w:val="006C730B"/>
    <w:rsid w:val="006C7BBC"/>
    <w:rsid w:val="006D00E7"/>
    <w:rsid w:val="006D108C"/>
    <w:rsid w:val="006D12E4"/>
    <w:rsid w:val="006D13BB"/>
    <w:rsid w:val="006D1743"/>
    <w:rsid w:val="006D1EFC"/>
    <w:rsid w:val="006D205A"/>
    <w:rsid w:val="006D25FD"/>
    <w:rsid w:val="006D2E68"/>
    <w:rsid w:val="006D3B9E"/>
    <w:rsid w:val="006D420F"/>
    <w:rsid w:val="006D46C2"/>
    <w:rsid w:val="006D4BE6"/>
    <w:rsid w:val="006D4F84"/>
    <w:rsid w:val="006D5751"/>
    <w:rsid w:val="006D5B9D"/>
    <w:rsid w:val="006D6BF0"/>
    <w:rsid w:val="006D71DE"/>
    <w:rsid w:val="006D773E"/>
    <w:rsid w:val="006D7852"/>
    <w:rsid w:val="006D7A38"/>
    <w:rsid w:val="006D7C0A"/>
    <w:rsid w:val="006D7CC1"/>
    <w:rsid w:val="006D7D1E"/>
    <w:rsid w:val="006D7D3F"/>
    <w:rsid w:val="006D7D9C"/>
    <w:rsid w:val="006E0960"/>
    <w:rsid w:val="006E0A16"/>
    <w:rsid w:val="006E0A45"/>
    <w:rsid w:val="006E0BAE"/>
    <w:rsid w:val="006E13BA"/>
    <w:rsid w:val="006E17FC"/>
    <w:rsid w:val="006E1B06"/>
    <w:rsid w:val="006E1F14"/>
    <w:rsid w:val="006E2597"/>
    <w:rsid w:val="006E27A9"/>
    <w:rsid w:val="006E3341"/>
    <w:rsid w:val="006E3387"/>
    <w:rsid w:val="006E44F0"/>
    <w:rsid w:val="006E4A90"/>
    <w:rsid w:val="006E5040"/>
    <w:rsid w:val="006E70E3"/>
    <w:rsid w:val="006E7767"/>
    <w:rsid w:val="006F05E2"/>
    <w:rsid w:val="006F0705"/>
    <w:rsid w:val="006F07C0"/>
    <w:rsid w:val="006F135E"/>
    <w:rsid w:val="006F1835"/>
    <w:rsid w:val="006F24A2"/>
    <w:rsid w:val="006F29AA"/>
    <w:rsid w:val="006F2A8D"/>
    <w:rsid w:val="006F2DFA"/>
    <w:rsid w:val="006F2E87"/>
    <w:rsid w:val="006F310C"/>
    <w:rsid w:val="006F348D"/>
    <w:rsid w:val="006F3501"/>
    <w:rsid w:val="006F48D7"/>
    <w:rsid w:val="006F502D"/>
    <w:rsid w:val="006F546B"/>
    <w:rsid w:val="006F5A5F"/>
    <w:rsid w:val="006F604C"/>
    <w:rsid w:val="006F6A49"/>
    <w:rsid w:val="006F7D12"/>
    <w:rsid w:val="00700353"/>
    <w:rsid w:val="007003C7"/>
    <w:rsid w:val="00700614"/>
    <w:rsid w:val="00700636"/>
    <w:rsid w:val="00700A7F"/>
    <w:rsid w:val="007012BC"/>
    <w:rsid w:val="007013E1"/>
    <w:rsid w:val="00702062"/>
    <w:rsid w:val="0070233B"/>
    <w:rsid w:val="007024D3"/>
    <w:rsid w:val="00703034"/>
    <w:rsid w:val="0070341C"/>
    <w:rsid w:val="00703BB9"/>
    <w:rsid w:val="00704626"/>
    <w:rsid w:val="00706568"/>
    <w:rsid w:val="00706A7E"/>
    <w:rsid w:val="00706B3F"/>
    <w:rsid w:val="00706F6D"/>
    <w:rsid w:val="00707171"/>
    <w:rsid w:val="00707314"/>
    <w:rsid w:val="00707731"/>
    <w:rsid w:val="00707765"/>
    <w:rsid w:val="00707F7B"/>
    <w:rsid w:val="00711458"/>
    <w:rsid w:val="00711833"/>
    <w:rsid w:val="00711F7F"/>
    <w:rsid w:val="00712449"/>
    <w:rsid w:val="0071380B"/>
    <w:rsid w:val="00713C3F"/>
    <w:rsid w:val="00714A77"/>
    <w:rsid w:val="00715898"/>
    <w:rsid w:val="00715B33"/>
    <w:rsid w:val="00715CA7"/>
    <w:rsid w:val="00715CF5"/>
    <w:rsid w:val="007160D0"/>
    <w:rsid w:val="0071636B"/>
    <w:rsid w:val="00716577"/>
    <w:rsid w:val="00716886"/>
    <w:rsid w:val="00716933"/>
    <w:rsid w:val="00716A3E"/>
    <w:rsid w:val="007177C8"/>
    <w:rsid w:val="0071799B"/>
    <w:rsid w:val="00717B37"/>
    <w:rsid w:val="00717B88"/>
    <w:rsid w:val="00717CC3"/>
    <w:rsid w:val="0072038A"/>
    <w:rsid w:val="0072049A"/>
    <w:rsid w:val="0072061D"/>
    <w:rsid w:val="007212CC"/>
    <w:rsid w:val="00721964"/>
    <w:rsid w:val="00722055"/>
    <w:rsid w:val="007222E5"/>
    <w:rsid w:val="00722BCC"/>
    <w:rsid w:val="00722D96"/>
    <w:rsid w:val="00723125"/>
    <w:rsid w:val="0072344B"/>
    <w:rsid w:val="00723634"/>
    <w:rsid w:val="00723748"/>
    <w:rsid w:val="00723B4E"/>
    <w:rsid w:val="007243D2"/>
    <w:rsid w:val="00724B35"/>
    <w:rsid w:val="00724CF1"/>
    <w:rsid w:val="00725D37"/>
    <w:rsid w:val="00725E01"/>
    <w:rsid w:val="00725FE3"/>
    <w:rsid w:val="00726012"/>
    <w:rsid w:val="007263C0"/>
    <w:rsid w:val="007265B6"/>
    <w:rsid w:val="00726AF4"/>
    <w:rsid w:val="00726E96"/>
    <w:rsid w:val="00727272"/>
    <w:rsid w:val="007274BE"/>
    <w:rsid w:val="00727BB9"/>
    <w:rsid w:val="00727C58"/>
    <w:rsid w:val="00730085"/>
    <w:rsid w:val="0073040F"/>
    <w:rsid w:val="00730576"/>
    <w:rsid w:val="007305EE"/>
    <w:rsid w:val="00730689"/>
    <w:rsid w:val="00730853"/>
    <w:rsid w:val="00730A39"/>
    <w:rsid w:val="00731D8B"/>
    <w:rsid w:val="00732176"/>
    <w:rsid w:val="00732E25"/>
    <w:rsid w:val="0073341B"/>
    <w:rsid w:val="0073447F"/>
    <w:rsid w:val="00734712"/>
    <w:rsid w:val="007348AC"/>
    <w:rsid w:val="00734965"/>
    <w:rsid w:val="00734BCE"/>
    <w:rsid w:val="00734EB1"/>
    <w:rsid w:val="00734FEB"/>
    <w:rsid w:val="007353CA"/>
    <w:rsid w:val="007361C0"/>
    <w:rsid w:val="007366ED"/>
    <w:rsid w:val="00736F99"/>
    <w:rsid w:val="00737014"/>
    <w:rsid w:val="0073727D"/>
    <w:rsid w:val="007378ED"/>
    <w:rsid w:val="00740432"/>
    <w:rsid w:val="007416D5"/>
    <w:rsid w:val="007422EF"/>
    <w:rsid w:val="0074232E"/>
    <w:rsid w:val="007427FD"/>
    <w:rsid w:val="0074281C"/>
    <w:rsid w:val="0074296A"/>
    <w:rsid w:val="00742E05"/>
    <w:rsid w:val="00742E08"/>
    <w:rsid w:val="007434A4"/>
    <w:rsid w:val="00743672"/>
    <w:rsid w:val="00743B67"/>
    <w:rsid w:val="00743ED6"/>
    <w:rsid w:val="00744017"/>
    <w:rsid w:val="0074406C"/>
    <w:rsid w:val="0074428A"/>
    <w:rsid w:val="0074457F"/>
    <w:rsid w:val="00744F24"/>
    <w:rsid w:val="0074597C"/>
    <w:rsid w:val="00745CF2"/>
    <w:rsid w:val="00745FCE"/>
    <w:rsid w:val="0074646F"/>
    <w:rsid w:val="0074667B"/>
    <w:rsid w:val="00746E8C"/>
    <w:rsid w:val="0074719A"/>
    <w:rsid w:val="00747391"/>
    <w:rsid w:val="00747F44"/>
    <w:rsid w:val="0075024B"/>
    <w:rsid w:val="007504D4"/>
    <w:rsid w:val="0075077C"/>
    <w:rsid w:val="00750E43"/>
    <w:rsid w:val="007511F7"/>
    <w:rsid w:val="007516B7"/>
    <w:rsid w:val="00752964"/>
    <w:rsid w:val="00752D32"/>
    <w:rsid w:val="00752F24"/>
    <w:rsid w:val="00754916"/>
    <w:rsid w:val="00754CEB"/>
    <w:rsid w:val="00754DF3"/>
    <w:rsid w:val="007554E2"/>
    <w:rsid w:val="00755AC2"/>
    <w:rsid w:val="007571C5"/>
    <w:rsid w:val="00757420"/>
    <w:rsid w:val="00757D8A"/>
    <w:rsid w:val="00760241"/>
    <w:rsid w:val="00760850"/>
    <w:rsid w:val="007613C4"/>
    <w:rsid w:val="00761440"/>
    <w:rsid w:val="007615C6"/>
    <w:rsid w:val="00761A60"/>
    <w:rsid w:val="007620B1"/>
    <w:rsid w:val="007633DF"/>
    <w:rsid w:val="007635FA"/>
    <w:rsid w:val="00763627"/>
    <w:rsid w:val="00763F68"/>
    <w:rsid w:val="00765DFE"/>
    <w:rsid w:val="0076619C"/>
    <w:rsid w:val="00766CAC"/>
    <w:rsid w:val="00766D40"/>
    <w:rsid w:val="00766E12"/>
    <w:rsid w:val="00767B42"/>
    <w:rsid w:val="00767B7F"/>
    <w:rsid w:val="00767BD9"/>
    <w:rsid w:val="00767CBC"/>
    <w:rsid w:val="007704FD"/>
    <w:rsid w:val="00770B44"/>
    <w:rsid w:val="0077109A"/>
    <w:rsid w:val="00771E38"/>
    <w:rsid w:val="007723B6"/>
    <w:rsid w:val="0077261B"/>
    <w:rsid w:val="00772E70"/>
    <w:rsid w:val="0077367F"/>
    <w:rsid w:val="00773F2C"/>
    <w:rsid w:val="007740C9"/>
    <w:rsid w:val="00774652"/>
    <w:rsid w:val="00774681"/>
    <w:rsid w:val="00774C2E"/>
    <w:rsid w:val="00775EA9"/>
    <w:rsid w:val="007761CB"/>
    <w:rsid w:val="007761ED"/>
    <w:rsid w:val="00776292"/>
    <w:rsid w:val="00776C43"/>
    <w:rsid w:val="00776F71"/>
    <w:rsid w:val="0077727D"/>
    <w:rsid w:val="007778C9"/>
    <w:rsid w:val="00777CC9"/>
    <w:rsid w:val="007809BA"/>
    <w:rsid w:val="00780B89"/>
    <w:rsid w:val="00780D5B"/>
    <w:rsid w:val="00780DDC"/>
    <w:rsid w:val="007813BB"/>
    <w:rsid w:val="0078169F"/>
    <w:rsid w:val="007822AC"/>
    <w:rsid w:val="00783226"/>
    <w:rsid w:val="00783D12"/>
    <w:rsid w:val="007842F7"/>
    <w:rsid w:val="00784576"/>
    <w:rsid w:val="00784642"/>
    <w:rsid w:val="00785EB6"/>
    <w:rsid w:val="00785F67"/>
    <w:rsid w:val="00786249"/>
    <w:rsid w:val="007869CA"/>
    <w:rsid w:val="00786C1B"/>
    <w:rsid w:val="00786FD0"/>
    <w:rsid w:val="00787C70"/>
    <w:rsid w:val="007900FD"/>
    <w:rsid w:val="00790156"/>
    <w:rsid w:val="00790276"/>
    <w:rsid w:val="007903A6"/>
    <w:rsid w:val="007907A8"/>
    <w:rsid w:val="00791022"/>
    <w:rsid w:val="00791030"/>
    <w:rsid w:val="00791071"/>
    <w:rsid w:val="007912A9"/>
    <w:rsid w:val="00791736"/>
    <w:rsid w:val="00791D35"/>
    <w:rsid w:val="00792113"/>
    <w:rsid w:val="00793118"/>
    <w:rsid w:val="00793288"/>
    <w:rsid w:val="00793DF6"/>
    <w:rsid w:val="00794360"/>
    <w:rsid w:val="00794B74"/>
    <w:rsid w:val="00794C42"/>
    <w:rsid w:val="00794C9B"/>
    <w:rsid w:val="00794D34"/>
    <w:rsid w:val="00795855"/>
    <w:rsid w:val="00795903"/>
    <w:rsid w:val="00795A98"/>
    <w:rsid w:val="00795D63"/>
    <w:rsid w:val="00795DF7"/>
    <w:rsid w:val="007962C1"/>
    <w:rsid w:val="00796345"/>
    <w:rsid w:val="00796816"/>
    <w:rsid w:val="00797081"/>
    <w:rsid w:val="007979D2"/>
    <w:rsid w:val="00797A78"/>
    <w:rsid w:val="00797E7C"/>
    <w:rsid w:val="00797FBB"/>
    <w:rsid w:val="007A009C"/>
    <w:rsid w:val="007A075B"/>
    <w:rsid w:val="007A07D0"/>
    <w:rsid w:val="007A083E"/>
    <w:rsid w:val="007A140F"/>
    <w:rsid w:val="007A16E5"/>
    <w:rsid w:val="007A1FD4"/>
    <w:rsid w:val="007A2C81"/>
    <w:rsid w:val="007A2E97"/>
    <w:rsid w:val="007A3122"/>
    <w:rsid w:val="007A3F08"/>
    <w:rsid w:val="007A49BA"/>
    <w:rsid w:val="007A4E5C"/>
    <w:rsid w:val="007A5675"/>
    <w:rsid w:val="007A6076"/>
    <w:rsid w:val="007A65F7"/>
    <w:rsid w:val="007A6CB8"/>
    <w:rsid w:val="007A742C"/>
    <w:rsid w:val="007A78E4"/>
    <w:rsid w:val="007A7DC1"/>
    <w:rsid w:val="007B0699"/>
    <w:rsid w:val="007B09B5"/>
    <w:rsid w:val="007B1A4B"/>
    <w:rsid w:val="007B22E7"/>
    <w:rsid w:val="007B2A07"/>
    <w:rsid w:val="007B36B2"/>
    <w:rsid w:val="007B41E1"/>
    <w:rsid w:val="007B466B"/>
    <w:rsid w:val="007B52DF"/>
    <w:rsid w:val="007B6152"/>
    <w:rsid w:val="007B635E"/>
    <w:rsid w:val="007B65FC"/>
    <w:rsid w:val="007B72A1"/>
    <w:rsid w:val="007B72ED"/>
    <w:rsid w:val="007C017D"/>
    <w:rsid w:val="007C0950"/>
    <w:rsid w:val="007C12AE"/>
    <w:rsid w:val="007C1342"/>
    <w:rsid w:val="007C190B"/>
    <w:rsid w:val="007C1D1A"/>
    <w:rsid w:val="007C1FAD"/>
    <w:rsid w:val="007C2203"/>
    <w:rsid w:val="007C2DC0"/>
    <w:rsid w:val="007C2E5D"/>
    <w:rsid w:val="007C3131"/>
    <w:rsid w:val="007C4079"/>
    <w:rsid w:val="007C461C"/>
    <w:rsid w:val="007C5DCD"/>
    <w:rsid w:val="007C6BF3"/>
    <w:rsid w:val="007C6F5C"/>
    <w:rsid w:val="007C7016"/>
    <w:rsid w:val="007C7A16"/>
    <w:rsid w:val="007C7DAD"/>
    <w:rsid w:val="007C7F26"/>
    <w:rsid w:val="007D07FF"/>
    <w:rsid w:val="007D1146"/>
    <w:rsid w:val="007D1995"/>
    <w:rsid w:val="007D1C61"/>
    <w:rsid w:val="007D1FAF"/>
    <w:rsid w:val="007D20C7"/>
    <w:rsid w:val="007D250D"/>
    <w:rsid w:val="007D26D6"/>
    <w:rsid w:val="007D28A8"/>
    <w:rsid w:val="007D293E"/>
    <w:rsid w:val="007D2FE0"/>
    <w:rsid w:val="007D3676"/>
    <w:rsid w:val="007D3A1C"/>
    <w:rsid w:val="007D456D"/>
    <w:rsid w:val="007D46C5"/>
    <w:rsid w:val="007D521F"/>
    <w:rsid w:val="007D5A54"/>
    <w:rsid w:val="007D5ABA"/>
    <w:rsid w:val="007D5BD1"/>
    <w:rsid w:val="007D5EC6"/>
    <w:rsid w:val="007D611E"/>
    <w:rsid w:val="007D6482"/>
    <w:rsid w:val="007D65CA"/>
    <w:rsid w:val="007D75AE"/>
    <w:rsid w:val="007D76C1"/>
    <w:rsid w:val="007D7905"/>
    <w:rsid w:val="007E01BC"/>
    <w:rsid w:val="007E0472"/>
    <w:rsid w:val="007E05F5"/>
    <w:rsid w:val="007E08DA"/>
    <w:rsid w:val="007E0A93"/>
    <w:rsid w:val="007E0A95"/>
    <w:rsid w:val="007E0ACB"/>
    <w:rsid w:val="007E1CEA"/>
    <w:rsid w:val="007E1CFD"/>
    <w:rsid w:val="007E23B5"/>
    <w:rsid w:val="007E2626"/>
    <w:rsid w:val="007E2B93"/>
    <w:rsid w:val="007E2E80"/>
    <w:rsid w:val="007E2E87"/>
    <w:rsid w:val="007E3408"/>
    <w:rsid w:val="007E4211"/>
    <w:rsid w:val="007E4350"/>
    <w:rsid w:val="007E4CE8"/>
    <w:rsid w:val="007E50AD"/>
    <w:rsid w:val="007E56FF"/>
    <w:rsid w:val="007E652D"/>
    <w:rsid w:val="007E657B"/>
    <w:rsid w:val="007E6B71"/>
    <w:rsid w:val="007E6DBD"/>
    <w:rsid w:val="007E7279"/>
    <w:rsid w:val="007E7F6D"/>
    <w:rsid w:val="007F07BA"/>
    <w:rsid w:val="007F08C0"/>
    <w:rsid w:val="007F0C60"/>
    <w:rsid w:val="007F0F7C"/>
    <w:rsid w:val="007F141C"/>
    <w:rsid w:val="007F1530"/>
    <w:rsid w:val="007F19C5"/>
    <w:rsid w:val="007F1CD1"/>
    <w:rsid w:val="007F1CF7"/>
    <w:rsid w:val="007F221C"/>
    <w:rsid w:val="007F2519"/>
    <w:rsid w:val="007F2B24"/>
    <w:rsid w:val="007F2DA5"/>
    <w:rsid w:val="007F2E7C"/>
    <w:rsid w:val="007F4930"/>
    <w:rsid w:val="007F4CA4"/>
    <w:rsid w:val="007F4D17"/>
    <w:rsid w:val="007F4DB7"/>
    <w:rsid w:val="007F4F80"/>
    <w:rsid w:val="007F521C"/>
    <w:rsid w:val="007F5701"/>
    <w:rsid w:val="007F5AB9"/>
    <w:rsid w:val="007F5BC5"/>
    <w:rsid w:val="007F5DD9"/>
    <w:rsid w:val="007F620D"/>
    <w:rsid w:val="007F6980"/>
    <w:rsid w:val="007F6A7B"/>
    <w:rsid w:val="007F6B53"/>
    <w:rsid w:val="007F6E91"/>
    <w:rsid w:val="007F6F3A"/>
    <w:rsid w:val="007F75A7"/>
    <w:rsid w:val="007F779C"/>
    <w:rsid w:val="007F7BFD"/>
    <w:rsid w:val="007F7EF3"/>
    <w:rsid w:val="008001AB"/>
    <w:rsid w:val="00800212"/>
    <w:rsid w:val="00800F80"/>
    <w:rsid w:val="00801032"/>
    <w:rsid w:val="008014D9"/>
    <w:rsid w:val="00801859"/>
    <w:rsid w:val="0080187B"/>
    <w:rsid w:val="00801B25"/>
    <w:rsid w:val="008020AA"/>
    <w:rsid w:val="00802726"/>
    <w:rsid w:val="00802DBB"/>
    <w:rsid w:val="00803081"/>
    <w:rsid w:val="00803082"/>
    <w:rsid w:val="00803118"/>
    <w:rsid w:val="00803596"/>
    <w:rsid w:val="00803B29"/>
    <w:rsid w:val="00803ED6"/>
    <w:rsid w:val="00804F49"/>
    <w:rsid w:val="00805092"/>
    <w:rsid w:val="00805C2E"/>
    <w:rsid w:val="008060C7"/>
    <w:rsid w:val="00806168"/>
    <w:rsid w:val="008067A4"/>
    <w:rsid w:val="00806BA7"/>
    <w:rsid w:val="00806EC3"/>
    <w:rsid w:val="0080751D"/>
    <w:rsid w:val="008077F8"/>
    <w:rsid w:val="00807F70"/>
    <w:rsid w:val="0081075D"/>
    <w:rsid w:val="00811875"/>
    <w:rsid w:val="00811DF3"/>
    <w:rsid w:val="00812127"/>
    <w:rsid w:val="00812225"/>
    <w:rsid w:val="0081226C"/>
    <w:rsid w:val="00812E1E"/>
    <w:rsid w:val="0081346A"/>
    <w:rsid w:val="008135CA"/>
    <w:rsid w:val="00813F80"/>
    <w:rsid w:val="00814563"/>
    <w:rsid w:val="0081491F"/>
    <w:rsid w:val="00814B5B"/>
    <w:rsid w:val="00814F21"/>
    <w:rsid w:val="0081555A"/>
    <w:rsid w:val="00816321"/>
    <w:rsid w:val="0081643D"/>
    <w:rsid w:val="0081735A"/>
    <w:rsid w:val="00817C63"/>
    <w:rsid w:val="0082014E"/>
    <w:rsid w:val="008218C9"/>
    <w:rsid w:val="00821BC7"/>
    <w:rsid w:val="008229A3"/>
    <w:rsid w:val="008236E8"/>
    <w:rsid w:val="00823EB1"/>
    <w:rsid w:val="008240D4"/>
    <w:rsid w:val="00824254"/>
    <w:rsid w:val="00825244"/>
    <w:rsid w:val="00825EDF"/>
    <w:rsid w:val="008261AE"/>
    <w:rsid w:val="0082656E"/>
    <w:rsid w:val="00826765"/>
    <w:rsid w:val="00826AF9"/>
    <w:rsid w:val="00827D7C"/>
    <w:rsid w:val="00827DEC"/>
    <w:rsid w:val="00830014"/>
    <w:rsid w:val="0083094F"/>
    <w:rsid w:val="00830E2B"/>
    <w:rsid w:val="00830F8E"/>
    <w:rsid w:val="00831057"/>
    <w:rsid w:val="00831236"/>
    <w:rsid w:val="008316BD"/>
    <w:rsid w:val="00832606"/>
    <w:rsid w:val="008327D6"/>
    <w:rsid w:val="00832D2C"/>
    <w:rsid w:val="00832E76"/>
    <w:rsid w:val="008330FB"/>
    <w:rsid w:val="008335EC"/>
    <w:rsid w:val="00833C5C"/>
    <w:rsid w:val="00834611"/>
    <w:rsid w:val="008348F1"/>
    <w:rsid w:val="00835C17"/>
    <w:rsid w:val="00836A92"/>
    <w:rsid w:val="00836D92"/>
    <w:rsid w:val="008373A8"/>
    <w:rsid w:val="008373C7"/>
    <w:rsid w:val="0083756C"/>
    <w:rsid w:val="00837C85"/>
    <w:rsid w:val="00837DFC"/>
    <w:rsid w:val="00840C25"/>
    <w:rsid w:val="0084183C"/>
    <w:rsid w:val="00841C77"/>
    <w:rsid w:val="008427B3"/>
    <w:rsid w:val="00842D09"/>
    <w:rsid w:val="00843750"/>
    <w:rsid w:val="0084396A"/>
    <w:rsid w:val="00843DAF"/>
    <w:rsid w:val="00843DDB"/>
    <w:rsid w:val="00845727"/>
    <w:rsid w:val="00845EF8"/>
    <w:rsid w:val="00845FB5"/>
    <w:rsid w:val="008460D1"/>
    <w:rsid w:val="008464AC"/>
    <w:rsid w:val="008467AF"/>
    <w:rsid w:val="008467C6"/>
    <w:rsid w:val="00846A6B"/>
    <w:rsid w:val="00846AFD"/>
    <w:rsid w:val="00846CB5"/>
    <w:rsid w:val="00847146"/>
    <w:rsid w:val="008473BE"/>
    <w:rsid w:val="00847786"/>
    <w:rsid w:val="0084794B"/>
    <w:rsid w:val="00847B1E"/>
    <w:rsid w:val="00847E75"/>
    <w:rsid w:val="008500D1"/>
    <w:rsid w:val="008500F1"/>
    <w:rsid w:val="00851176"/>
    <w:rsid w:val="008517A4"/>
    <w:rsid w:val="008519CE"/>
    <w:rsid w:val="008519FD"/>
    <w:rsid w:val="00851CE3"/>
    <w:rsid w:val="008525E1"/>
    <w:rsid w:val="00852A86"/>
    <w:rsid w:val="00852AC9"/>
    <w:rsid w:val="008531D5"/>
    <w:rsid w:val="00853850"/>
    <w:rsid w:val="00853EFB"/>
    <w:rsid w:val="00854505"/>
    <w:rsid w:val="008547A9"/>
    <w:rsid w:val="00854936"/>
    <w:rsid w:val="00854D9A"/>
    <w:rsid w:val="008550D0"/>
    <w:rsid w:val="00855901"/>
    <w:rsid w:val="00855E7F"/>
    <w:rsid w:val="00855EEF"/>
    <w:rsid w:val="00856146"/>
    <w:rsid w:val="00856662"/>
    <w:rsid w:val="0085699E"/>
    <w:rsid w:val="00856EFC"/>
    <w:rsid w:val="0085746B"/>
    <w:rsid w:val="00857AE7"/>
    <w:rsid w:val="0086032E"/>
    <w:rsid w:val="0086079A"/>
    <w:rsid w:val="008608B7"/>
    <w:rsid w:val="00860C0E"/>
    <w:rsid w:val="00860CF6"/>
    <w:rsid w:val="00860D23"/>
    <w:rsid w:val="00861844"/>
    <w:rsid w:val="00862129"/>
    <w:rsid w:val="00862326"/>
    <w:rsid w:val="008625B9"/>
    <w:rsid w:val="00862644"/>
    <w:rsid w:val="00862C57"/>
    <w:rsid w:val="008630DE"/>
    <w:rsid w:val="008633AF"/>
    <w:rsid w:val="00863979"/>
    <w:rsid w:val="00863F99"/>
    <w:rsid w:val="008641C1"/>
    <w:rsid w:val="008643B6"/>
    <w:rsid w:val="0086460F"/>
    <w:rsid w:val="00864748"/>
    <w:rsid w:val="00864C85"/>
    <w:rsid w:val="00865068"/>
    <w:rsid w:val="00865A93"/>
    <w:rsid w:val="00866025"/>
    <w:rsid w:val="0086665F"/>
    <w:rsid w:val="00867065"/>
    <w:rsid w:val="00867303"/>
    <w:rsid w:val="00867798"/>
    <w:rsid w:val="008677E6"/>
    <w:rsid w:val="00867B37"/>
    <w:rsid w:val="00870406"/>
    <w:rsid w:val="00870B2F"/>
    <w:rsid w:val="00870FF0"/>
    <w:rsid w:val="00872345"/>
    <w:rsid w:val="00873200"/>
    <w:rsid w:val="00873703"/>
    <w:rsid w:val="008739AD"/>
    <w:rsid w:val="0087409C"/>
    <w:rsid w:val="00874350"/>
    <w:rsid w:val="008743CB"/>
    <w:rsid w:val="008756F3"/>
    <w:rsid w:val="00875A6A"/>
    <w:rsid w:val="00875EEE"/>
    <w:rsid w:val="00876065"/>
    <w:rsid w:val="00876337"/>
    <w:rsid w:val="0087719A"/>
    <w:rsid w:val="0087763D"/>
    <w:rsid w:val="00877D07"/>
    <w:rsid w:val="00877D42"/>
    <w:rsid w:val="00877E53"/>
    <w:rsid w:val="008807C2"/>
    <w:rsid w:val="0088131C"/>
    <w:rsid w:val="008817A8"/>
    <w:rsid w:val="00881890"/>
    <w:rsid w:val="00882E84"/>
    <w:rsid w:val="00883586"/>
    <w:rsid w:val="008835C8"/>
    <w:rsid w:val="008841D2"/>
    <w:rsid w:val="00884503"/>
    <w:rsid w:val="00884542"/>
    <w:rsid w:val="00884F9D"/>
    <w:rsid w:val="0088565B"/>
    <w:rsid w:val="008856EA"/>
    <w:rsid w:val="00885CB8"/>
    <w:rsid w:val="00885F49"/>
    <w:rsid w:val="008867D0"/>
    <w:rsid w:val="0088687E"/>
    <w:rsid w:val="00886BAE"/>
    <w:rsid w:val="00886BFD"/>
    <w:rsid w:val="008870A6"/>
    <w:rsid w:val="008873DB"/>
    <w:rsid w:val="008875BF"/>
    <w:rsid w:val="00887600"/>
    <w:rsid w:val="008876BA"/>
    <w:rsid w:val="008879CC"/>
    <w:rsid w:val="00887CB6"/>
    <w:rsid w:val="00890661"/>
    <w:rsid w:val="008910B0"/>
    <w:rsid w:val="00891683"/>
    <w:rsid w:val="0089210D"/>
    <w:rsid w:val="00892210"/>
    <w:rsid w:val="0089249B"/>
    <w:rsid w:val="00892831"/>
    <w:rsid w:val="008933F2"/>
    <w:rsid w:val="008934B4"/>
    <w:rsid w:val="00893674"/>
    <w:rsid w:val="00893950"/>
    <w:rsid w:val="00893FE0"/>
    <w:rsid w:val="00894EB3"/>
    <w:rsid w:val="00896627"/>
    <w:rsid w:val="008976DA"/>
    <w:rsid w:val="0089792A"/>
    <w:rsid w:val="00897F6E"/>
    <w:rsid w:val="008A01AA"/>
    <w:rsid w:val="008A020D"/>
    <w:rsid w:val="008A0391"/>
    <w:rsid w:val="008A0522"/>
    <w:rsid w:val="008A1149"/>
    <w:rsid w:val="008A13DA"/>
    <w:rsid w:val="008A152E"/>
    <w:rsid w:val="008A174F"/>
    <w:rsid w:val="008A1AD3"/>
    <w:rsid w:val="008A2423"/>
    <w:rsid w:val="008A26F3"/>
    <w:rsid w:val="008A34DD"/>
    <w:rsid w:val="008A3502"/>
    <w:rsid w:val="008A3C3B"/>
    <w:rsid w:val="008A4239"/>
    <w:rsid w:val="008A4326"/>
    <w:rsid w:val="008A535D"/>
    <w:rsid w:val="008A570A"/>
    <w:rsid w:val="008A5B3B"/>
    <w:rsid w:val="008A5D2A"/>
    <w:rsid w:val="008A5F9C"/>
    <w:rsid w:val="008A6146"/>
    <w:rsid w:val="008A62B7"/>
    <w:rsid w:val="008A632A"/>
    <w:rsid w:val="008A650A"/>
    <w:rsid w:val="008A6A6F"/>
    <w:rsid w:val="008A6B8F"/>
    <w:rsid w:val="008A6D5C"/>
    <w:rsid w:val="008A704D"/>
    <w:rsid w:val="008A717A"/>
    <w:rsid w:val="008A75FD"/>
    <w:rsid w:val="008A76E3"/>
    <w:rsid w:val="008A7E54"/>
    <w:rsid w:val="008A7EA4"/>
    <w:rsid w:val="008B0145"/>
    <w:rsid w:val="008B066B"/>
    <w:rsid w:val="008B10BF"/>
    <w:rsid w:val="008B1D9D"/>
    <w:rsid w:val="008B209B"/>
    <w:rsid w:val="008B27E7"/>
    <w:rsid w:val="008B2811"/>
    <w:rsid w:val="008B29E9"/>
    <w:rsid w:val="008B2F97"/>
    <w:rsid w:val="008B34DE"/>
    <w:rsid w:val="008B3509"/>
    <w:rsid w:val="008B35EB"/>
    <w:rsid w:val="008B3787"/>
    <w:rsid w:val="008B3E90"/>
    <w:rsid w:val="008B4D55"/>
    <w:rsid w:val="008B4E41"/>
    <w:rsid w:val="008B559C"/>
    <w:rsid w:val="008B5F57"/>
    <w:rsid w:val="008B62D3"/>
    <w:rsid w:val="008B63F5"/>
    <w:rsid w:val="008B6438"/>
    <w:rsid w:val="008B6495"/>
    <w:rsid w:val="008B6969"/>
    <w:rsid w:val="008B69BB"/>
    <w:rsid w:val="008B6D42"/>
    <w:rsid w:val="008B7005"/>
    <w:rsid w:val="008B743F"/>
    <w:rsid w:val="008C0293"/>
    <w:rsid w:val="008C06BE"/>
    <w:rsid w:val="008C07EC"/>
    <w:rsid w:val="008C0940"/>
    <w:rsid w:val="008C0E69"/>
    <w:rsid w:val="008C0F0C"/>
    <w:rsid w:val="008C21C7"/>
    <w:rsid w:val="008C23B8"/>
    <w:rsid w:val="008C3C22"/>
    <w:rsid w:val="008C3F71"/>
    <w:rsid w:val="008C4907"/>
    <w:rsid w:val="008C5365"/>
    <w:rsid w:val="008C568D"/>
    <w:rsid w:val="008C6468"/>
    <w:rsid w:val="008C651D"/>
    <w:rsid w:val="008C6774"/>
    <w:rsid w:val="008C696E"/>
    <w:rsid w:val="008C72ED"/>
    <w:rsid w:val="008C73CA"/>
    <w:rsid w:val="008C7598"/>
    <w:rsid w:val="008C76DE"/>
    <w:rsid w:val="008C7797"/>
    <w:rsid w:val="008C7C18"/>
    <w:rsid w:val="008C7E78"/>
    <w:rsid w:val="008D17C7"/>
    <w:rsid w:val="008D1933"/>
    <w:rsid w:val="008D1AB7"/>
    <w:rsid w:val="008D23BC"/>
    <w:rsid w:val="008D27D5"/>
    <w:rsid w:val="008D2918"/>
    <w:rsid w:val="008D2A2B"/>
    <w:rsid w:val="008D3141"/>
    <w:rsid w:val="008D3B2D"/>
    <w:rsid w:val="008D4C65"/>
    <w:rsid w:val="008D52CC"/>
    <w:rsid w:val="008D539B"/>
    <w:rsid w:val="008D570E"/>
    <w:rsid w:val="008D575C"/>
    <w:rsid w:val="008D5C42"/>
    <w:rsid w:val="008D5F1C"/>
    <w:rsid w:val="008D6364"/>
    <w:rsid w:val="008D6774"/>
    <w:rsid w:val="008D68F0"/>
    <w:rsid w:val="008D6D50"/>
    <w:rsid w:val="008D71BB"/>
    <w:rsid w:val="008D75FB"/>
    <w:rsid w:val="008E024E"/>
    <w:rsid w:val="008E0D6D"/>
    <w:rsid w:val="008E216C"/>
    <w:rsid w:val="008E225E"/>
    <w:rsid w:val="008E24BD"/>
    <w:rsid w:val="008E2CAD"/>
    <w:rsid w:val="008E3A64"/>
    <w:rsid w:val="008E3A66"/>
    <w:rsid w:val="008E538C"/>
    <w:rsid w:val="008E5708"/>
    <w:rsid w:val="008E5A6C"/>
    <w:rsid w:val="008E5C82"/>
    <w:rsid w:val="008E5E8E"/>
    <w:rsid w:val="008E61A2"/>
    <w:rsid w:val="008E6F3E"/>
    <w:rsid w:val="008E6FEC"/>
    <w:rsid w:val="008E7962"/>
    <w:rsid w:val="008E7A47"/>
    <w:rsid w:val="008E7CFB"/>
    <w:rsid w:val="008E7EF3"/>
    <w:rsid w:val="008F0B46"/>
    <w:rsid w:val="008F11C1"/>
    <w:rsid w:val="008F13BE"/>
    <w:rsid w:val="008F16CD"/>
    <w:rsid w:val="008F1FE6"/>
    <w:rsid w:val="008F2881"/>
    <w:rsid w:val="008F2897"/>
    <w:rsid w:val="008F309E"/>
    <w:rsid w:val="008F3326"/>
    <w:rsid w:val="008F3518"/>
    <w:rsid w:val="008F3691"/>
    <w:rsid w:val="008F380B"/>
    <w:rsid w:val="008F43BA"/>
    <w:rsid w:val="008F4DD3"/>
    <w:rsid w:val="008F4F47"/>
    <w:rsid w:val="008F5039"/>
    <w:rsid w:val="008F53FE"/>
    <w:rsid w:val="008F5408"/>
    <w:rsid w:val="008F5A46"/>
    <w:rsid w:val="008F5C00"/>
    <w:rsid w:val="008F5EB4"/>
    <w:rsid w:val="008F6F49"/>
    <w:rsid w:val="008F77B8"/>
    <w:rsid w:val="008F7B80"/>
    <w:rsid w:val="008F7FF9"/>
    <w:rsid w:val="009005CD"/>
    <w:rsid w:val="009009DC"/>
    <w:rsid w:val="009009EF"/>
    <w:rsid w:val="0090122C"/>
    <w:rsid w:val="0090197A"/>
    <w:rsid w:val="00901ECC"/>
    <w:rsid w:val="009021AF"/>
    <w:rsid w:val="009023CF"/>
    <w:rsid w:val="00902B64"/>
    <w:rsid w:val="009036A3"/>
    <w:rsid w:val="0090463E"/>
    <w:rsid w:val="00904782"/>
    <w:rsid w:val="009049E8"/>
    <w:rsid w:val="00904C88"/>
    <w:rsid w:val="00905B57"/>
    <w:rsid w:val="00905BEB"/>
    <w:rsid w:val="009066CA"/>
    <w:rsid w:val="0091005A"/>
    <w:rsid w:val="00910495"/>
    <w:rsid w:val="00910901"/>
    <w:rsid w:val="009109FE"/>
    <w:rsid w:val="00910BDB"/>
    <w:rsid w:val="00910BF0"/>
    <w:rsid w:val="00910C53"/>
    <w:rsid w:val="00911BB1"/>
    <w:rsid w:val="00911C8C"/>
    <w:rsid w:val="009122AD"/>
    <w:rsid w:val="009126DA"/>
    <w:rsid w:val="00913EF7"/>
    <w:rsid w:val="009143C6"/>
    <w:rsid w:val="00914426"/>
    <w:rsid w:val="00914480"/>
    <w:rsid w:val="00914783"/>
    <w:rsid w:val="00914C10"/>
    <w:rsid w:val="0091577B"/>
    <w:rsid w:val="00915C2D"/>
    <w:rsid w:val="00916581"/>
    <w:rsid w:val="00920D53"/>
    <w:rsid w:val="00921261"/>
    <w:rsid w:val="009212C9"/>
    <w:rsid w:val="00922A45"/>
    <w:rsid w:val="00922B3D"/>
    <w:rsid w:val="00922D13"/>
    <w:rsid w:val="00922D78"/>
    <w:rsid w:val="00923383"/>
    <w:rsid w:val="009234E2"/>
    <w:rsid w:val="00923A5C"/>
    <w:rsid w:val="00923ADF"/>
    <w:rsid w:val="00924761"/>
    <w:rsid w:val="00924DA6"/>
    <w:rsid w:val="00924E7A"/>
    <w:rsid w:val="00924EE1"/>
    <w:rsid w:val="00924F62"/>
    <w:rsid w:val="009257D2"/>
    <w:rsid w:val="009259C4"/>
    <w:rsid w:val="00925CDF"/>
    <w:rsid w:val="00926771"/>
    <w:rsid w:val="00926866"/>
    <w:rsid w:val="00926945"/>
    <w:rsid w:val="00926966"/>
    <w:rsid w:val="00926B0B"/>
    <w:rsid w:val="00926C49"/>
    <w:rsid w:val="00927469"/>
    <w:rsid w:val="00927BDF"/>
    <w:rsid w:val="0093028C"/>
    <w:rsid w:val="00930821"/>
    <w:rsid w:val="00930901"/>
    <w:rsid w:val="00931087"/>
    <w:rsid w:val="00931305"/>
    <w:rsid w:val="0093156E"/>
    <w:rsid w:val="009315AD"/>
    <w:rsid w:val="0093197E"/>
    <w:rsid w:val="00931A7A"/>
    <w:rsid w:val="009320D5"/>
    <w:rsid w:val="00932233"/>
    <w:rsid w:val="00932937"/>
    <w:rsid w:val="00932BA0"/>
    <w:rsid w:val="009330C0"/>
    <w:rsid w:val="009334DB"/>
    <w:rsid w:val="009334FF"/>
    <w:rsid w:val="00933508"/>
    <w:rsid w:val="009336AC"/>
    <w:rsid w:val="00933863"/>
    <w:rsid w:val="00933B09"/>
    <w:rsid w:val="00933B7A"/>
    <w:rsid w:val="0093418B"/>
    <w:rsid w:val="00934D09"/>
    <w:rsid w:val="00934EB3"/>
    <w:rsid w:val="00936409"/>
    <w:rsid w:val="009367D6"/>
    <w:rsid w:val="00936E1D"/>
    <w:rsid w:val="00937006"/>
    <w:rsid w:val="009370AB"/>
    <w:rsid w:val="00937DE1"/>
    <w:rsid w:val="00937F37"/>
    <w:rsid w:val="00940339"/>
    <w:rsid w:val="009407BC"/>
    <w:rsid w:val="00940868"/>
    <w:rsid w:val="0094129D"/>
    <w:rsid w:val="00941B5C"/>
    <w:rsid w:val="00941C3E"/>
    <w:rsid w:val="00942165"/>
    <w:rsid w:val="0094233E"/>
    <w:rsid w:val="0094319D"/>
    <w:rsid w:val="00943C19"/>
    <w:rsid w:val="00944622"/>
    <w:rsid w:val="00944748"/>
    <w:rsid w:val="009447B7"/>
    <w:rsid w:val="009455F1"/>
    <w:rsid w:val="00945755"/>
    <w:rsid w:val="0094660A"/>
    <w:rsid w:val="0094683D"/>
    <w:rsid w:val="0094697A"/>
    <w:rsid w:val="00947131"/>
    <w:rsid w:val="00947360"/>
    <w:rsid w:val="00947978"/>
    <w:rsid w:val="009479EB"/>
    <w:rsid w:val="009502C0"/>
    <w:rsid w:val="009503DD"/>
    <w:rsid w:val="00950AB1"/>
    <w:rsid w:val="00950CA9"/>
    <w:rsid w:val="00950E9A"/>
    <w:rsid w:val="00950F14"/>
    <w:rsid w:val="00951556"/>
    <w:rsid w:val="00951D29"/>
    <w:rsid w:val="009529BF"/>
    <w:rsid w:val="00952DC2"/>
    <w:rsid w:val="009536C8"/>
    <w:rsid w:val="00953888"/>
    <w:rsid w:val="00955319"/>
    <w:rsid w:val="00955DD1"/>
    <w:rsid w:val="0095606E"/>
    <w:rsid w:val="009561EA"/>
    <w:rsid w:val="00956976"/>
    <w:rsid w:val="00956CD0"/>
    <w:rsid w:val="0095751A"/>
    <w:rsid w:val="009601A1"/>
    <w:rsid w:val="00960A39"/>
    <w:rsid w:val="00960ADC"/>
    <w:rsid w:val="009614A6"/>
    <w:rsid w:val="00961A7A"/>
    <w:rsid w:val="00961DCF"/>
    <w:rsid w:val="00962DA3"/>
    <w:rsid w:val="00962FB8"/>
    <w:rsid w:val="00963A2B"/>
    <w:rsid w:val="0096413B"/>
    <w:rsid w:val="0096434F"/>
    <w:rsid w:val="00964362"/>
    <w:rsid w:val="009652DC"/>
    <w:rsid w:val="00965F25"/>
    <w:rsid w:val="00966190"/>
    <w:rsid w:val="00966245"/>
    <w:rsid w:val="00966878"/>
    <w:rsid w:val="00966C7C"/>
    <w:rsid w:val="00967248"/>
    <w:rsid w:val="00967723"/>
    <w:rsid w:val="00967ADE"/>
    <w:rsid w:val="00967DFA"/>
    <w:rsid w:val="009700AB"/>
    <w:rsid w:val="009704DB"/>
    <w:rsid w:val="00970B01"/>
    <w:rsid w:val="009714E3"/>
    <w:rsid w:val="00971928"/>
    <w:rsid w:val="00972AEC"/>
    <w:rsid w:val="00972BCB"/>
    <w:rsid w:val="00972D73"/>
    <w:rsid w:val="00972DAE"/>
    <w:rsid w:val="00973409"/>
    <w:rsid w:val="00973D8C"/>
    <w:rsid w:val="0097436E"/>
    <w:rsid w:val="009748B7"/>
    <w:rsid w:val="00974EDA"/>
    <w:rsid w:val="009750F5"/>
    <w:rsid w:val="0097510F"/>
    <w:rsid w:val="00975A40"/>
    <w:rsid w:val="00975BDB"/>
    <w:rsid w:val="00975F14"/>
    <w:rsid w:val="00975F6B"/>
    <w:rsid w:val="00976303"/>
    <w:rsid w:val="00976472"/>
    <w:rsid w:val="009764E5"/>
    <w:rsid w:val="009768C6"/>
    <w:rsid w:val="00976A2C"/>
    <w:rsid w:val="009770F6"/>
    <w:rsid w:val="00977492"/>
    <w:rsid w:val="00977622"/>
    <w:rsid w:val="0098020A"/>
    <w:rsid w:val="009808BE"/>
    <w:rsid w:val="00980C8F"/>
    <w:rsid w:val="00980F4B"/>
    <w:rsid w:val="00981258"/>
    <w:rsid w:val="00981299"/>
    <w:rsid w:val="00981783"/>
    <w:rsid w:val="009821B9"/>
    <w:rsid w:val="00982A55"/>
    <w:rsid w:val="00982C97"/>
    <w:rsid w:val="00983437"/>
    <w:rsid w:val="009834AA"/>
    <w:rsid w:val="00983974"/>
    <w:rsid w:val="00983E44"/>
    <w:rsid w:val="0098425B"/>
    <w:rsid w:val="00984B25"/>
    <w:rsid w:val="00984C26"/>
    <w:rsid w:val="00985B3C"/>
    <w:rsid w:val="009866C4"/>
    <w:rsid w:val="00986C90"/>
    <w:rsid w:val="009870B3"/>
    <w:rsid w:val="009870CF"/>
    <w:rsid w:val="009877FF"/>
    <w:rsid w:val="00987B23"/>
    <w:rsid w:val="00987BE5"/>
    <w:rsid w:val="00990905"/>
    <w:rsid w:val="00990C79"/>
    <w:rsid w:val="00990F00"/>
    <w:rsid w:val="0099129F"/>
    <w:rsid w:val="009912D7"/>
    <w:rsid w:val="0099178E"/>
    <w:rsid w:val="009918D2"/>
    <w:rsid w:val="00991C0A"/>
    <w:rsid w:val="00992B54"/>
    <w:rsid w:val="00992CDB"/>
    <w:rsid w:val="00992F61"/>
    <w:rsid w:val="00993689"/>
    <w:rsid w:val="00995CC4"/>
    <w:rsid w:val="00996177"/>
    <w:rsid w:val="0099703E"/>
    <w:rsid w:val="00997C37"/>
    <w:rsid w:val="00997D3E"/>
    <w:rsid w:val="00997ED0"/>
    <w:rsid w:val="009A0201"/>
    <w:rsid w:val="009A0552"/>
    <w:rsid w:val="009A0AE9"/>
    <w:rsid w:val="009A0CA5"/>
    <w:rsid w:val="009A0DE1"/>
    <w:rsid w:val="009A0E0A"/>
    <w:rsid w:val="009A1BD8"/>
    <w:rsid w:val="009A25CB"/>
    <w:rsid w:val="009A26FD"/>
    <w:rsid w:val="009A2708"/>
    <w:rsid w:val="009A2D32"/>
    <w:rsid w:val="009A2E59"/>
    <w:rsid w:val="009A3204"/>
    <w:rsid w:val="009A39E5"/>
    <w:rsid w:val="009A3EAD"/>
    <w:rsid w:val="009A4197"/>
    <w:rsid w:val="009A4221"/>
    <w:rsid w:val="009A5117"/>
    <w:rsid w:val="009A54B7"/>
    <w:rsid w:val="009A5802"/>
    <w:rsid w:val="009A5C4F"/>
    <w:rsid w:val="009A62E3"/>
    <w:rsid w:val="009A6926"/>
    <w:rsid w:val="009A6E12"/>
    <w:rsid w:val="009A7CFF"/>
    <w:rsid w:val="009B003B"/>
    <w:rsid w:val="009B05FC"/>
    <w:rsid w:val="009B0762"/>
    <w:rsid w:val="009B089C"/>
    <w:rsid w:val="009B096C"/>
    <w:rsid w:val="009B0C7F"/>
    <w:rsid w:val="009B11FA"/>
    <w:rsid w:val="009B22C5"/>
    <w:rsid w:val="009B24E7"/>
    <w:rsid w:val="009B2A6B"/>
    <w:rsid w:val="009B2DE6"/>
    <w:rsid w:val="009B2ED3"/>
    <w:rsid w:val="009B35D4"/>
    <w:rsid w:val="009B3854"/>
    <w:rsid w:val="009B56E7"/>
    <w:rsid w:val="009B5701"/>
    <w:rsid w:val="009B5961"/>
    <w:rsid w:val="009B5A18"/>
    <w:rsid w:val="009B6306"/>
    <w:rsid w:val="009B65D9"/>
    <w:rsid w:val="009B6709"/>
    <w:rsid w:val="009B6B1E"/>
    <w:rsid w:val="009B7417"/>
    <w:rsid w:val="009B7C22"/>
    <w:rsid w:val="009B7F81"/>
    <w:rsid w:val="009C1380"/>
    <w:rsid w:val="009C1A56"/>
    <w:rsid w:val="009C1CB0"/>
    <w:rsid w:val="009C1D77"/>
    <w:rsid w:val="009C1DE4"/>
    <w:rsid w:val="009C1DFE"/>
    <w:rsid w:val="009C317C"/>
    <w:rsid w:val="009C35C0"/>
    <w:rsid w:val="009C36BD"/>
    <w:rsid w:val="009C37AD"/>
    <w:rsid w:val="009C3C3F"/>
    <w:rsid w:val="009C4288"/>
    <w:rsid w:val="009C4B50"/>
    <w:rsid w:val="009C4B5A"/>
    <w:rsid w:val="009C4F7E"/>
    <w:rsid w:val="009C5331"/>
    <w:rsid w:val="009C55D8"/>
    <w:rsid w:val="009C567B"/>
    <w:rsid w:val="009C5D10"/>
    <w:rsid w:val="009C5DEF"/>
    <w:rsid w:val="009C645F"/>
    <w:rsid w:val="009C6810"/>
    <w:rsid w:val="009C6ABB"/>
    <w:rsid w:val="009C7A3B"/>
    <w:rsid w:val="009D0D32"/>
    <w:rsid w:val="009D1084"/>
    <w:rsid w:val="009D159E"/>
    <w:rsid w:val="009D1805"/>
    <w:rsid w:val="009D183F"/>
    <w:rsid w:val="009D18F6"/>
    <w:rsid w:val="009D1E1C"/>
    <w:rsid w:val="009D1F2A"/>
    <w:rsid w:val="009D20FC"/>
    <w:rsid w:val="009D279F"/>
    <w:rsid w:val="009D297D"/>
    <w:rsid w:val="009D3033"/>
    <w:rsid w:val="009D3A04"/>
    <w:rsid w:val="009D3C60"/>
    <w:rsid w:val="009D4140"/>
    <w:rsid w:val="009D5055"/>
    <w:rsid w:val="009D5254"/>
    <w:rsid w:val="009D5346"/>
    <w:rsid w:val="009D5BA0"/>
    <w:rsid w:val="009D6E30"/>
    <w:rsid w:val="009D77F2"/>
    <w:rsid w:val="009D7914"/>
    <w:rsid w:val="009D7A8A"/>
    <w:rsid w:val="009D7A9C"/>
    <w:rsid w:val="009E03F8"/>
    <w:rsid w:val="009E07EB"/>
    <w:rsid w:val="009E0EBE"/>
    <w:rsid w:val="009E13C2"/>
    <w:rsid w:val="009E1C1C"/>
    <w:rsid w:val="009E26A9"/>
    <w:rsid w:val="009E285F"/>
    <w:rsid w:val="009E30FC"/>
    <w:rsid w:val="009E3A8C"/>
    <w:rsid w:val="009E40D4"/>
    <w:rsid w:val="009E421D"/>
    <w:rsid w:val="009E48EB"/>
    <w:rsid w:val="009E4B6E"/>
    <w:rsid w:val="009E5E4B"/>
    <w:rsid w:val="009E622A"/>
    <w:rsid w:val="009E62CF"/>
    <w:rsid w:val="009E7116"/>
    <w:rsid w:val="009E7348"/>
    <w:rsid w:val="009E73DE"/>
    <w:rsid w:val="009E74B9"/>
    <w:rsid w:val="009E7D9F"/>
    <w:rsid w:val="009F0819"/>
    <w:rsid w:val="009F0B7A"/>
    <w:rsid w:val="009F0F40"/>
    <w:rsid w:val="009F15DB"/>
    <w:rsid w:val="009F1717"/>
    <w:rsid w:val="009F2B83"/>
    <w:rsid w:val="009F2BB0"/>
    <w:rsid w:val="009F34CC"/>
    <w:rsid w:val="009F3B9E"/>
    <w:rsid w:val="009F3C97"/>
    <w:rsid w:val="009F3E59"/>
    <w:rsid w:val="009F409C"/>
    <w:rsid w:val="009F409E"/>
    <w:rsid w:val="009F4F5A"/>
    <w:rsid w:val="009F6788"/>
    <w:rsid w:val="009F6896"/>
    <w:rsid w:val="009F6E17"/>
    <w:rsid w:val="009F7259"/>
    <w:rsid w:val="00A00727"/>
    <w:rsid w:val="00A0076B"/>
    <w:rsid w:val="00A00BFF"/>
    <w:rsid w:val="00A013C4"/>
    <w:rsid w:val="00A01CEE"/>
    <w:rsid w:val="00A01FF7"/>
    <w:rsid w:val="00A02621"/>
    <w:rsid w:val="00A02CE2"/>
    <w:rsid w:val="00A033A7"/>
    <w:rsid w:val="00A0415E"/>
    <w:rsid w:val="00A04160"/>
    <w:rsid w:val="00A0486D"/>
    <w:rsid w:val="00A05292"/>
    <w:rsid w:val="00A053E6"/>
    <w:rsid w:val="00A055BB"/>
    <w:rsid w:val="00A05600"/>
    <w:rsid w:val="00A05A81"/>
    <w:rsid w:val="00A05BC0"/>
    <w:rsid w:val="00A05C5F"/>
    <w:rsid w:val="00A05D32"/>
    <w:rsid w:val="00A061A4"/>
    <w:rsid w:val="00A06B73"/>
    <w:rsid w:val="00A06D85"/>
    <w:rsid w:val="00A06D96"/>
    <w:rsid w:val="00A072EB"/>
    <w:rsid w:val="00A0785C"/>
    <w:rsid w:val="00A10FFD"/>
    <w:rsid w:val="00A11895"/>
    <w:rsid w:val="00A119CE"/>
    <w:rsid w:val="00A11EC1"/>
    <w:rsid w:val="00A1201F"/>
    <w:rsid w:val="00A120CA"/>
    <w:rsid w:val="00A1245A"/>
    <w:rsid w:val="00A127F6"/>
    <w:rsid w:val="00A12A62"/>
    <w:rsid w:val="00A12F88"/>
    <w:rsid w:val="00A13562"/>
    <w:rsid w:val="00A13BDC"/>
    <w:rsid w:val="00A141B7"/>
    <w:rsid w:val="00A145FD"/>
    <w:rsid w:val="00A14CE6"/>
    <w:rsid w:val="00A15217"/>
    <w:rsid w:val="00A15685"/>
    <w:rsid w:val="00A15E23"/>
    <w:rsid w:val="00A15F77"/>
    <w:rsid w:val="00A1620B"/>
    <w:rsid w:val="00A16379"/>
    <w:rsid w:val="00A16C3D"/>
    <w:rsid w:val="00A16CC1"/>
    <w:rsid w:val="00A16EBB"/>
    <w:rsid w:val="00A17035"/>
    <w:rsid w:val="00A172BC"/>
    <w:rsid w:val="00A17E04"/>
    <w:rsid w:val="00A17E95"/>
    <w:rsid w:val="00A202C7"/>
    <w:rsid w:val="00A20708"/>
    <w:rsid w:val="00A20C85"/>
    <w:rsid w:val="00A2116A"/>
    <w:rsid w:val="00A21251"/>
    <w:rsid w:val="00A2132B"/>
    <w:rsid w:val="00A21686"/>
    <w:rsid w:val="00A21E38"/>
    <w:rsid w:val="00A21F61"/>
    <w:rsid w:val="00A22523"/>
    <w:rsid w:val="00A22705"/>
    <w:rsid w:val="00A2296C"/>
    <w:rsid w:val="00A22AE0"/>
    <w:rsid w:val="00A22B47"/>
    <w:rsid w:val="00A230F9"/>
    <w:rsid w:val="00A23286"/>
    <w:rsid w:val="00A233F5"/>
    <w:rsid w:val="00A23944"/>
    <w:rsid w:val="00A23CE0"/>
    <w:rsid w:val="00A23F29"/>
    <w:rsid w:val="00A2462D"/>
    <w:rsid w:val="00A249D3"/>
    <w:rsid w:val="00A249F0"/>
    <w:rsid w:val="00A25563"/>
    <w:rsid w:val="00A257D3"/>
    <w:rsid w:val="00A25939"/>
    <w:rsid w:val="00A26F48"/>
    <w:rsid w:val="00A2731D"/>
    <w:rsid w:val="00A274B0"/>
    <w:rsid w:val="00A2767D"/>
    <w:rsid w:val="00A277DF"/>
    <w:rsid w:val="00A27B39"/>
    <w:rsid w:val="00A30171"/>
    <w:rsid w:val="00A30BC1"/>
    <w:rsid w:val="00A30EB0"/>
    <w:rsid w:val="00A3110A"/>
    <w:rsid w:val="00A312F7"/>
    <w:rsid w:val="00A31964"/>
    <w:rsid w:val="00A3219F"/>
    <w:rsid w:val="00A32DAB"/>
    <w:rsid w:val="00A32F43"/>
    <w:rsid w:val="00A33D02"/>
    <w:rsid w:val="00A33F64"/>
    <w:rsid w:val="00A3407B"/>
    <w:rsid w:val="00A3441C"/>
    <w:rsid w:val="00A354EB"/>
    <w:rsid w:val="00A3652B"/>
    <w:rsid w:val="00A36A5C"/>
    <w:rsid w:val="00A37461"/>
    <w:rsid w:val="00A37497"/>
    <w:rsid w:val="00A374B4"/>
    <w:rsid w:val="00A37694"/>
    <w:rsid w:val="00A37E42"/>
    <w:rsid w:val="00A402FE"/>
    <w:rsid w:val="00A406D7"/>
    <w:rsid w:val="00A40944"/>
    <w:rsid w:val="00A41894"/>
    <w:rsid w:val="00A41F12"/>
    <w:rsid w:val="00A4279E"/>
    <w:rsid w:val="00A432CB"/>
    <w:rsid w:val="00A43416"/>
    <w:rsid w:val="00A436D9"/>
    <w:rsid w:val="00A43A6B"/>
    <w:rsid w:val="00A43B42"/>
    <w:rsid w:val="00A441F3"/>
    <w:rsid w:val="00A44B7B"/>
    <w:rsid w:val="00A44F8C"/>
    <w:rsid w:val="00A4613C"/>
    <w:rsid w:val="00A46B5A"/>
    <w:rsid w:val="00A5086B"/>
    <w:rsid w:val="00A50903"/>
    <w:rsid w:val="00A5132D"/>
    <w:rsid w:val="00A5250E"/>
    <w:rsid w:val="00A5254E"/>
    <w:rsid w:val="00A525FD"/>
    <w:rsid w:val="00A5274D"/>
    <w:rsid w:val="00A528F1"/>
    <w:rsid w:val="00A53413"/>
    <w:rsid w:val="00A53483"/>
    <w:rsid w:val="00A5357E"/>
    <w:rsid w:val="00A53957"/>
    <w:rsid w:val="00A53D71"/>
    <w:rsid w:val="00A53E25"/>
    <w:rsid w:val="00A5468D"/>
    <w:rsid w:val="00A54C88"/>
    <w:rsid w:val="00A55192"/>
    <w:rsid w:val="00A561BB"/>
    <w:rsid w:val="00A56CA2"/>
    <w:rsid w:val="00A5734E"/>
    <w:rsid w:val="00A57B8E"/>
    <w:rsid w:val="00A57F50"/>
    <w:rsid w:val="00A60109"/>
    <w:rsid w:val="00A60297"/>
    <w:rsid w:val="00A60849"/>
    <w:rsid w:val="00A60A68"/>
    <w:rsid w:val="00A617DB"/>
    <w:rsid w:val="00A6193C"/>
    <w:rsid w:val="00A62A90"/>
    <w:rsid w:val="00A63492"/>
    <w:rsid w:val="00A64428"/>
    <w:rsid w:val="00A64D10"/>
    <w:rsid w:val="00A650F6"/>
    <w:rsid w:val="00A6595C"/>
    <w:rsid w:val="00A659B2"/>
    <w:rsid w:val="00A65DD3"/>
    <w:rsid w:val="00A661D0"/>
    <w:rsid w:val="00A6675D"/>
    <w:rsid w:val="00A670E5"/>
    <w:rsid w:val="00A67253"/>
    <w:rsid w:val="00A67742"/>
    <w:rsid w:val="00A7007E"/>
    <w:rsid w:val="00A702A9"/>
    <w:rsid w:val="00A7070E"/>
    <w:rsid w:val="00A70D26"/>
    <w:rsid w:val="00A71158"/>
    <w:rsid w:val="00A71436"/>
    <w:rsid w:val="00A716DA"/>
    <w:rsid w:val="00A71AF2"/>
    <w:rsid w:val="00A71BCD"/>
    <w:rsid w:val="00A72076"/>
    <w:rsid w:val="00A7217B"/>
    <w:rsid w:val="00A7235A"/>
    <w:rsid w:val="00A723A4"/>
    <w:rsid w:val="00A72962"/>
    <w:rsid w:val="00A72A2F"/>
    <w:rsid w:val="00A72EB3"/>
    <w:rsid w:val="00A73559"/>
    <w:rsid w:val="00A73E46"/>
    <w:rsid w:val="00A741F6"/>
    <w:rsid w:val="00A743E9"/>
    <w:rsid w:val="00A7468F"/>
    <w:rsid w:val="00A74709"/>
    <w:rsid w:val="00A74D30"/>
    <w:rsid w:val="00A74DD1"/>
    <w:rsid w:val="00A75056"/>
    <w:rsid w:val="00A75C9E"/>
    <w:rsid w:val="00A75CF8"/>
    <w:rsid w:val="00A76172"/>
    <w:rsid w:val="00A7656A"/>
    <w:rsid w:val="00A772E8"/>
    <w:rsid w:val="00A77396"/>
    <w:rsid w:val="00A777E7"/>
    <w:rsid w:val="00A8035D"/>
    <w:rsid w:val="00A80945"/>
    <w:rsid w:val="00A80C28"/>
    <w:rsid w:val="00A81AA1"/>
    <w:rsid w:val="00A81AC3"/>
    <w:rsid w:val="00A81E1C"/>
    <w:rsid w:val="00A82724"/>
    <w:rsid w:val="00A828CC"/>
    <w:rsid w:val="00A82BFB"/>
    <w:rsid w:val="00A8365B"/>
    <w:rsid w:val="00A83B52"/>
    <w:rsid w:val="00A83F87"/>
    <w:rsid w:val="00A84091"/>
    <w:rsid w:val="00A84B37"/>
    <w:rsid w:val="00A85810"/>
    <w:rsid w:val="00A85B12"/>
    <w:rsid w:val="00A8638D"/>
    <w:rsid w:val="00A864E3"/>
    <w:rsid w:val="00A865F1"/>
    <w:rsid w:val="00A90088"/>
    <w:rsid w:val="00A912AC"/>
    <w:rsid w:val="00A91B42"/>
    <w:rsid w:val="00A91C93"/>
    <w:rsid w:val="00A91DCD"/>
    <w:rsid w:val="00A922A5"/>
    <w:rsid w:val="00A92613"/>
    <w:rsid w:val="00A9288B"/>
    <w:rsid w:val="00A92C8F"/>
    <w:rsid w:val="00A93FC9"/>
    <w:rsid w:val="00A959B2"/>
    <w:rsid w:val="00A95A99"/>
    <w:rsid w:val="00A95D95"/>
    <w:rsid w:val="00A96039"/>
    <w:rsid w:val="00A96146"/>
    <w:rsid w:val="00A9644E"/>
    <w:rsid w:val="00A965CA"/>
    <w:rsid w:val="00A9715F"/>
    <w:rsid w:val="00A97441"/>
    <w:rsid w:val="00A978D5"/>
    <w:rsid w:val="00AA062F"/>
    <w:rsid w:val="00AA0800"/>
    <w:rsid w:val="00AA0A26"/>
    <w:rsid w:val="00AA12EB"/>
    <w:rsid w:val="00AA1524"/>
    <w:rsid w:val="00AA1DC2"/>
    <w:rsid w:val="00AA2345"/>
    <w:rsid w:val="00AA2FFD"/>
    <w:rsid w:val="00AA3092"/>
    <w:rsid w:val="00AA30F7"/>
    <w:rsid w:val="00AA4244"/>
    <w:rsid w:val="00AA44E3"/>
    <w:rsid w:val="00AA456D"/>
    <w:rsid w:val="00AA46D4"/>
    <w:rsid w:val="00AA4820"/>
    <w:rsid w:val="00AA4915"/>
    <w:rsid w:val="00AA495A"/>
    <w:rsid w:val="00AA4E05"/>
    <w:rsid w:val="00AA5634"/>
    <w:rsid w:val="00AA6A29"/>
    <w:rsid w:val="00AA6FF3"/>
    <w:rsid w:val="00AA70F1"/>
    <w:rsid w:val="00AA7122"/>
    <w:rsid w:val="00AA754F"/>
    <w:rsid w:val="00AA77C7"/>
    <w:rsid w:val="00AA7B42"/>
    <w:rsid w:val="00AB04B7"/>
    <w:rsid w:val="00AB0706"/>
    <w:rsid w:val="00AB0B2F"/>
    <w:rsid w:val="00AB0D29"/>
    <w:rsid w:val="00AB14F5"/>
    <w:rsid w:val="00AB1E97"/>
    <w:rsid w:val="00AB238C"/>
    <w:rsid w:val="00AB29B1"/>
    <w:rsid w:val="00AB2F4D"/>
    <w:rsid w:val="00AB34F7"/>
    <w:rsid w:val="00AB3549"/>
    <w:rsid w:val="00AB4066"/>
    <w:rsid w:val="00AB4F5D"/>
    <w:rsid w:val="00AB5281"/>
    <w:rsid w:val="00AB56BF"/>
    <w:rsid w:val="00AB57E6"/>
    <w:rsid w:val="00AB5F4C"/>
    <w:rsid w:val="00AB65DC"/>
    <w:rsid w:val="00AB6D8D"/>
    <w:rsid w:val="00AB7830"/>
    <w:rsid w:val="00AB7931"/>
    <w:rsid w:val="00AC0030"/>
    <w:rsid w:val="00AC0904"/>
    <w:rsid w:val="00AC0B35"/>
    <w:rsid w:val="00AC181D"/>
    <w:rsid w:val="00AC2656"/>
    <w:rsid w:val="00AC3A35"/>
    <w:rsid w:val="00AC3BEF"/>
    <w:rsid w:val="00AC429A"/>
    <w:rsid w:val="00AC4769"/>
    <w:rsid w:val="00AC4C8E"/>
    <w:rsid w:val="00AC4ED3"/>
    <w:rsid w:val="00AC51EF"/>
    <w:rsid w:val="00AC543A"/>
    <w:rsid w:val="00AC55CE"/>
    <w:rsid w:val="00AC61DF"/>
    <w:rsid w:val="00AC6F3B"/>
    <w:rsid w:val="00AC73BC"/>
    <w:rsid w:val="00AD1385"/>
    <w:rsid w:val="00AD14DB"/>
    <w:rsid w:val="00AD1F61"/>
    <w:rsid w:val="00AD20D5"/>
    <w:rsid w:val="00AD2134"/>
    <w:rsid w:val="00AD28CE"/>
    <w:rsid w:val="00AD3E79"/>
    <w:rsid w:val="00AD3E99"/>
    <w:rsid w:val="00AD3EE2"/>
    <w:rsid w:val="00AD4262"/>
    <w:rsid w:val="00AD50D0"/>
    <w:rsid w:val="00AD5199"/>
    <w:rsid w:val="00AD55DD"/>
    <w:rsid w:val="00AD59D8"/>
    <w:rsid w:val="00AD5A0E"/>
    <w:rsid w:val="00AD5B8F"/>
    <w:rsid w:val="00AD5D6A"/>
    <w:rsid w:val="00AD5EFF"/>
    <w:rsid w:val="00AD624C"/>
    <w:rsid w:val="00AD62EF"/>
    <w:rsid w:val="00AD6EF8"/>
    <w:rsid w:val="00AD722F"/>
    <w:rsid w:val="00AD749C"/>
    <w:rsid w:val="00AD7D3C"/>
    <w:rsid w:val="00AE036C"/>
    <w:rsid w:val="00AE048A"/>
    <w:rsid w:val="00AE0DE1"/>
    <w:rsid w:val="00AE0FC9"/>
    <w:rsid w:val="00AE1041"/>
    <w:rsid w:val="00AE1189"/>
    <w:rsid w:val="00AE1262"/>
    <w:rsid w:val="00AE1A5E"/>
    <w:rsid w:val="00AE1E39"/>
    <w:rsid w:val="00AE25E6"/>
    <w:rsid w:val="00AE28F7"/>
    <w:rsid w:val="00AE3205"/>
    <w:rsid w:val="00AE3BE6"/>
    <w:rsid w:val="00AE41F4"/>
    <w:rsid w:val="00AE461A"/>
    <w:rsid w:val="00AE48A6"/>
    <w:rsid w:val="00AE4A6A"/>
    <w:rsid w:val="00AE4B52"/>
    <w:rsid w:val="00AE5299"/>
    <w:rsid w:val="00AE5464"/>
    <w:rsid w:val="00AE5C25"/>
    <w:rsid w:val="00AE64A2"/>
    <w:rsid w:val="00AE67A0"/>
    <w:rsid w:val="00AE7B83"/>
    <w:rsid w:val="00AE7BCD"/>
    <w:rsid w:val="00AF0039"/>
    <w:rsid w:val="00AF0097"/>
    <w:rsid w:val="00AF025E"/>
    <w:rsid w:val="00AF0987"/>
    <w:rsid w:val="00AF0B67"/>
    <w:rsid w:val="00AF0E15"/>
    <w:rsid w:val="00AF1304"/>
    <w:rsid w:val="00AF1434"/>
    <w:rsid w:val="00AF18AF"/>
    <w:rsid w:val="00AF2155"/>
    <w:rsid w:val="00AF254A"/>
    <w:rsid w:val="00AF2AF2"/>
    <w:rsid w:val="00AF3AFF"/>
    <w:rsid w:val="00AF3C2B"/>
    <w:rsid w:val="00AF3D09"/>
    <w:rsid w:val="00AF43B4"/>
    <w:rsid w:val="00AF4A53"/>
    <w:rsid w:val="00AF5C59"/>
    <w:rsid w:val="00AF5D79"/>
    <w:rsid w:val="00AF5FCA"/>
    <w:rsid w:val="00AF67E3"/>
    <w:rsid w:val="00AF696F"/>
    <w:rsid w:val="00AF6CB3"/>
    <w:rsid w:val="00AF768F"/>
    <w:rsid w:val="00AF7AF6"/>
    <w:rsid w:val="00AF7D88"/>
    <w:rsid w:val="00AF7DD5"/>
    <w:rsid w:val="00AF7EEB"/>
    <w:rsid w:val="00B0066A"/>
    <w:rsid w:val="00B0114F"/>
    <w:rsid w:val="00B01515"/>
    <w:rsid w:val="00B01840"/>
    <w:rsid w:val="00B0201C"/>
    <w:rsid w:val="00B022BF"/>
    <w:rsid w:val="00B029B3"/>
    <w:rsid w:val="00B029F9"/>
    <w:rsid w:val="00B03140"/>
    <w:rsid w:val="00B031E6"/>
    <w:rsid w:val="00B03410"/>
    <w:rsid w:val="00B0363B"/>
    <w:rsid w:val="00B0388E"/>
    <w:rsid w:val="00B042AA"/>
    <w:rsid w:val="00B04444"/>
    <w:rsid w:val="00B04457"/>
    <w:rsid w:val="00B0508A"/>
    <w:rsid w:val="00B0526A"/>
    <w:rsid w:val="00B05836"/>
    <w:rsid w:val="00B05928"/>
    <w:rsid w:val="00B0625C"/>
    <w:rsid w:val="00B06346"/>
    <w:rsid w:val="00B0660D"/>
    <w:rsid w:val="00B067EA"/>
    <w:rsid w:val="00B06CDD"/>
    <w:rsid w:val="00B1023B"/>
    <w:rsid w:val="00B10784"/>
    <w:rsid w:val="00B110C0"/>
    <w:rsid w:val="00B112B1"/>
    <w:rsid w:val="00B11371"/>
    <w:rsid w:val="00B11377"/>
    <w:rsid w:val="00B117A0"/>
    <w:rsid w:val="00B11B33"/>
    <w:rsid w:val="00B12157"/>
    <w:rsid w:val="00B1235C"/>
    <w:rsid w:val="00B12E04"/>
    <w:rsid w:val="00B12E91"/>
    <w:rsid w:val="00B12FC3"/>
    <w:rsid w:val="00B1327B"/>
    <w:rsid w:val="00B1347F"/>
    <w:rsid w:val="00B1361B"/>
    <w:rsid w:val="00B13E7B"/>
    <w:rsid w:val="00B13FB2"/>
    <w:rsid w:val="00B1411B"/>
    <w:rsid w:val="00B14594"/>
    <w:rsid w:val="00B14A18"/>
    <w:rsid w:val="00B14D6F"/>
    <w:rsid w:val="00B16357"/>
    <w:rsid w:val="00B163B4"/>
    <w:rsid w:val="00B16CDF"/>
    <w:rsid w:val="00B172AF"/>
    <w:rsid w:val="00B177DB"/>
    <w:rsid w:val="00B17C66"/>
    <w:rsid w:val="00B2000B"/>
    <w:rsid w:val="00B20037"/>
    <w:rsid w:val="00B20857"/>
    <w:rsid w:val="00B20B9D"/>
    <w:rsid w:val="00B213E7"/>
    <w:rsid w:val="00B21D9C"/>
    <w:rsid w:val="00B225E6"/>
    <w:rsid w:val="00B2295A"/>
    <w:rsid w:val="00B22DC6"/>
    <w:rsid w:val="00B22DEE"/>
    <w:rsid w:val="00B22ECE"/>
    <w:rsid w:val="00B23A85"/>
    <w:rsid w:val="00B23BCA"/>
    <w:rsid w:val="00B23ED0"/>
    <w:rsid w:val="00B24316"/>
    <w:rsid w:val="00B24AC2"/>
    <w:rsid w:val="00B24B7F"/>
    <w:rsid w:val="00B2568A"/>
    <w:rsid w:val="00B26414"/>
    <w:rsid w:val="00B26C9F"/>
    <w:rsid w:val="00B26CEB"/>
    <w:rsid w:val="00B27483"/>
    <w:rsid w:val="00B27B19"/>
    <w:rsid w:val="00B27C2A"/>
    <w:rsid w:val="00B27E24"/>
    <w:rsid w:val="00B27ED8"/>
    <w:rsid w:val="00B27F6E"/>
    <w:rsid w:val="00B30942"/>
    <w:rsid w:val="00B30C71"/>
    <w:rsid w:val="00B31F59"/>
    <w:rsid w:val="00B32051"/>
    <w:rsid w:val="00B32A02"/>
    <w:rsid w:val="00B32AF8"/>
    <w:rsid w:val="00B32AF9"/>
    <w:rsid w:val="00B339B2"/>
    <w:rsid w:val="00B33AF8"/>
    <w:rsid w:val="00B344BB"/>
    <w:rsid w:val="00B34E9A"/>
    <w:rsid w:val="00B3528D"/>
    <w:rsid w:val="00B35FCA"/>
    <w:rsid w:val="00B36105"/>
    <w:rsid w:val="00B365A7"/>
    <w:rsid w:val="00B36A6E"/>
    <w:rsid w:val="00B36D15"/>
    <w:rsid w:val="00B36E2B"/>
    <w:rsid w:val="00B36EC1"/>
    <w:rsid w:val="00B3770D"/>
    <w:rsid w:val="00B378A2"/>
    <w:rsid w:val="00B37B80"/>
    <w:rsid w:val="00B37C6C"/>
    <w:rsid w:val="00B40486"/>
    <w:rsid w:val="00B404F3"/>
    <w:rsid w:val="00B40634"/>
    <w:rsid w:val="00B40B16"/>
    <w:rsid w:val="00B40F1C"/>
    <w:rsid w:val="00B40F84"/>
    <w:rsid w:val="00B4101D"/>
    <w:rsid w:val="00B410BE"/>
    <w:rsid w:val="00B416E0"/>
    <w:rsid w:val="00B42EE3"/>
    <w:rsid w:val="00B43580"/>
    <w:rsid w:val="00B43870"/>
    <w:rsid w:val="00B43DEC"/>
    <w:rsid w:val="00B43E11"/>
    <w:rsid w:val="00B44328"/>
    <w:rsid w:val="00B44419"/>
    <w:rsid w:val="00B44DF9"/>
    <w:rsid w:val="00B45A2D"/>
    <w:rsid w:val="00B45B66"/>
    <w:rsid w:val="00B45D48"/>
    <w:rsid w:val="00B4612D"/>
    <w:rsid w:val="00B461FD"/>
    <w:rsid w:val="00B467D0"/>
    <w:rsid w:val="00B47206"/>
    <w:rsid w:val="00B47B3F"/>
    <w:rsid w:val="00B5022D"/>
    <w:rsid w:val="00B5027E"/>
    <w:rsid w:val="00B503C8"/>
    <w:rsid w:val="00B50DBD"/>
    <w:rsid w:val="00B50F16"/>
    <w:rsid w:val="00B515FF"/>
    <w:rsid w:val="00B51611"/>
    <w:rsid w:val="00B5168C"/>
    <w:rsid w:val="00B52922"/>
    <w:rsid w:val="00B52DFB"/>
    <w:rsid w:val="00B538AE"/>
    <w:rsid w:val="00B55010"/>
    <w:rsid w:val="00B56592"/>
    <w:rsid w:val="00B56D88"/>
    <w:rsid w:val="00B56ED3"/>
    <w:rsid w:val="00B57157"/>
    <w:rsid w:val="00B57D9B"/>
    <w:rsid w:val="00B6011D"/>
    <w:rsid w:val="00B60311"/>
    <w:rsid w:val="00B6075A"/>
    <w:rsid w:val="00B608BD"/>
    <w:rsid w:val="00B609D3"/>
    <w:rsid w:val="00B60AC6"/>
    <w:rsid w:val="00B60B95"/>
    <w:rsid w:val="00B61154"/>
    <w:rsid w:val="00B611E8"/>
    <w:rsid w:val="00B612F2"/>
    <w:rsid w:val="00B629EA"/>
    <w:rsid w:val="00B62DF2"/>
    <w:rsid w:val="00B62E2F"/>
    <w:rsid w:val="00B63153"/>
    <w:rsid w:val="00B645A7"/>
    <w:rsid w:val="00B64A64"/>
    <w:rsid w:val="00B6514E"/>
    <w:rsid w:val="00B658CD"/>
    <w:rsid w:val="00B65CB2"/>
    <w:rsid w:val="00B675E7"/>
    <w:rsid w:val="00B70417"/>
    <w:rsid w:val="00B70433"/>
    <w:rsid w:val="00B707FA"/>
    <w:rsid w:val="00B708B7"/>
    <w:rsid w:val="00B70955"/>
    <w:rsid w:val="00B70AD5"/>
    <w:rsid w:val="00B70D6B"/>
    <w:rsid w:val="00B70DF2"/>
    <w:rsid w:val="00B7127F"/>
    <w:rsid w:val="00B71423"/>
    <w:rsid w:val="00B71830"/>
    <w:rsid w:val="00B71E98"/>
    <w:rsid w:val="00B72230"/>
    <w:rsid w:val="00B7286E"/>
    <w:rsid w:val="00B72B67"/>
    <w:rsid w:val="00B74079"/>
    <w:rsid w:val="00B740EE"/>
    <w:rsid w:val="00B7451C"/>
    <w:rsid w:val="00B74858"/>
    <w:rsid w:val="00B74F8C"/>
    <w:rsid w:val="00B755BA"/>
    <w:rsid w:val="00B75FA7"/>
    <w:rsid w:val="00B7670F"/>
    <w:rsid w:val="00B76ECA"/>
    <w:rsid w:val="00B773CF"/>
    <w:rsid w:val="00B7768F"/>
    <w:rsid w:val="00B7782B"/>
    <w:rsid w:val="00B807E2"/>
    <w:rsid w:val="00B80875"/>
    <w:rsid w:val="00B80C48"/>
    <w:rsid w:val="00B80F11"/>
    <w:rsid w:val="00B8104E"/>
    <w:rsid w:val="00B82045"/>
    <w:rsid w:val="00B82397"/>
    <w:rsid w:val="00B8287F"/>
    <w:rsid w:val="00B82DF8"/>
    <w:rsid w:val="00B83648"/>
    <w:rsid w:val="00B837F2"/>
    <w:rsid w:val="00B83BF4"/>
    <w:rsid w:val="00B83FF9"/>
    <w:rsid w:val="00B844F8"/>
    <w:rsid w:val="00B84612"/>
    <w:rsid w:val="00B846E1"/>
    <w:rsid w:val="00B8494A"/>
    <w:rsid w:val="00B849D4"/>
    <w:rsid w:val="00B84F34"/>
    <w:rsid w:val="00B856C4"/>
    <w:rsid w:val="00B85700"/>
    <w:rsid w:val="00B85D4A"/>
    <w:rsid w:val="00B861E5"/>
    <w:rsid w:val="00B8660A"/>
    <w:rsid w:val="00B86614"/>
    <w:rsid w:val="00B867BE"/>
    <w:rsid w:val="00B86867"/>
    <w:rsid w:val="00B8724C"/>
    <w:rsid w:val="00B87396"/>
    <w:rsid w:val="00B907F0"/>
    <w:rsid w:val="00B90852"/>
    <w:rsid w:val="00B90EB4"/>
    <w:rsid w:val="00B91248"/>
    <w:rsid w:val="00B9126E"/>
    <w:rsid w:val="00B919C4"/>
    <w:rsid w:val="00B91B9A"/>
    <w:rsid w:val="00B91BD5"/>
    <w:rsid w:val="00B92872"/>
    <w:rsid w:val="00B928FF"/>
    <w:rsid w:val="00B938F1"/>
    <w:rsid w:val="00B941DC"/>
    <w:rsid w:val="00B94636"/>
    <w:rsid w:val="00B94CD0"/>
    <w:rsid w:val="00B94E7A"/>
    <w:rsid w:val="00B94F1F"/>
    <w:rsid w:val="00B954AA"/>
    <w:rsid w:val="00B95919"/>
    <w:rsid w:val="00B95A2E"/>
    <w:rsid w:val="00B95A8C"/>
    <w:rsid w:val="00B95C63"/>
    <w:rsid w:val="00B95FDB"/>
    <w:rsid w:val="00B96000"/>
    <w:rsid w:val="00B96FB2"/>
    <w:rsid w:val="00B97EAF"/>
    <w:rsid w:val="00B97FAE"/>
    <w:rsid w:val="00BA0045"/>
    <w:rsid w:val="00BA0F5F"/>
    <w:rsid w:val="00BA1367"/>
    <w:rsid w:val="00BA1652"/>
    <w:rsid w:val="00BA1988"/>
    <w:rsid w:val="00BA201B"/>
    <w:rsid w:val="00BA2D12"/>
    <w:rsid w:val="00BA362F"/>
    <w:rsid w:val="00BA42A1"/>
    <w:rsid w:val="00BA4623"/>
    <w:rsid w:val="00BA479C"/>
    <w:rsid w:val="00BA4882"/>
    <w:rsid w:val="00BA4A64"/>
    <w:rsid w:val="00BA4AC6"/>
    <w:rsid w:val="00BA4F06"/>
    <w:rsid w:val="00BA52DF"/>
    <w:rsid w:val="00BA55BC"/>
    <w:rsid w:val="00BA5B7F"/>
    <w:rsid w:val="00BA622C"/>
    <w:rsid w:val="00BA6543"/>
    <w:rsid w:val="00BA6C03"/>
    <w:rsid w:val="00BA6E3F"/>
    <w:rsid w:val="00BA6E6F"/>
    <w:rsid w:val="00BA70C5"/>
    <w:rsid w:val="00BA7437"/>
    <w:rsid w:val="00BA758F"/>
    <w:rsid w:val="00BA77DE"/>
    <w:rsid w:val="00BA7ED9"/>
    <w:rsid w:val="00BB00D1"/>
    <w:rsid w:val="00BB175E"/>
    <w:rsid w:val="00BB1826"/>
    <w:rsid w:val="00BB1CBB"/>
    <w:rsid w:val="00BB1F4C"/>
    <w:rsid w:val="00BB2636"/>
    <w:rsid w:val="00BB2651"/>
    <w:rsid w:val="00BB2B31"/>
    <w:rsid w:val="00BB2CE2"/>
    <w:rsid w:val="00BB2DB0"/>
    <w:rsid w:val="00BB362C"/>
    <w:rsid w:val="00BB391C"/>
    <w:rsid w:val="00BB3AF8"/>
    <w:rsid w:val="00BB3C49"/>
    <w:rsid w:val="00BB41DB"/>
    <w:rsid w:val="00BB4694"/>
    <w:rsid w:val="00BB47BB"/>
    <w:rsid w:val="00BB5338"/>
    <w:rsid w:val="00BB56FE"/>
    <w:rsid w:val="00BB57FE"/>
    <w:rsid w:val="00BB5D3B"/>
    <w:rsid w:val="00BB5E27"/>
    <w:rsid w:val="00BB69C3"/>
    <w:rsid w:val="00BB6CA6"/>
    <w:rsid w:val="00BB75A3"/>
    <w:rsid w:val="00BB7B5B"/>
    <w:rsid w:val="00BB7ED3"/>
    <w:rsid w:val="00BC07F5"/>
    <w:rsid w:val="00BC09D6"/>
    <w:rsid w:val="00BC0C1F"/>
    <w:rsid w:val="00BC0D0A"/>
    <w:rsid w:val="00BC159D"/>
    <w:rsid w:val="00BC2188"/>
    <w:rsid w:val="00BC28AE"/>
    <w:rsid w:val="00BC3453"/>
    <w:rsid w:val="00BC37DE"/>
    <w:rsid w:val="00BC43CA"/>
    <w:rsid w:val="00BC43FB"/>
    <w:rsid w:val="00BC4FF2"/>
    <w:rsid w:val="00BC53F9"/>
    <w:rsid w:val="00BC6232"/>
    <w:rsid w:val="00BC68A5"/>
    <w:rsid w:val="00BC68AC"/>
    <w:rsid w:val="00BC6BC5"/>
    <w:rsid w:val="00BC6E11"/>
    <w:rsid w:val="00BC70C8"/>
    <w:rsid w:val="00BC75C4"/>
    <w:rsid w:val="00BC7FFA"/>
    <w:rsid w:val="00BD02E7"/>
    <w:rsid w:val="00BD1089"/>
    <w:rsid w:val="00BD12D9"/>
    <w:rsid w:val="00BD316A"/>
    <w:rsid w:val="00BD37FC"/>
    <w:rsid w:val="00BD4C2F"/>
    <w:rsid w:val="00BD4ED5"/>
    <w:rsid w:val="00BD52D4"/>
    <w:rsid w:val="00BD5909"/>
    <w:rsid w:val="00BD5EFD"/>
    <w:rsid w:val="00BD67BA"/>
    <w:rsid w:val="00BD6F79"/>
    <w:rsid w:val="00BD703B"/>
    <w:rsid w:val="00BD7236"/>
    <w:rsid w:val="00BD7537"/>
    <w:rsid w:val="00BD76E5"/>
    <w:rsid w:val="00BE0AFB"/>
    <w:rsid w:val="00BE1FFF"/>
    <w:rsid w:val="00BE2383"/>
    <w:rsid w:val="00BE2F48"/>
    <w:rsid w:val="00BE37AE"/>
    <w:rsid w:val="00BE407F"/>
    <w:rsid w:val="00BE40B9"/>
    <w:rsid w:val="00BE4278"/>
    <w:rsid w:val="00BE4ED6"/>
    <w:rsid w:val="00BE4F75"/>
    <w:rsid w:val="00BE529F"/>
    <w:rsid w:val="00BE53E1"/>
    <w:rsid w:val="00BE5748"/>
    <w:rsid w:val="00BE5AAF"/>
    <w:rsid w:val="00BE5B80"/>
    <w:rsid w:val="00BE5EE9"/>
    <w:rsid w:val="00BE6323"/>
    <w:rsid w:val="00BE6FA2"/>
    <w:rsid w:val="00BE702E"/>
    <w:rsid w:val="00BE7520"/>
    <w:rsid w:val="00BE759D"/>
    <w:rsid w:val="00BE7608"/>
    <w:rsid w:val="00BE7BB8"/>
    <w:rsid w:val="00BE7C3E"/>
    <w:rsid w:val="00BF03E3"/>
    <w:rsid w:val="00BF04E4"/>
    <w:rsid w:val="00BF0A99"/>
    <w:rsid w:val="00BF122A"/>
    <w:rsid w:val="00BF1BE1"/>
    <w:rsid w:val="00BF2775"/>
    <w:rsid w:val="00BF29F2"/>
    <w:rsid w:val="00BF2CCB"/>
    <w:rsid w:val="00BF2D72"/>
    <w:rsid w:val="00BF3564"/>
    <w:rsid w:val="00BF406E"/>
    <w:rsid w:val="00BF4431"/>
    <w:rsid w:val="00BF4A7F"/>
    <w:rsid w:val="00BF4E8B"/>
    <w:rsid w:val="00BF56C2"/>
    <w:rsid w:val="00BF5771"/>
    <w:rsid w:val="00BF5915"/>
    <w:rsid w:val="00BF6097"/>
    <w:rsid w:val="00BF6223"/>
    <w:rsid w:val="00BF66A5"/>
    <w:rsid w:val="00BF6CB8"/>
    <w:rsid w:val="00BF6CC3"/>
    <w:rsid w:val="00BF6E42"/>
    <w:rsid w:val="00BF7031"/>
    <w:rsid w:val="00BF7999"/>
    <w:rsid w:val="00C002F0"/>
    <w:rsid w:val="00C007E7"/>
    <w:rsid w:val="00C00A9B"/>
    <w:rsid w:val="00C00ABB"/>
    <w:rsid w:val="00C01398"/>
    <w:rsid w:val="00C01750"/>
    <w:rsid w:val="00C027E3"/>
    <w:rsid w:val="00C02BC7"/>
    <w:rsid w:val="00C03FDD"/>
    <w:rsid w:val="00C041B1"/>
    <w:rsid w:val="00C042F1"/>
    <w:rsid w:val="00C044A3"/>
    <w:rsid w:val="00C049F0"/>
    <w:rsid w:val="00C049FC"/>
    <w:rsid w:val="00C04C6A"/>
    <w:rsid w:val="00C04D76"/>
    <w:rsid w:val="00C05819"/>
    <w:rsid w:val="00C05F78"/>
    <w:rsid w:val="00C06037"/>
    <w:rsid w:val="00C06CAD"/>
    <w:rsid w:val="00C070DE"/>
    <w:rsid w:val="00C0785E"/>
    <w:rsid w:val="00C07DCE"/>
    <w:rsid w:val="00C10632"/>
    <w:rsid w:val="00C10A01"/>
    <w:rsid w:val="00C10B92"/>
    <w:rsid w:val="00C110A4"/>
    <w:rsid w:val="00C11290"/>
    <w:rsid w:val="00C1178A"/>
    <w:rsid w:val="00C1184A"/>
    <w:rsid w:val="00C119EB"/>
    <w:rsid w:val="00C11C86"/>
    <w:rsid w:val="00C11D25"/>
    <w:rsid w:val="00C12354"/>
    <w:rsid w:val="00C129EB"/>
    <w:rsid w:val="00C12DFA"/>
    <w:rsid w:val="00C132B9"/>
    <w:rsid w:val="00C133FD"/>
    <w:rsid w:val="00C136F8"/>
    <w:rsid w:val="00C141B6"/>
    <w:rsid w:val="00C14349"/>
    <w:rsid w:val="00C144FD"/>
    <w:rsid w:val="00C14635"/>
    <w:rsid w:val="00C14748"/>
    <w:rsid w:val="00C14AAD"/>
    <w:rsid w:val="00C14D6A"/>
    <w:rsid w:val="00C15AE3"/>
    <w:rsid w:val="00C15C4E"/>
    <w:rsid w:val="00C15E22"/>
    <w:rsid w:val="00C15E91"/>
    <w:rsid w:val="00C15EEB"/>
    <w:rsid w:val="00C16512"/>
    <w:rsid w:val="00C16CFE"/>
    <w:rsid w:val="00C1739A"/>
    <w:rsid w:val="00C17496"/>
    <w:rsid w:val="00C1761E"/>
    <w:rsid w:val="00C17E7C"/>
    <w:rsid w:val="00C20585"/>
    <w:rsid w:val="00C20B41"/>
    <w:rsid w:val="00C20F8B"/>
    <w:rsid w:val="00C210D8"/>
    <w:rsid w:val="00C2171D"/>
    <w:rsid w:val="00C21C62"/>
    <w:rsid w:val="00C22142"/>
    <w:rsid w:val="00C22F0B"/>
    <w:rsid w:val="00C23540"/>
    <w:rsid w:val="00C23790"/>
    <w:rsid w:val="00C23E80"/>
    <w:rsid w:val="00C24205"/>
    <w:rsid w:val="00C24553"/>
    <w:rsid w:val="00C24733"/>
    <w:rsid w:val="00C2565A"/>
    <w:rsid w:val="00C2567B"/>
    <w:rsid w:val="00C25A4F"/>
    <w:rsid w:val="00C25B2F"/>
    <w:rsid w:val="00C25D30"/>
    <w:rsid w:val="00C25DA9"/>
    <w:rsid w:val="00C25DAC"/>
    <w:rsid w:val="00C25E48"/>
    <w:rsid w:val="00C263F4"/>
    <w:rsid w:val="00C26CBC"/>
    <w:rsid w:val="00C27407"/>
    <w:rsid w:val="00C2773A"/>
    <w:rsid w:val="00C27DEA"/>
    <w:rsid w:val="00C30484"/>
    <w:rsid w:val="00C308D3"/>
    <w:rsid w:val="00C30B58"/>
    <w:rsid w:val="00C30B79"/>
    <w:rsid w:val="00C31094"/>
    <w:rsid w:val="00C311BF"/>
    <w:rsid w:val="00C31362"/>
    <w:rsid w:val="00C315D8"/>
    <w:rsid w:val="00C31AA8"/>
    <w:rsid w:val="00C31DF3"/>
    <w:rsid w:val="00C32225"/>
    <w:rsid w:val="00C32345"/>
    <w:rsid w:val="00C32A16"/>
    <w:rsid w:val="00C32A4E"/>
    <w:rsid w:val="00C33701"/>
    <w:rsid w:val="00C33765"/>
    <w:rsid w:val="00C33A39"/>
    <w:rsid w:val="00C33E91"/>
    <w:rsid w:val="00C34610"/>
    <w:rsid w:val="00C3526F"/>
    <w:rsid w:val="00C35E53"/>
    <w:rsid w:val="00C35EDF"/>
    <w:rsid w:val="00C361A8"/>
    <w:rsid w:val="00C3624A"/>
    <w:rsid w:val="00C365F5"/>
    <w:rsid w:val="00C36A85"/>
    <w:rsid w:val="00C36D5A"/>
    <w:rsid w:val="00C36E96"/>
    <w:rsid w:val="00C36FE2"/>
    <w:rsid w:val="00C400EE"/>
    <w:rsid w:val="00C40101"/>
    <w:rsid w:val="00C40F14"/>
    <w:rsid w:val="00C41495"/>
    <w:rsid w:val="00C41573"/>
    <w:rsid w:val="00C4206B"/>
    <w:rsid w:val="00C42263"/>
    <w:rsid w:val="00C42560"/>
    <w:rsid w:val="00C427BC"/>
    <w:rsid w:val="00C428C1"/>
    <w:rsid w:val="00C42970"/>
    <w:rsid w:val="00C43150"/>
    <w:rsid w:val="00C437C5"/>
    <w:rsid w:val="00C44A39"/>
    <w:rsid w:val="00C44A7E"/>
    <w:rsid w:val="00C44F1E"/>
    <w:rsid w:val="00C45006"/>
    <w:rsid w:val="00C45B7E"/>
    <w:rsid w:val="00C45DF4"/>
    <w:rsid w:val="00C45E35"/>
    <w:rsid w:val="00C4606E"/>
    <w:rsid w:val="00C461FF"/>
    <w:rsid w:val="00C46BF0"/>
    <w:rsid w:val="00C47033"/>
    <w:rsid w:val="00C47302"/>
    <w:rsid w:val="00C4738E"/>
    <w:rsid w:val="00C473F6"/>
    <w:rsid w:val="00C50503"/>
    <w:rsid w:val="00C50F6B"/>
    <w:rsid w:val="00C51538"/>
    <w:rsid w:val="00C518AA"/>
    <w:rsid w:val="00C52A0A"/>
    <w:rsid w:val="00C52B99"/>
    <w:rsid w:val="00C53995"/>
    <w:rsid w:val="00C5454A"/>
    <w:rsid w:val="00C546B0"/>
    <w:rsid w:val="00C547CA"/>
    <w:rsid w:val="00C54BAF"/>
    <w:rsid w:val="00C55409"/>
    <w:rsid w:val="00C564EF"/>
    <w:rsid w:val="00C56553"/>
    <w:rsid w:val="00C56A94"/>
    <w:rsid w:val="00C5745E"/>
    <w:rsid w:val="00C57AD5"/>
    <w:rsid w:val="00C60C01"/>
    <w:rsid w:val="00C60DAD"/>
    <w:rsid w:val="00C61201"/>
    <w:rsid w:val="00C61360"/>
    <w:rsid w:val="00C6157E"/>
    <w:rsid w:val="00C618CA"/>
    <w:rsid w:val="00C61CA9"/>
    <w:rsid w:val="00C62B37"/>
    <w:rsid w:val="00C62D21"/>
    <w:rsid w:val="00C63297"/>
    <w:rsid w:val="00C63CAE"/>
    <w:rsid w:val="00C64229"/>
    <w:rsid w:val="00C64882"/>
    <w:rsid w:val="00C64DF1"/>
    <w:rsid w:val="00C64F6D"/>
    <w:rsid w:val="00C657D2"/>
    <w:rsid w:val="00C65EBB"/>
    <w:rsid w:val="00C65F23"/>
    <w:rsid w:val="00C6679C"/>
    <w:rsid w:val="00C668CB"/>
    <w:rsid w:val="00C66C6E"/>
    <w:rsid w:val="00C677A3"/>
    <w:rsid w:val="00C7040F"/>
    <w:rsid w:val="00C70B03"/>
    <w:rsid w:val="00C717AC"/>
    <w:rsid w:val="00C717E1"/>
    <w:rsid w:val="00C719B3"/>
    <w:rsid w:val="00C71CC7"/>
    <w:rsid w:val="00C71EDD"/>
    <w:rsid w:val="00C71F82"/>
    <w:rsid w:val="00C7223F"/>
    <w:rsid w:val="00C72263"/>
    <w:rsid w:val="00C722DD"/>
    <w:rsid w:val="00C72CBD"/>
    <w:rsid w:val="00C7360C"/>
    <w:rsid w:val="00C73A72"/>
    <w:rsid w:val="00C73CA0"/>
    <w:rsid w:val="00C73CC8"/>
    <w:rsid w:val="00C73D39"/>
    <w:rsid w:val="00C73E47"/>
    <w:rsid w:val="00C749B9"/>
    <w:rsid w:val="00C74EB6"/>
    <w:rsid w:val="00C7582C"/>
    <w:rsid w:val="00C758C1"/>
    <w:rsid w:val="00C75D79"/>
    <w:rsid w:val="00C76AA0"/>
    <w:rsid w:val="00C76B3A"/>
    <w:rsid w:val="00C77B80"/>
    <w:rsid w:val="00C806C6"/>
    <w:rsid w:val="00C81550"/>
    <w:rsid w:val="00C81B33"/>
    <w:rsid w:val="00C81D10"/>
    <w:rsid w:val="00C81FC8"/>
    <w:rsid w:val="00C82544"/>
    <w:rsid w:val="00C82770"/>
    <w:rsid w:val="00C84044"/>
    <w:rsid w:val="00C84937"/>
    <w:rsid w:val="00C855DE"/>
    <w:rsid w:val="00C85AD2"/>
    <w:rsid w:val="00C85CBA"/>
    <w:rsid w:val="00C8600F"/>
    <w:rsid w:val="00C8603E"/>
    <w:rsid w:val="00C865D6"/>
    <w:rsid w:val="00C867D0"/>
    <w:rsid w:val="00C86886"/>
    <w:rsid w:val="00C86B1F"/>
    <w:rsid w:val="00C87312"/>
    <w:rsid w:val="00C87412"/>
    <w:rsid w:val="00C878BC"/>
    <w:rsid w:val="00C87B2A"/>
    <w:rsid w:val="00C87F0F"/>
    <w:rsid w:val="00C90333"/>
    <w:rsid w:val="00C90853"/>
    <w:rsid w:val="00C9114F"/>
    <w:rsid w:val="00C91594"/>
    <w:rsid w:val="00C9184D"/>
    <w:rsid w:val="00C91921"/>
    <w:rsid w:val="00C92256"/>
    <w:rsid w:val="00C9232D"/>
    <w:rsid w:val="00C924FC"/>
    <w:rsid w:val="00C934F3"/>
    <w:rsid w:val="00C93D35"/>
    <w:rsid w:val="00C93FC3"/>
    <w:rsid w:val="00C942DD"/>
    <w:rsid w:val="00C94993"/>
    <w:rsid w:val="00C94CE0"/>
    <w:rsid w:val="00C95EE5"/>
    <w:rsid w:val="00C96EE7"/>
    <w:rsid w:val="00C974E2"/>
    <w:rsid w:val="00C974F7"/>
    <w:rsid w:val="00C9774C"/>
    <w:rsid w:val="00C977BE"/>
    <w:rsid w:val="00C978BB"/>
    <w:rsid w:val="00C9792F"/>
    <w:rsid w:val="00C97D32"/>
    <w:rsid w:val="00CA01A4"/>
    <w:rsid w:val="00CA046B"/>
    <w:rsid w:val="00CA0833"/>
    <w:rsid w:val="00CA0F9D"/>
    <w:rsid w:val="00CA160B"/>
    <w:rsid w:val="00CA1C87"/>
    <w:rsid w:val="00CA1DCC"/>
    <w:rsid w:val="00CA219E"/>
    <w:rsid w:val="00CA27B1"/>
    <w:rsid w:val="00CA30E7"/>
    <w:rsid w:val="00CA3147"/>
    <w:rsid w:val="00CA32C5"/>
    <w:rsid w:val="00CA3A2F"/>
    <w:rsid w:val="00CA3B17"/>
    <w:rsid w:val="00CA4842"/>
    <w:rsid w:val="00CA4B29"/>
    <w:rsid w:val="00CA4BF8"/>
    <w:rsid w:val="00CA4CCE"/>
    <w:rsid w:val="00CA4D51"/>
    <w:rsid w:val="00CA517F"/>
    <w:rsid w:val="00CA597F"/>
    <w:rsid w:val="00CA6397"/>
    <w:rsid w:val="00CA778A"/>
    <w:rsid w:val="00CA79D3"/>
    <w:rsid w:val="00CA7C6C"/>
    <w:rsid w:val="00CA7EBE"/>
    <w:rsid w:val="00CB0660"/>
    <w:rsid w:val="00CB185E"/>
    <w:rsid w:val="00CB1AFD"/>
    <w:rsid w:val="00CB23D4"/>
    <w:rsid w:val="00CB2982"/>
    <w:rsid w:val="00CB3FCC"/>
    <w:rsid w:val="00CB4099"/>
    <w:rsid w:val="00CB4BB1"/>
    <w:rsid w:val="00CB50F4"/>
    <w:rsid w:val="00CB51E7"/>
    <w:rsid w:val="00CB5C7C"/>
    <w:rsid w:val="00CB66CA"/>
    <w:rsid w:val="00CB67F9"/>
    <w:rsid w:val="00CB73AD"/>
    <w:rsid w:val="00CB758D"/>
    <w:rsid w:val="00CB7709"/>
    <w:rsid w:val="00CB794C"/>
    <w:rsid w:val="00CB7F4F"/>
    <w:rsid w:val="00CC0B59"/>
    <w:rsid w:val="00CC0D83"/>
    <w:rsid w:val="00CC19FA"/>
    <w:rsid w:val="00CC1C04"/>
    <w:rsid w:val="00CC2148"/>
    <w:rsid w:val="00CC365F"/>
    <w:rsid w:val="00CC3962"/>
    <w:rsid w:val="00CC3B18"/>
    <w:rsid w:val="00CC3F3B"/>
    <w:rsid w:val="00CC43BC"/>
    <w:rsid w:val="00CC4C9A"/>
    <w:rsid w:val="00CC5064"/>
    <w:rsid w:val="00CC56E0"/>
    <w:rsid w:val="00CC57FF"/>
    <w:rsid w:val="00CC5A6B"/>
    <w:rsid w:val="00CC5DAB"/>
    <w:rsid w:val="00CC5F97"/>
    <w:rsid w:val="00CC63F4"/>
    <w:rsid w:val="00CC6B7F"/>
    <w:rsid w:val="00CC6C97"/>
    <w:rsid w:val="00CC7361"/>
    <w:rsid w:val="00CC7921"/>
    <w:rsid w:val="00CC7CE6"/>
    <w:rsid w:val="00CC7D06"/>
    <w:rsid w:val="00CD0181"/>
    <w:rsid w:val="00CD0674"/>
    <w:rsid w:val="00CD07F9"/>
    <w:rsid w:val="00CD1564"/>
    <w:rsid w:val="00CD181D"/>
    <w:rsid w:val="00CD1A0F"/>
    <w:rsid w:val="00CD1E0A"/>
    <w:rsid w:val="00CD2481"/>
    <w:rsid w:val="00CD2816"/>
    <w:rsid w:val="00CD283C"/>
    <w:rsid w:val="00CD2AA7"/>
    <w:rsid w:val="00CD2AFF"/>
    <w:rsid w:val="00CD3B9B"/>
    <w:rsid w:val="00CD4418"/>
    <w:rsid w:val="00CD48AB"/>
    <w:rsid w:val="00CD54CA"/>
    <w:rsid w:val="00CD5671"/>
    <w:rsid w:val="00CD577A"/>
    <w:rsid w:val="00CD5DE1"/>
    <w:rsid w:val="00CD65F3"/>
    <w:rsid w:val="00CD694E"/>
    <w:rsid w:val="00CD6C2E"/>
    <w:rsid w:val="00CD6C8D"/>
    <w:rsid w:val="00CD6FF8"/>
    <w:rsid w:val="00CD7E9F"/>
    <w:rsid w:val="00CE007B"/>
    <w:rsid w:val="00CE00A6"/>
    <w:rsid w:val="00CE0CD0"/>
    <w:rsid w:val="00CE13F8"/>
    <w:rsid w:val="00CE150D"/>
    <w:rsid w:val="00CE154F"/>
    <w:rsid w:val="00CE1DD0"/>
    <w:rsid w:val="00CE21AF"/>
    <w:rsid w:val="00CE28C8"/>
    <w:rsid w:val="00CE2AA0"/>
    <w:rsid w:val="00CE3029"/>
    <w:rsid w:val="00CE3840"/>
    <w:rsid w:val="00CE3A06"/>
    <w:rsid w:val="00CE3E8C"/>
    <w:rsid w:val="00CE43DF"/>
    <w:rsid w:val="00CE4878"/>
    <w:rsid w:val="00CE49FC"/>
    <w:rsid w:val="00CE4B5C"/>
    <w:rsid w:val="00CE5167"/>
    <w:rsid w:val="00CE52CB"/>
    <w:rsid w:val="00CE576B"/>
    <w:rsid w:val="00CE71DC"/>
    <w:rsid w:val="00CF0082"/>
    <w:rsid w:val="00CF049A"/>
    <w:rsid w:val="00CF0C21"/>
    <w:rsid w:val="00CF1628"/>
    <w:rsid w:val="00CF1DD7"/>
    <w:rsid w:val="00CF2026"/>
    <w:rsid w:val="00CF20C5"/>
    <w:rsid w:val="00CF262D"/>
    <w:rsid w:val="00CF28F3"/>
    <w:rsid w:val="00CF358B"/>
    <w:rsid w:val="00CF3775"/>
    <w:rsid w:val="00CF3E43"/>
    <w:rsid w:val="00CF4B94"/>
    <w:rsid w:val="00CF5066"/>
    <w:rsid w:val="00CF53B0"/>
    <w:rsid w:val="00CF5EB3"/>
    <w:rsid w:val="00CF6047"/>
    <w:rsid w:val="00CF79EA"/>
    <w:rsid w:val="00CF7F0F"/>
    <w:rsid w:val="00D01149"/>
    <w:rsid w:val="00D01BCC"/>
    <w:rsid w:val="00D01D3B"/>
    <w:rsid w:val="00D0220C"/>
    <w:rsid w:val="00D027EC"/>
    <w:rsid w:val="00D02F15"/>
    <w:rsid w:val="00D03299"/>
    <w:rsid w:val="00D0353F"/>
    <w:rsid w:val="00D038DD"/>
    <w:rsid w:val="00D0439B"/>
    <w:rsid w:val="00D04A85"/>
    <w:rsid w:val="00D05D09"/>
    <w:rsid w:val="00D062BA"/>
    <w:rsid w:val="00D063AB"/>
    <w:rsid w:val="00D06924"/>
    <w:rsid w:val="00D069BD"/>
    <w:rsid w:val="00D06EB1"/>
    <w:rsid w:val="00D07040"/>
    <w:rsid w:val="00D07F96"/>
    <w:rsid w:val="00D1031B"/>
    <w:rsid w:val="00D105CE"/>
    <w:rsid w:val="00D107AB"/>
    <w:rsid w:val="00D111CD"/>
    <w:rsid w:val="00D1133A"/>
    <w:rsid w:val="00D1170E"/>
    <w:rsid w:val="00D11AEB"/>
    <w:rsid w:val="00D11E50"/>
    <w:rsid w:val="00D1243A"/>
    <w:rsid w:val="00D12511"/>
    <w:rsid w:val="00D129E8"/>
    <w:rsid w:val="00D12E93"/>
    <w:rsid w:val="00D12F4A"/>
    <w:rsid w:val="00D13333"/>
    <w:rsid w:val="00D13399"/>
    <w:rsid w:val="00D137B3"/>
    <w:rsid w:val="00D1460E"/>
    <w:rsid w:val="00D14A11"/>
    <w:rsid w:val="00D15493"/>
    <w:rsid w:val="00D15941"/>
    <w:rsid w:val="00D165F8"/>
    <w:rsid w:val="00D1661A"/>
    <w:rsid w:val="00D166D9"/>
    <w:rsid w:val="00D168D4"/>
    <w:rsid w:val="00D16CA4"/>
    <w:rsid w:val="00D16D0F"/>
    <w:rsid w:val="00D17195"/>
    <w:rsid w:val="00D17B6E"/>
    <w:rsid w:val="00D17E05"/>
    <w:rsid w:val="00D17F81"/>
    <w:rsid w:val="00D20FDE"/>
    <w:rsid w:val="00D21056"/>
    <w:rsid w:val="00D211AB"/>
    <w:rsid w:val="00D2191E"/>
    <w:rsid w:val="00D21C84"/>
    <w:rsid w:val="00D22054"/>
    <w:rsid w:val="00D223D5"/>
    <w:rsid w:val="00D224C9"/>
    <w:rsid w:val="00D231AA"/>
    <w:rsid w:val="00D2353C"/>
    <w:rsid w:val="00D23E4B"/>
    <w:rsid w:val="00D24480"/>
    <w:rsid w:val="00D24FAF"/>
    <w:rsid w:val="00D256AF"/>
    <w:rsid w:val="00D25CF9"/>
    <w:rsid w:val="00D27503"/>
    <w:rsid w:val="00D27998"/>
    <w:rsid w:val="00D27A9B"/>
    <w:rsid w:val="00D27B46"/>
    <w:rsid w:val="00D27EE1"/>
    <w:rsid w:val="00D30394"/>
    <w:rsid w:val="00D3162F"/>
    <w:rsid w:val="00D32210"/>
    <w:rsid w:val="00D323FA"/>
    <w:rsid w:val="00D32F8D"/>
    <w:rsid w:val="00D33053"/>
    <w:rsid w:val="00D333D0"/>
    <w:rsid w:val="00D337E5"/>
    <w:rsid w:val="00D33923"/>
    <w:rsid w:val="00D33B90"/>
    <w:rsid w:val="00D33D54"/>
    <w:rsid w:val="00D34914"/>
    <w:rsid w:val="00D352D7"/>
    <w:rsid w:val="00D3606D"/>
    <w:rsid w:val="00D361B6"/>
    <w:rsid w:val="00D37C02"/>
    <w:rsid w:val="00D40093"/>
    <w:rsid w:val="00D40764"/>
    <w:rsid w:val="00D40BF4"/>
    <w:rsid w:val="00D40D74"/>
    <w:rsid w:val="00D40F35"/>
    <w:rsid w:val="00D410C7"/>
    <w:rsid w:val="00D41929"/>
    <w:rsid w:val="00D424C7"/>
    <w:rsid w:val="00D428E5"/>
    <w:rsid w:val="00D42A0D"/>
    <w:rsid w:val="00D43054"/>
    <w:rsid w:val="00D43337"/>
    <w:rsid w:val="00D43406"/>
    <w:rsid w:val="00D436DD"/>
    <w:rsid w:val="00D4475F"/>
    <w:rsid w:val="00D44FFE"/>
    <w:rsid w:val="00D461B0"/>
    <w:rsid w:val="00D46401"/>
    <w:rsid w:val="00D465CD"/>
    <w:rsid w:val="00D465DD"/>
    <w:rsid w:val="00D46670"/>
    <w:rsid w:val="00D469F8"/>
    <w:rsid w:val="00D46C5C"/>
    <w:rsid w:val="00D46EDC"/>
    <w:rsid w:val="00D4788E"/>
    <w:rsid w:val="00D478EF"/>
    <w:rsid w:val="00D47BCF"/>
    <w:rsid w:val="00D47F51"/>
    <w:rsid w:val="00D5080B"/>
    <w:rsid w:val="00D50978"/>
    <w:rsid w:val="00D50D65"/>
    <w:rsid w:val="00D51FA6"/>
    <w:rsid w:val="00D51FED"/>
    <w:rsid w:val="00D520B2"/>
    <w:rsid w:val="00D52194"/>
    <w:rsid w:val="00D52359"/>
    <w:rsid w:val="00D53325"/>
    <w:rsid w:val="00D533F0"/>
    <w:rsid w:val="00D533FC"/>
    <w:rsid w:val="00D53A4F"/>
    <w:rsid w:val="00D53B05"/>
    <w:rsid w:val="00D53C47"/>
    <w:rsid w:val="00D53DA2"/>
    <w:rsid w:val="00D54B25"/>
    <w:rsid w:val="00D552B5"/>
    <w:rsid w:val="00D56126"/>
    <w:rsid w:val="00D56189"/>
    <w:rsid w:val="00D563DC"/>
    <w:rsid w:val="00D570E7"/>
    <w:rsid w:val="00D57412"/>
    <w:rsid w:val="00D57D92"/>
    <w:rsid w:val="00D60074"/>
    <w:rsid w:val="00D60CDD"/>
    <w:rsid w:val="00D60F28"/>
    <w:rsid w:val="00D61376"/>
    <w:rsid w:val="00D61636"/>
    <w:rsid w:val="00D617B1"/>
    <w:rsid w:val="00D628BB"/>
    <w:rsid w:val="00D62F9E"/>
    <w:rsid w:val="00D64552"/>
    <w:rsid w:val="00D64CB4"/>
    <w:rsid w:val="00D66115"/>
    <w:rsid w:val="00D66390"/>
    <w:rsid w:val="00D66937"/>
    <w:rsid w:val="00D66BC4"/>
    <w:rsid w:val="00D70024"/>
    <w:rsid w:val="00D7121E"/>
    <w:rsid w:val="00D71758"/>
    <w:rsid w:val="00D723E7"/>
    <w:rsid w:val="00D727FC"/>
    <w:rsid w:val="00D72834"/>
    <w:rsid w:val="00D72FF0"/>
    <w:rsid w:val="00D73475"/>
    <w:rsid w:val="00D739AB"/>
    <w:rsid w:val="00D73D0D"/>
    <w:rsid w:val="00D73D2E"/>
    <w:rsid w:val="00D73E63"/>
    <w:rsid w:val="00D7432A"/>
    <w:rsid w:val="00D7468C"/>
    <w:rsid w:val="00D74BBF"/>
    <w:rsid w:val="00D74CC2"/>
    <w:rsid w:val="00D751E7"/>
    <w:rsid w:val="00D75B57"/>
    <w:rsid w:val="00D75E9D"/>
    <w:rsid w:val="00D75F3B"/>
    <w:rsid w:val="00D76A53"/>
    <w:rsid w:val="00D76ACF"/>
    <w:rsid w:val="00D76FDB"/>
    <w:rsid w:val="00D77160"/>
    <w:rsid w:val="00D7748A"/>
    <w:rsid w:val="00D77C10"/>
    <w:rsid w:val="00D80742"/>
    <w:rsid w:val="00D80C83"/>
    <w:rsid w:val="00D82157"/>
    <w:rsid w:val="00D828CE"/>
    <w:rsid w:val="00D829F9"/>
    <w:rsid w:val="00D82DF2"/>
    <w:rsid w:val="00D82EBF"/>
    <w:rsid w:val="00D83AAB"/>
    <w:rsid w:val="00D842B9"/>
    <w:rsid w:val="00D848BF"/>
    <w:rsid w:val="00D84E0D"/>
    <w:rsid w:val="00D85655"/>
    <w:rsid w:val="00D8572D"/>
    <w:rsid w:val="00D868C6"/>
    <w:rsid w:val="00D86983"/>
    <w:rsid w:val="00D86E43"/>
    <w:rsid w:val="00D87090"/>
    <w:rsid w:val="00D87BB7"/>
    <w:rsid w:val="00D900A4"/>
    <w:rsid w:val="00D90340"/>
    <w:rsid w:val="00D904D2"/>
    <w:rsid w:val="00D90F26"/>
    <w:rsid w:val="00D913C2"/>
    <w:rsid w:val="00D916A9"/>
    <w:rsid w:val="00D92AB7"/>
    <w:rsid w:val="00D92F49"/>
    <w:rsid w:val="00D9300C"/>
    <w:rsid w:val="00D934E9"/>
    <w:rsid w:val="00D93A94"/>
    <w:rsid w:val="00D93FA7"/>
    <w:rsid w:val="00D94DFB"/>
    <w:rsid w:val="00D9509F"/>
    <w:rsid w:val="00D95611"/>
    <w:rsid w:val="00D959B4"/>
    <w:rsid w:val="00D960F4"/>
    <w:rsid w:val="00D96BA0"/>
    <w:rsid w:val="00D9728F"/>
    <w:rsid w:val="00D972A2"/>
    <w:rsid w:val="00D9744E"/>
    <w:rsid w:val="00DA0366"/>
    <w:rsid w:val="00DA08A1"/>
    <w:rsid w:val="00DA1147"/>
    <w:rsid w:val="00DA17E9"/>
    <w:rsid w:val="00DA1F6F"/>
    <w:rsid w:val="00DA24BF"/>
    <w:rsid w:val="00DA256E"/>
    <w:rsid w:val="00DA2AAB"/>
    <w:rsid w:val="00DA2D76"/>
    <w:rsid w:val="00DA2DA5"/>
    <w:rsid w:val="00DA33C2"/>
    <w:rsid w:val="00DA3F06"/>
    <w:rsid w:val="00DA4347"/>
    <w:rsid w:val="00DA4BB2"/>
    <w:rsid w:val="00DA4BF5"/>
    <w:rsid w:val="00DA59EE"/>
    <w:rsid w:val="00DA5A19"/>
    <w:rsid w:val="00DA5CC2"/>
    <w:rsid w:val="00DA69EA"/>
    <w:rsid w:val="00DA6CD0"/>
    <w:rsid w:val="00DA717F"/>
    <w:rsid w:val="00DA72DC"/>
    <w:rsid w:val="00DA7360"/>
    <w:rsid w:val="00DA764B"/>
    <w:rsid w:val="00DA767E"/>
    <w:rsid w:val="00DA77A4"/>
    <w:rsid w:val="00DA78FC"/>
    <w:rsid w:val="00DA7A38"/>
    <w:rsid w:val="00DB03CE"/>
    <w:rsid w:val="00DB06DB"/>
    <w:rsid w:val="00DB100A"/>
    <w:rsid w:val="00DB13CE"/>
    <w:rsid w:val="00DB177F"/>
    <w:rsid w:val="00DB1C0E"/>
    <w:rsid w:val="00DB2139"/>
    <w:rsid w:val="00DB2A33"/>
    <w:rsid w:val="00DB3206"/>
    <w:rsid w:val="00DB3223"/>
    <w:rsid w:val="00DB32F8"/>
    <w:rsid w:val="00DB33D8"/>
    <w:rsid w:val="00DB3F14"/>
    <w:rsid w:val="00DB5585"/>
    <w:rsid w:val="00DB592D"/>
    <w:rsid w:val="00DB594F"/>
    <w:rsid w:val="00DB5F84"/>
    <w:rsid w:val="00DB69D0"/>
    <w:rsid w:val="00DB6B16"/>
    <w:rsid w:val="00DB7926"/>
    <w:rsid w:val="00DB7A7B"/>
    <w:rsid w:val="00DB7C34"/>
    <w:rsid w:val="00DB7C5F"/>
    <w:rsid w:val="00DC06E6"/>
    <w:rsid w:val="00DC0E43"/>
    <w:rsid w:val="00DC1251"/>
    <w:rsid w:val="00DC1333"/>
    <w:rsid w:val="00DC17B4"/>
    <w:rsid w:val="00DC1A3D"/>
    <w:rsid w:val="00DC1B4E"/>
    <w:rsid w:val="00DC1D07"/>
    <w:rsid w:val="00DC1E3B"/>
    <w:rsid w:val="00DC2042"/>
    <w:rsid w:val="00DC2A5E"/>
    <w:rsid w:val="00DC2AD7"/>
    <w:rsid w:val="00DC2C1E"/>
    <w:rsid w:val="00DC36B7"/>
    <w:rsid w:val="00DC4B50"/>
    <w:rsid w:val="00DC62C4"/>
    <w:rsid w:val="00DC647A"/>
    <w:rsid w:val="00DC6936"/>
    <w:rsid w:val="00DC72D7"/>
    <w:rsid w:val="00DC756C"/>
    <w:rsid w:val="00DC7F76"/>
    <w:rsid w:val="00DD0207"/>
    <w:rsid w:val="00DD2337"/>
    <w:rsid w:val="00DD2682"/>
    <w:rsid w:val="00DD268C"/>
    <w:rsid w:val="00DD2D5A"/>
    <w:rsid w:val="00DD3054"/>
    <w:rsid w:val="00DD3A91"/>
    <w:rsid w:val="00DD3B0B"/>
    <w:rsid w:val="00DD3BA3"/>
    <w:rsid w:val="00DD3D77"/>
    <w:rsid w:val="00DD505A"/>
    <w:rsid w:val="00DD5A0E"/>
    <w:rsid w:val="00DD61E1"/>
    <w:rsid w:val="00DD688F"/>
    <w:rsid w:val="00DD7151"/>
    <w:rsid w:val="00DD743C"/>
    <w:rsid w:val="00DD7CD1"/>
    <w:rsid w:val="00DD7EF5"/>
    <w:rsid w:val="00DE000E"/>
    <w:rsid w:val="00DE00C5"/>
    <w:rsid w:val="00DE0927"/>
    <w:rsid w:val="00DE0F13"/>
    <w:rsid w:val="00DE119B"/>
    <w:rsid w:val="00DE11D2"/>
    <w:rsid w:val="00DE12BF"/>
    <w:rsid w:val="00DE16A8"/>
    <w:rsid w:val="00DE1854"/>
    <w:rsid w:val="00DE1DE5"/>
    <w:rsid w:val="00DE2EF2"/>
    <w:rsid w:val="00DE31D5"/>
    <w:rsid w:val="00DE3A7D"/>
    <w:rsid w:val="00DE3E06"/>
    <w:rsid w:val="00DE40F5"/>
    <w:rsid w:val="00DE463B"/>
    <w:rsid w:val="00DE4F5E"/>
    <w:rsid w:val="00DE55D7"/>
    <w:rsid w:val="00DE5D75"/>
    <w:rsid w:val="00DF06BB"/>
    <w:rsid w:val="00DF08E7"/>
    <w:rsid w:val="00DF0BD6"/>
    <w:rsid w:val="00DF0E11"/>
    <w:rsid w:val="00DF106D"/>
    <w:rsid w:val="00DF1481"/>
    <w:rsid w:val="00DF171E"/>
    <w:rsid w:val="00DF17EE"/>
    <w:rsid w:val="00DF219F"/>
    <w:rsid w:val="00DF26DC"/>
    <w:rsid w:val="00DF2989"/>
    <w:rsid w:val="00DF3CB1"/>
    <w:rsid w:val="00DF41F1"/>
    <w:rsid w:val="00DF4907"/>
    <w:rsid w:val="00DF4CF5"/>
    <w:rsid w:val="00DF4FD0"/>
    <w:rsid w:val="00DF532A"/>
    <w:rsid w:val="00DF5E0D"/>
    <w:rsid w:val="00DF5FBB"/>
    <w:rsid w:val="00DF63EA"/>
    <w:rsid w:val="00DF6507"/>
    <w:rsid w:val="00DF6A21"/>
    <w:rsid w:val="00DF6C91"/>
    <w:rsid w:val="00DF6F28"/>
    <w:rsid w:val="00DF7726"/>
    <w:rsid w:val="00DF776A"/>
    <w:rsid w:val="00DF79D8"/>
    <w:rsid w:val="00E00CE9"/>
    <w:rsid w:val="00E01095"/>
    <w:rsid w:val="00E01526"/>
    <w:rsid w:val="00E01E4F"/>
    <w:rsid w:val="00E01E66"/>
    <w:rsid w:val="00E027BD"/>
    <w:rsid w:val="00E02A64"/>
    <w:rsid w:val="00E02FBE"/>
    <w:rsid w:val="00E033A3"/>
    <w:rsid w:val="00E035BC"/>
    <w:rsid w:val="00E038A1"/>
    <w:rsid w:val="00E03969"/>
    <w:rsid w:val="00E03A77"/>
    <w:rsid w:val="00E03F3B"/>
    <w:rsid w:val="00E04207"/>
    <w:rsid w:val="00E042C5"/>
    <w:rsid w:val="00E0439B"/>
    <w:rsid w:val="00E04846"/>
    <w:rsid w:val="00E04D7D"/>
    <w:rsid w:val="00E05219"/>
    <w:rsid w:val="00E05BCE"/>
    <w:rsid w:val="00E06725"/>
    <w:rsid w:val="00E0719E"/>
    <w:rsid w:val="00E07724"/>
    <w:rsid w:val="00E07AB3"/>
    <w:rsid w:val="00E07C7E"/>
    <w:rsid w:val="00E07DFF"/>
    <w:rsid w:val="00E1019D"/>
    <w:rsid w:val="00E101B6"/>
    <w:rsid w:val="00E11BB8"/>
    <w:rsid w:val="00E11FF0"/>
    <w:rsid w:val="00E12651"/>
    <w:rsid w:val="00E128CF"/>
    <w:rsid w:val="00E12966"/>
    <w:rsid w:val="00E12A9C"/>
    <w:rsid w:val="00E12B30"/>
    <w:rsid w:val="00E1314D"/>
    <w:rsid w:val="00E13239"/>
    <w:rsid w:val="00E137B9"/>
    <w:rsid w:val="00E13F87"/>
    <w:rsid w:val="00E14038"/>
    <w:rsid w:val="00E148D8"/>
    <w:rsid w:val="00E14F34"/>
    <w:rsid w:val="00E15C0B"/>
    <w:rsid w:val="00E16058"/>
    <w:rsid w:val="00E1667C"/>
    <w:rsid w:val="00E169F7"/>
    <w:rsid w:val="00E169FF"/>
    <w:rsid w:val="00E16A5E"/>
    <w:rsid w:val="00E16AB0"/>
    <w:rsid w:val="00E16B08"/>
    <w:rsid w:val="00E16F4C"/>
    <w:rsid w:val="00E17407"/>
    <w:rsid w:val="00E1789D"/>
    <w:rsid w:val="00E17EAB"/>
    <w:rsid w:val="00E20732"/>
    <w:rsid w:val="00E2076A"/>
    <w:rsid w:val="00E20A2C"/>
    <w:rsid w:val="00E20A9B"/>
    <w:rsid w:val="00E20D86"/>
    <w:rsid w:val="00E2119B"/>
    <w:rsid w:val="00E21970"/>
    <w:rsid w:val="00E219E1"/>
    <w:rsid w:val="00E22105"/>
    <w:rsid w:val="00E22BA8"/>
    <w:rsid w:val="00E23DC1"/>
    <w:rsid w:val="00E24370"/>
    <w:rsid w:val="00E24905"/>
    <w:rsid w:val="00E24EEE"/>
    <w:rsid w:val="00E25507"/>
    <w:rsid w:val="00E2558B"/>
    <w:rsid w:val="00E263D3"/>
    <w:rsid w:val="00E26CA1"/>
    <w:rsid w:val="00E26E80"/>
    <w:rsid w:val="00E27789"/>
    <w:rsid w:val="00E27C4F"/>
    <w:rsid w:val="00E27D2F"/>
    <w:rsid w:val="00E304A8"/>
    <w:rsid w:val="00E3094A"/>
    <w:rsid w:val="00E30EBE"/>
    <w:rsid w:val="00E31983"/>
    <w:rsid w:val="00E31BC3"/>
    <w:rsid w:val="00E31C08"/>
    <w:rsid w:val="00E32144"/>
    <w:rsid w:val="00E322EC"/>
    <w:rsid w:val="00E322F8"/>
    <w:rsid w:val="00E324A5"/>
    <w:rsid w:val="00E328AB"/>
    <w:rsid w:val="00E32BC6"/>
    <w:rsid w:val="00E32D67"/>
    <w:rsid w:val="00E33124"/>
    <w:rsid w:val="00E338A2"/>
    <w:rsid w:val="00E33BE1"/>
    <w:rsid w:val="00E346A6"/>
    <w:rsid w:val="00E34A55"/>
    <w:rsid w:val="00E354BE"/>
    <w:rsid w:val="00E35BEA"/>
    <w:rsid w:val="00E35D94"/>
    <w:rsid w:val="00E36092"/>
    <w:rsid w:val="00E36770"/>
    <w:rsid w:val="00E36797"/>
    <w:rsid w:val="00E36A63"/>
    <w:rsid w:val="00E36ACC"/>
    <w:rsid w:val="00E36FA9"/>
    <w:rsid w:val="00E371DD"/>
    <w:rsid w:val="00E37219"/>
    <w:rsid w:val="00E37503"/>
    <w:rsid w:val="00E37A98"/>
    <w:rsid w:val="00E400E0"/>
    <w:rsid w:val="00E4011B"/>
    <w:rsid w:val="00E40787"/>
    <w:rsid w:val="00E40EFF"/>
    <w:rsid w:val="00E4169F"/>
    <w:rsid w:val="00E4251B"/>
    <w:rsid w:val="00E426A2"/>
    <w:rsid w:val="00E4275F"/>
    <w:rsid w:val="00E4389D"/>
    <w:rsid w:val="00E44027"/>
    <w:rsid w:val="00E44333"/>
    <w:rsid w:val="00E4463C"/>
    <w:rsid w:val="00E447DA"/>
    <w:rsid w:val="00E44AC7"/>
    <w:rsid w:val="00E44D70"/>
    <w:rsid w:val="00E4500E"/>
    <w:rsid w:val="00E451C1"/>
    <w:rsid w:val="00E453AB"/>
    <w:rsid w:val="00E4577A"/>
    <w:rsid w:val="00E45ADC"/>
    <w:rsid w:val="00E4609F"/>
    <w:rsid w:val="00E468D2"/>
    <w:rsid w:val="00E46A1E"/>
    <w:rsid w:val="00E47993"/>
    <w:rsid w:val="00E47E23"/>
    <w:rsid w:val="00E47F1E"/>
    <w:rsid w:val="00E47F4D"/>
    <w:rsid w:val="00E50246"/>
    <w:rsid w:val="00E518CB"/>
    <w:rsid w:val="00E51AD7"/>
    <w:rsid w:val="00E51D64"/>
    <w:rsid w:val="00E52930"/>
    <w:rsid w:val="00E533B6"/>
    <w:rsid w:val="00E53635"/>
    <w:rsid w:val="00E53BB8"/>
    <w:rsid w:val="00E53E35"/>
    <w:rsid w:val="00E53FE7"/>
    <w:rsid w:val="00E54299"/>
    <w:rsid w:val="00E54A7E"/>
    <w:rsid w:val="00E54C98"/>
    <w:rsid w:val="00E55477"/>
    <w:rsid w:val="00E555B4"/>
    <w:rsid w:val="00E558D3"/>
    <w:rsid w:val="00E559D4"/>
    <w:rsid w:val="00E55BED"/>
    <w:rsid w:val="00E56359"/>
    <w:rsid w:val="00E56622"/>
    <w:rsid w:val="00E56B20"/>
    <w:rsid w:val="00E57481"/>
    <w:rsid w:val="00E601E5"/>
    <w:rsid w:val="00E6022B"/>
    <w:rsid w:val="00E60524"/>
    <w:rsid w:val="00E606A6"/>
    <w:rsid w:val="00E60BB8"/>
    <w:rsid w:val="00E60F0B"/>
    <w:rsid w:val="00E60F52"/>
    <w:rsid w:val="00E61383"/>
    <w:rsid w:val="00E6158D"/>
    <w:rsid w:val="00E61F4B"/>
    <w:rsid w:val="00E622B0"/>
    <w:rsid w:val="00E6232B"/>
    <w:rsid w:val="00E62B50"/>
    <w:rsid w:val="00E62C0B"/>
    <w:rsid w:val="00E62FFA"/>
    <w:rsid w:val="00E63CFD"/>
    <w:rsid w:val="00E63EF9"/>
    <w:rsid w:val="00E6433A"/>
    <w:rsid w:val="00E653CA"/>
    <w:rsid w:val="00E6568D"/>
    <w:rsid w:val="00E65A08"/>
    <w:rsid w:val="00E660B8"/>
    <w:rsid w:val="00E6666C"/>
    <w:rsid w:val="00E66A9D"/>
    <w:rsid w:val="00E674BB"/>
    <w:rsid w:val="00E67A23"/>
    <w:rsid w:val="00E7021E"/>
    <w:rsid w:val="00E70643"/>
    <w:rsid w:val="00E70701"/>
    <w:rsid w:val="00E70A79"/>
    <w:rsid w:val="00E71164"/>
    <w:rsid w:val="00E7163C"/>
    <w:rsid w:val="00E71C23"/>
    <w:rsid w:val="00E723E0"/>
    <w:rsid w:val="00E72AF9"/>
    <w:rsid w:val="00E72CCF"/>
    <w:rsid w:val="00E73628"/>
    <w:rsid w:val="00E73967"/>
    <w:rsid w:val="00E73A74"/>
    <w:rsid w:val="00E7440C"/>
    <w:rsid w:val="00E744CE"/>
    <w:rsid w:val="00E74538"/>
    <w:rsid w:val="00E74C60"/>
    <w:rsid w:val="00E74EB4"/>
    <w:rsid w:val="00E7544F"/>
    <w:rsid w:val="00E75F0E"/>
    <w:rsid w:val="00E76316"/>
    <w:rsid w:val="00E76D00"/>
    <w:rsid w:val="00E8010A"/>
    <w:rsid w:val="00E8030C"/>
    <w:rsid w:val="00E808DC"/>
    <w:rsid w:val="00E8094A"/>
    <w:rsid w:val="00E80A52"/>
    <w:rsid w:val="00E80AAE"/>
    <w:rsid w:val="00E80D47"/>
    <w:rsid w:val="00E80E0D"/>
    <w:rsid w:val="00E81296"/>
    <w:rsid w:val="00E81357"/>
    <w:rsid w:val="00E81376"/>
    <w:rsid w:val="00E81BB6"/>
    <w:rsid w:val="00E81DE7"/>
    <w:rsid w:val="00E8213E"/>
    <w:rsid w:val="00E821FF"/>
    <w:rsid w:val="00E82315"/>
    <w:rsid w:val="00E82929"/>
    <w:rsid w:val="00E82FE9"/>
    <w:rsid w:val="00E83018"/>
    <w:rsid w:val="00E83302"/>
    <w:rsid w:val="00E836A9"/>
    <w:rsid w:val="00E8401B"/>
    <w:rsid w:val="00E84413"/>
    <w:rsid w:val="00E84721"/>
    <w:rsid w:val="00E8473A"/>
    <w:rsid w:val="00E84B8F"/>
    <w:rsid w:val="00E84C0B"/>
    <w:rsid w:val="00E85A21"/>
    <w:rsid w:val="00E85EDB"/>
    <w:rsid w:val="00E8650F"/>
    <w:rsid w:val="00E86579"/>
    <w:rsid w:val="00E8726E"/>
    <w:rsid w:val="00E90763"/>
    <w:rsid w:val="00E90F28"/>
    <w:rsid w:val="00E90F97"/>
    <w:rsid w:val="00E9146E"/>
    <w:rsid w:val="00E9183E"/>
    <w:rsid w:val="00E91D93"/>
    <w:rsid w:val="00E92038"/>
    <w:rsid w:val="00E9255A"/>
    <w:rsid w:val="00E925ED"/>
    <w:rsid w:val="00E93727"/>
    <w:rsid w:val="00E939B0"/>
    <w:rsid w:val="00E93B9D"/>
    <w:rsid w:val="00E93E93"/>
    <w:rsid w:val="00E94C1E"/>
    <w:rsid w:val="00E95536"/>
    <w:rsid w:val="00E9599D"/>
    <w:rsid w:val="00E95E38"/>
    <w:rsid w:val="00E95E8C"/>
    <w:rsid w:val="00E96CC0"/>
    <w:rsid w:val="00E97144"/>
    <w:rsid w:val="00E9749B"/>
    <w:rsid w:val="00E97CAE"/>
    <w:rsid w:val="00EA052B"/>
    <w:rsid w:val="00EA10B1"/>
    <w:rsid w:val="00EA124C"/>
    <w:rsid w:val="00EA21D1"/>
    <w:rsid w:val="00EA34F6"/>
    <w:rsid w:val="00EA3D28"/>
    <w:rsid w:val="00EA433D"/>
    <w:rsid w:val="00EA4476"/>
    <w:rsid w:val="00EA54A8"/>
    <w:rsid w:val="00EA5814"/>
    <w:rsid w:val="00EA587C"/>
    <w:rsid w:val="00EA5EA7"/>
    <w:rsid w:val="00EA6225"/>
    <w:rsid w:val="00EA6CE2"/>
    <w:rsid w:val="00EA6FAD"/>
    <w:rsid w:val="00EA737C"/>
    <w:rsid w:val="00EA75D6"/>
    <w:rsid w:val="00EA7788"/>
    <w:rsid w:val="00EB0681"/>
    <w:rsid w:val="00EB0C8E"/>
    <w:rsid w:val="00EB1D59"/>
    <w:rsid w:val="00EB228E"/>
    <w:rsid w:val="00EB2354"/>
    <w:rsid w:val="00EB24DA"/>
    <w:rsid w:val="00EB2970"/>
    <w:rsid w:val="00EB2C5A"/>
    <w:rsid w:val="00EB327D"/>
    <w:rsid w:val="00EB32A1"/>
    <w:rsid w:val="00EB3EF3"/>
    <w:rsid w:val="00EB40DD"/>
    <w:rsid w:val="00EB41CC"/>
    <w:rsid w:val="00EB4D92"/>
    <w:rsid w:val="00EB546A"/>
    <w:rsid w:val="00EB5A24"/>
    <w:rsid w:val="00EB5D5B"/>
    <w:rsid w:val="00EB5DE6"/>
    <w:rsid w:val="00EB5FAB"/>
    <w:rsid w:val="00EB621C"/>
    <w:rsid w:val="00EB69F7"/>
    <w:rsid w:val="00EB702E"/>
    <w:rsid w:val="00EB761F"/>
    <w:rsid w:val="00EB7B19"/>
    <w:rsid w:val="00EC0C36"/>
    <w:rsid w:val="00EC11D3"/>
    <w:rsid w:val="00EC1EDC"/>
    <w:rsid w:val="00EC285E"/>
    <w:rsid w:val="00EC2D65"/>
    <w:rsid w:val="00EC39DD"/>
    <w:rsid w:val="00EC4DDA"/>
    <w:rsid w:val="00EC5377"/>
    <w:rsid w:val="00EC6335"/>
    <w:rsid w:val="00EC6428"/>
    <w:rsid w:val="00EC6AA3"/>
    <w:rsid w:val="00EC7216"/>
    <w:rsid w:val="00EC7440"/>
    <w:rsid w:val="00EC7578"/>
    <w:rsid w:val="00ED03F9"/>
    <w:rsid w:val="00ED04C4"/>
    <w:rsid w:val="00ED04E8"/>
    <w:rsid w:val="00ED0815"/>
    <w:rsid w:val="00ED0AF3"/>
    <w:rsid w:val="00ED132D"/>
    <w:rsid w:val="00ED1CD2"/>
    <w:rsid w:val="00ED2097"/>
    <w:rsid w:val="00ED230C"/>
    <w:rsid w:val="00ED25EE"/>
    <w:rsid w:val="00ED26E2"/>
    <w:rsid w:val="00ED26F2"/>
    <w:rsid w:val="00ED2B59"/>
    <w:rsid w:val="00ED32AD"/>
    <w:rsid w:val="00ED38CD"/>
    <w:rsid w:val="00ED4445"/>
    <w:rsid w:val="00ED49BB"/>
    <w:rsid w:val="00ED508C"/>
    <w:rsid w:val="00ED54D6"/>
    <w:rsid w:val="00ED5A2F"/>
    <w:rsid w:val="00ED5BE4"/>
    <w:rsid w:val="00ED5ECE"/>
    <w:rsid w:val="00ED61CB"/>
    <w:rsid w:val="00ED6BB9"/>
    <w:rsid w:val="00ED7EFE"/>
    <w:rsid w:val="00EE083B"/>
    <w:rsid w:val="00EE0CF0"/>
    <w:rsid w:val="00EE0D63"/>
    <w:rsid w:val="00EE0F2E"/>
    <w:rsid w:val="00EE0F31"/>
    <w:rsid w:val="00EE10CE"/>
    <w:rsid w:val="00EE1108"/>
    <w:rsid w:val="00EE13CE"/>
    <w:rsid w:val="00EE1B16"/>
    <w:rsid w:val="00EE254E"/>
    <w:rsid w:val="00EE2E80"/>
    <w:rsid w:val="00EE2E93"/>
    <w:rsid w:val="00EE2F0D"/>
    <w:rsid w:val="00EE349D"/>
    <w:rsid w:val="00EE3FCD"/>
    <w:rsid w:val="00EE407B"/>
    <w:rsid w:val="00EE4944"/>
    <w:rsid w:val="00EE4DE7"/>
    <w:rsid w:val="00EE6060"/>
    <w:rsid w:val="00EE74C4"/>
    <w:rsid w:val="00EE7556"/>
    <w:rsid w:val="00EE7707"/>
    <w:rsid w:val="00EE77CC"/>
    <w:rsid w:val="00EE780D"/>
    <w:rsid w:val="00EF0138"/>
    <w:rsid w:val="00EF04DE"/>
    <w:rsid w:val="00EF0A5F"/>
    <w:rsid w:val="00EF142A"/>
    <w:rsid w:val="00EF170B"/>
    <w:rsid w:val="00EF19E9"/>
    <w:rsid w:val="00EF2553"/>
    <w:rsid w:val="00EF333A"/>
    <w:rsid w:val="00EF334A"/>
    <w:rsid w:val="00EF34AD"/>
    <w:rsid w:val="00EF36F0"/>
    <w:rsid w:val="00EF38A5"/>
    <w:rsid w:val="00EF39BB"/>
    <w:rsid w:val="00EF3B0B"/>
    <w:rsid w:val="00EF3B40"/>
    <w:rsid w:val="00EF3E84"/>
    <w:rsid w:val="00EF41D4"/>
    <w:rsid w:val="00EF44E8"/>
    <w:rsid w:val="00EF467C"/>
    <w:rsid w:val="00EF4E4D"/>
    <w:rsid w:val="00EF56A7"/>
    <w:rsid w:val="00EF5D2A"/>
    <w:rsid w:val="00EF6315"/>
    <w:rsid w:val="00EF6F17"/>
    <w:rsid w:val="00EF7AE6"/>
    <w:rsid w:val="00F00A60"/>
    <w:rsid w:val="00F00CE0"/>
    <w:rsid w:val="00F00D3A"/>
    <w:rsid w:val="00F01121"/>
    <w:rsid w:val="00F0134A"/>
    <w:rsid w:val="00F01453"/>
    <w:rsid w:val="00F01EF2"/>
    <w:rsid w:val="00F02106"/>
    <w:rsid w:val="00F02C07"/>
    <w:rsid w:val="00F03453"/>
    <w:rsid w:val="00F03502"/>
    <w:rsid w:val="00F03D9A"/>
    <w:rsid w:val="00F03E26"/>
    <w:rsid w:val="00F04899"/>
    <w:rsid w:val="00F04F9F"/>
    <w:rsid w:val="00F05E99"/>
    <w:rsid w:val="00F06EED"/>
    <w:rsid w:val="00F07165"/>
    <w:rsid w:val="00F0727C"/>
    <w:rsid w:val="00F114F5"/>
    <w:rsid w:val="00F11561"/>
    <w:rsid w:val="00F11B01"/>
    <w:rsid w:val="00F1294C"/>
    <w:rsid w:val="00F136AB"/>
    <w:rsid w:val="00F1386B"/>
    <w:rsid w:val="00F139B2"/>
    <w:rsid w:val="00F158E8"/>
    <w:rsid w:val="00F15924"/>
    <w:rsid w:val="00F1673C"/>
    <w:rsid w:val="00F169B3"/>
    <w:rsid w:val="00F16B36"/>
    <w:rsid w:val="00F16C65"/>
    <w:rsid w:val="00F1740B"/>
    <w:rsid w:val="00F17540"/>
    <w:rsid w:val="00F204F3"/>
    <w:rsid w:val="00F20685"/>
    <w:rsid w:val="00F21152"/>
    <w:rsid w:val="00F21263"/>
    <w:rsid w:val="00F22E49"/>
    <w:rsid w:val="00F2317E"/>
    <w:rsid w:val="00F2347B"/>
    <w:rsid w:val="00F2354B"/>
    <w:rsid w:val="00F23AE5"/>
    <w:rsid w:val="00F23CAD"/>
    <w:rsid w:val="00F240AF"/>
    <w:rsid w:val="00F24266"/>
    <w:rsid w:val="00F2428B"/>
    <w:rsid w:val="00F24623"/>
    <w:rsid w:val="00F24CAB"/>
    <w:rsid w:val="00F24F6B"/>
    <w:rsid w:val="00F2514E"/>
    <w:rsid w:val="00F256D3"/>
    <w:rsid w:val="00F258AC"/>
    <w:rsid w:val="00F2617E"/>
    <w:rsid w:val="00F27637"/>
    <w:rsid w:val="00F3024C"/>
    <w:rsid w:val="00F310F5"/>
    <w:rsid w:val="00F324F1"/>
    <w:rsid w:val="00F3257A"/>
    <w:rsid w:val="00F326E4"/>
    <w:rsid w:val="00F32993"/>
    <w:rsid w:val="00F329B0"/>
    <w:rsid w:val="00F32FD2"/>
    <w:rsid w:val="00F33634"/>
    <w:rsid w:val="00F33700"/>
    <w:rsid w:val="00F3396E"/>
    <w:rsid w:val="00F33A6D"/>
    <w:rsid w:val="00F34B36"/>
    <w:rsid w:val="00F35830"/>
    <w:rsid w:val="00F360C1"/>
    <w:rsid w:val="00F364BA"/>
    <w:rsid w:val="00F36B37"/>
    <w:rsid w:val="00F36E3D"/>
    <w:rsid w:val="00F36F17"/>
    <w:rsid w:val="00F3732C"/>
    <w:rsid w:val="00F37920"/>
    <w:rsid w:val="00F37CD7"/>
    <w:rsid w:val="00F4037E"/>
    <w:rsid w:val="00F40A6E"/>
    <w:rsid w:val="00F418B6"/>
    <w:rsid w:val="00F42350"/>
    <w:rsid w:val="00F42619"/>
    <w:rsid w:val="00F432C5"/>
    <w:rsid w:val="00F4399E"/>
    <w:rsid w:val="00F44187"/>
    <w:rsid w:val="00F445D6"/>
    <w:rsid w:val="00F454B7"/>
    <w:rsid w:val="00F455E7"/>
    <w:rsid w:val="00F4571C"/>
    <w:rsid w:val="00F4585F"/>
    <w:rsid w:val="00F4618F"/>
    <w:rsid w:val="00F46C3F"/>
    <w:rsid w:val="00F474A0"/>
    <w:rsid w:val="00F50955"/>
    <w:rsid w:val="00F50BB3"/>
    <w:rsid w:val="00F517C1"/>
    <w:rsid w:val="00F51E7D"/>
    <w:rsid w:val="00F52069"/>
    <w:rsid w:val="00F529A0"/>
    <w:rsid w:val="00F52B4D"/>
    <w:rsid w:val="00F533C3"/>
    <w:rsid w:val="00F535A1"/>
    <w:rsid w:val="00F536B8"/>
    <w:rsid w:val="00F53881"/>
    <w:rsid w:val="00F53BC9"/>
    <w:rsid w:val="00F5424C"/>
    <w:rsid w:val="00F54A01"/>
    <w:rsid w:val="00F54AE4"/>
    <w:rsid w:val="00F54E7E"/>
    <w:rsid w:val="00F55008"/>
    <w:rsid w:val="00F5537C"/>
    <w:rsid w:val="00F555F4"/>
    <w:rsid w:val="00F55940"/>
    <w:rsid w:val="00F55B00"/>
    <w:rsid w:val="00F55BB5"/>
    <w:rsid w:val="00F562DF"/>
    <w:rsid w:val="00F56573"/>
    <w:rsid w:val="00F56A19"/>
    <w:rsid w:val="00F56AED"/>
    <w:rsid w:val="00F56E37"/>
    <w:rsid w:val="00F5756E"/>
    <w:rsid w:val="00F57685"/>
    <w:rsid w:val="00F60944"/>
    <w:rsid w:val="00F60A47"/>
    <w:rsid w:val="00F60C1D"/>
    <w:rsid w:val="00F60DD7"/>
    <w:rsid w:val="00F60E89"/>
    <w:rsid w:val="00F61452"/>
    <w:rsid w:val="00F616E8"/>
    <w:rsid w:val="00F620D8"/>
    <w:rsid w:val="00F62910"/>
    <w:rsid w:val="00F6332C"/>
    <w:rsid w:val="00F63CD4"/>
    <w:rsid w:val="00F64253"/>
    <w:rsid w:val="00F646EF"/>
    <w:rsid w:val="00F657A0"/>
    <w:rsid w:val="00F65970"/>
    <w:rsid w:val="00F65BEF"/>
    <w:rsid w:val="00F65F3A"/>
    <w:rsid w:val="00F6678B"/>
    <w:rsid w:val="00F6698E"/>
    <w:rsid w:val="00F66A9B"/>
    <w:rsid w:val="00F66CE1"/>
    <w:rsid w:val="00F66EE9"/>
    <w:rsid w:val="00F6713B"/>
    <w:rsid w:val="00F6723A"/>
    <w:rsid w:val="00F677A3"/>
    <w:rsid w:val="00F67A7E"/>
    <w:rsid w:val="00F67CD7"/>
    <w:rsid w:val="00F703AC"/>
    <w:rsid w:val="00F70965"/>
    <w:rsid w:val="00F71DE8"/>
    <w:rsid w:val="00F723E7"/>
    <w:rsid w:val="00F72476"/>
    <w:rsid w:val="00F72750"/>
    <w:rsid w:val="00F736F2"/>
    <w:rsid w:val="00F740E9"/>
    <w:rsid w:val="00F74785"/>
    <w:rsid w:val="00F74E96"/>
    <w:rsid w:val="00F75021"/>
    <w:rsid w:val="00F75488"/>
    <w:rsid w:val="00F75570"/>
    <w:rsid w:val="00F75573"/>
    <w:rsid w:val="00F75ACD"/>
    <w:rsid w:val="00F75EF2"/>
    <w:rsid w:val="00F76298"/>
    <w:rsid w:val="00F7671D"/>
    <w:rsid w:val="00F767C5"/>
    <w:rsid w:val="00F76AB4"/>
    <w:rsid w:val="00F77008"/>
    <w:rsid w:val="00F77397"/>
    <w:rsid w:val="00F7763A"/>
    <w:rsid w:val="00F77C8C"/>
    <w:rsid w:val="00F77CFD"/>
    <w:rsid w:val="00F801DF"/>
    <w:rsid w:val="00F80721"/>
    <w:rsid w:val="00F80FEE"/>
    <w:rsid w:val="00F8119E"/>
    <w:rsid w:val="00F818DC"/>
    <w:rsid w:val="00F81DA5"/>
    <w:rsid w:val="00F81EA4"/>
    <w:rsid w:val="00F829C5"/>
    <w:rsid w:val="00F8391C"/>
    <w:rsid w:val="00F84579"/>
    <w:rsid w:val="00F84B04"/>
    <w:rsid w:val="00F85063"/>
    <w:rsid w:val="00F85091"/>
    <w:rsid w:val="00F8563C"/>
    <w:rsid w:val="00F85752"/>
    <w:rsid w:val="00F86545"/>
    <w:rsid w:val="00F86621"/>
    <w:rsid w:val="00F86649"/>
    <w:rsid w:val="00F86713"/>
    <w:rsid w:val="00F86C55"/>
    <w:rsid w:val="00F873F1"/>
    <w:rsid w:val="00F87634"/>
    <w:rsid w:val="00F878C0"/>
    <w:rsid w:val="00F87A56"/>
    <w:rsid w:val="00F87AAD"/>
    <w:rsid w:val="00F901BB"/>
    <w:rsid w:val="00F90B23"/>
    <w:rsid w:val="00F912CB"/>
    <w:rsid w:val="00F9184A"/>
    <w:rsid w:val="00F91CF8"/>
    <w:rsid w:val="00F92646"/>
    <w:rsid w:val="00F9297C"/>
    <w:rsid w:val="00F92A50"/>
    <w:rsid w:val="00F92FFC"/>
    <w:rsid w:val="00F93377"/>
    <w:rsid w:val="00F93811"/>
    <w:rsid w:val="00F939B8"/>
    <w:rsid w:val="00F93A30"/>
    <w:rsid w:val="00F943B6"/>
    <w:rsid w:val="00F9463A"/>
    <w:rsid w:val="00F948E5"/>
    <w:rsid w:val="00F94F9E"/>
    <w:rsid w:val="00F951CF"/>
    <w:rsid w:val="00F9547E"/>
    <w:rsid w:val="00F958B2"/>
    <w:rsid w:val="00F95A57"/>
    <w:rsid w:val="00F95E60"/>
    <w:rsid w:val="00F96E64"/>
    <w:rsid w:val="00F97283"/>
    <w:rsid w:val="00F976C4"/>
    <w:rsid w:val="00FA01A1"/>
    <w:rsid w:val="00FA034B"/>
    <w:rsid w:val="00FA03D9"/>
    <w:rsid w:val="00FA0967"/>
    <w:rsid w:val="00FA108F"/>
    <w:rsid w:val="00FA11A8"/>
    <w:rsid w:val="00FA18A7"/>
    <w:rsid w:val="00FA2050"/>
    <w:rsid w:val="00FA2BC0"/>
    <w:rsid w:val="00FA342E"/>
    <w:rsid w:val="00FA4D2C"/>
    <w:rsid w:val="00FA5436"/>
    <w:rsid w:val="00FA55DF"/>
    <w:rsid w:val="00FA57F5"/>
    <w:rsid w:val="00FA5E18"/>
    <w:rsid w:val="00FA657C"/>
    <w:rsid w:val="00FA6954"/>
    <w:rsid w:val="00FA6D07"/>
    <w:rsid w:val="00FA7B29"/>
    <w:rsid w:val="00FB02E6"/>
    <w:rsid w:val="00FB0386"/>
    <w:rsid w:val="00FB1056"/>
    <w:rsid w:val="00FB10EC"/>
    <w:rsid w:val="00FB1705"/>
    <w:rsid w:val="00FB18CE"/>
    <w:rsid w:val="00FB2307"/>
    <w:rsid w:val="00FB24B3"/>
    <w:rsid w:val="00FB24EC"/>
    <w:rsid w:val="00FB30B7"/>
    <w:rsid w:val="00FB37FD"/>
    <w:rsid w:val="00FB3862"/>
    <w:rsid w:val="00FB3918"/>
    <w:rsid w:val="00FB39CC"/>
    <w:rsid w:val="00FB3F3E"/>
    <w:rsid w:val="00FB4296"/>
    <w:rsid w:val="00FB50D2"/>
    <w:rsid w:val="00FB522E"/>
    <w:rsid w:val="00FB5273"/>
    <w:rsid w:val="00FB53A6"/>
    <w:rsid w:val="00FB5C2C"/>
    <w:rsid w:val="00FB61F4"/>
    <w:rsid w:val="00FB64B8"/>
    <w:rsid w:val="00FB6B09"/>
    <w:rsid w:val="00FB6B14"/>
    <w:rsid w:val="00FB6BAB"/>
    <w:rsid w:val="00FB6C72"/>
    <w:rsid w:val="00FB743B"/>
    <w:rsid w:val="00FB7E98"/>
    <w:rsid w:val="00FC028C"/>
    <w:rsid w:val="00FC0438"/>
    <w:rsid w:val="00FC069A"/>
    <w:rsid w:val="00FC0B33"/>
    <w:rsid w:val="00FC0F11"/>
    <w:rsid w:val="00FC1A03"/>
    <w:rsid w:val="00FC1E5C"/>
    <w:rsid w:val="00FC339D"/>
    <w:rsid w:val="00FC395A"/>
    <w:rsid w:val="00FC3E10"/>
    <w:rsid w:val="00FC3F8A"/>
    <w:rsid w:val="00FC4501"/>
    <w:rsid w:val="00FC4751"/>
    <w:rsid w:val="00FC4833"/>
    <w:rsid w:val="00FC495D"/>
    <w:rsid w:val="00FC4D6F"/>
    <w:rsid w:val="00FC514C"/>
    <w:rsid w:val="00FC5359"/>
    <w:rsid w:val="00FC54A6"/>
    <w:rsid w:val="00FC626F"/>
    <w:rsid w:val="00FC6BC0"/>
    <w:rsid w:val="00FD074A"/>
    <w:rsid w:val="00FD1E66"/>
    <w:rsid w:val="00FD274E"/>
    <w:rsid w:val="00FD27B1"/>
    <w:rsid w:val="00FD29F8"/>
    <w:rsid w:val="00FD2E8C"/>
    <w:rsid w:val="00FD335B"/>
    <w:rsid w:val="00FD34F8"/>
    <w:rsid w:val="00FD351D"/>
    <w:rsid w:val="00FD3D27"/>
    <w:rsid w:val="00FD44D4"/>
    <w:rsid w:val="00FD5CBA"/>
    <w:rsid w:val="00FD6097"/>
    <w:rsid w:val="00FD6224"/>
    <w:rsid w:val="00FD6D1F"/>
    <w:rsid w:val="00FD6F99"/>
    <w:rsid w:val="00FD736E"/>
    <w:rsid w:val="00FD7651"/>
    <w:rsid w:val="00FD78DE"/>
    <w:rsid w:val="00FD7C87"/>
    <w:rsid w:val="00FE0485"/>
    <w:rsid w:val="00FE0746"/>
    <w:rsid w:val="00FE0A6E"/>
    <w:rsid w:val="00FE0CA9"/>
    <w:rsid w:val="00FE1B18"/>
    <w:rsid w:val="00FE2A7C"/>
    <w:rsid w:val="00FE3A1A"/>
    <w:rsid w:val="00FE3D4F"/>
    <w:rsid w:val="00FE4D8E"/>
    <w:rsid w:val="00FE5B18"/>
    <w:rsid w:val="00FE5FC6"/>
    <w:rsid w:val="00FE61E1"/>
    <w:rsid w:val="00FE69B0"/>
    <w:rsid w:val="00FE7821"/>
    <w:rsid w:val="00FE7C26"/>
    <w:rsid w:val="00FF0098"/>
    <w:rsid w:val="00FF02F3"/>
    <w:rsid w:val="00FF0D5D"/>
    <w:rsid w:val="00FF1669"/>
    <w:rsid w:val="00FF1809"/>
    <w:rsid w:val="00FF1AB6"/>
    <w:rsid w:val="00FF1AE4"/>
    <w:rsid w:val="00FF284E"/>
    <w:rsid w:val="00FF28C9"/>
    <w:rsid w:val="00FF2B8D"/>
    <w:rsid w:val="00FF2C89"/>
    <w:rsid w:val="00FF37EB"/>
    <w:rsid w:val="00FF465D"/>
    <w:rsid w:val="00FF4F72"/>
    <w:rsid w:val="00FF5573"/>
    <w:rsid w:val="00FF5FF9"/>
    <w:rsid w:val="00FF6426"/>
    <w:rsid w:val="00FF6D7D"/>
    <w:rsid w:val="00FF773B"/>
    <w:rsid w:val="00FF783F"/>
    <w:rsid w:val="00FF7F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20BA208"/>
  <w15:chartTrackingRefBased/>
  <w15:docId w15:val="{5F3732E8-BAA7-4584-BBFC-4D8F2A67AB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D2B59"/>
    <w:pPr>
      <w:widowControl w:val="0"/>
      <w:autoSpaceDE w:val="0"/>
      <w:autoSpaceDN w:val="0"/>
      <w:spacing w:after="0" w:line="240" w:lineRule="auto"/>
    </w:pPr>
    <w:rPr>
      <w:rFonts w:ascii="Times New Roman" w:eastAsia="Times New Roman" w:hAnsi="Times New Roman" w:cs="Times New Roman"/>
      <w:kern w:val="0"/>
      <w:lang w:val="bg-BG"/>
      <w14:ligatures w14:val="none"/>
    </w:rPr>
  </w:style>
  <w:style w:type="paragraph" w:styleId="Heading1">
    <w:name w:val="heading 1"/>
    <w:basedOn w:val="Normal"/>
    <w:link w:val="Heading1Char"/>
    <w:qFormat/>
    <w:rsid w:val="00ED2B59"/>
    <w:pPr>
      <w:spacing w:before="90"/>
      <w:ind w:left="118"/>
      <w:outlineLvl w:val="0"/>
    </w:pPr>
    <w:rPr>
      <w:b/>
      <w:bCs/>
      <w:sz w:val="24"/>
      <w:szCs w:val="24"/>
    </w:rPr>
  </w:style>
  <w:style w:type="paragraph" w:styleId="Heading2">
    <w:name w:val="heading 2"/>
    <w:basedOn w:val="Heading"/>
    <w:next w:val="BodyText"/>
    <w:link w:val="Heading2Char"/>
    <w:qFormat/>
    <w:rsid w:val="00ED2B59"/>
    <w:pPr>
      <w:numPr>
        <w:ilvl w:val="1"/>
        <w:numId w:val="1"/>
      </w:numPr>
      <w:outlineLvl w:val="1"/>
    </w:pPr>
    <w:rPr>
      <w:b/>
      <w:bCs/>
      <w:i/>
      <w:iCs/>
    </w:rPr>
  </w:style>
  <w:style w:type="paragraph" w:styleId="Heading3">
    <w:name w:val="heading 3"/>
    <w:basedOn w:val="Normal"/>
    <w:next w:val="Normal"/>
    <w:link w:val="Heading3Char"/>
    <w:uiPriority w:val="9"/>
    <w:unhideWhenUsed/>
    <w:qFormat/>
    <w:rsid w:val="009447B7"/>
    <w:pPr>
      <w:keepNext/>
      <w:keepLines/>
      <w:spacing w:before="40"/>
      <w:outlineLvl w:val="2"/>
    </w:pPr>
    <w:rPr>
      <w:rFonts w:asciiTheme="majorHAnsi" w:eastAsiaTheme="majorEastAsia" w:hAnsiTheme="majorHAnsi" w:cstheme="majorBidi"/>
      <w:color w:val="1F3763" w:themeColor="accent1" w:themeShade="7F"/>
      <w:sz w:val="24"/>
      <w:szCs w:val="24"/>
    </w:rPr>
  </w:style>
  <w:style w:type="paragraph" w:styleId="Heading4">
    <w:name w:val="heading 4"/>
    <w:basedOn w:val="Normal"/>
    <w:next w:val="Normal"/>
    <w:link w:val="Heading4Char"/>
    <w:uiPriority w:val="9"/>
    <w:semiHidden/>
    <w:unhideWhenUsed/>
    <w:qFormat/>
    <w:rsid w:val="00CD2816"/>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ED2B59"/>
    <w:rPr>
      <w:rFonts w:ascii="Times New Roman" w:eastAsia="Times New Roman" w:hAnsi="Times New Roman" w:cs="Times New Roman"/>
      <w:b/>
      <w:bCs/>
      <w:kern w:val="0"/>
      <w:sz w:val="24"/>
      <w:szCs w:val="24"/>
      <w:lang w:val="bg-BG"/>
      <w14:ligatures w14:val="none"/>
    </w:rPr>
  </w:style>
  <w:style w:type="character" w:customStyle="1" w:styleId="Heading2Char">
    <w:name w:val="Heading 2 Char"/>
    <w:basedOn w:val="DefaultParagraphFont"/>
    <w:link w:val="Heading2"/>
    <w:rsid w:val="00ED2B59"/>
    <w:rPr>
      <w:rFonts w:ascii="Arial" w:eastAsia="Microsoft YaHei" w:hAnsi="Arial" w:cs="Mangal"/>
      <w:b/>
      <w:bCs/>
      <w:i/>
      <w:iCs/>
      <w:color w:val="3F3A38"/>
      <w:spacing w:val="-6"/>
      <w:kern w:val="1"/>
      <w:sz w:val="28"/>
      <w:szCs w:val="28"/>
      <w:lang w:val="en-GB" w:eastAsia="zh-CN" w:bidi="hi-IN"/>
      <w14:ligatures w14:val="none"/>
    </w:rPr>
  </w:style>
  <w:style w:type="paragraph" w:styleId="BodyText">
    <w:name w:val="Body Text"/>
    <w:basedOn w:val="Normal"/>
    <w:link w:val="BodyTextChar"/>
    <w:qFormat/>
    <w:rsid w:val="00ED2B59"/>
    <w:rPr>
      <w:sz w:val="24"/>
      <w:szCs w:val="24"/>
    </w:rPr>
  </w:style>
  <w:style w:type="character" w:customStyle="1" w:styleId="BodyTextChar">
    <w:name w:val="Body Text Char"/>
    <w:basedOn w:val="DefaultParagraphFont"/>
    <w:link w:val="BodyText"/>
    <w:rsid w:val="00ED2B59"/>
    <w:rPr>
      <w:rFonts w:ascii="Times New Roman" w:eastAsia="Times New Roman" w:hAnsi="Times New Roman" w:cs="Times New Roman"/>
      <w:kern w:val="0"/>
      <w:sz w:val="24"/>
      <w:szCs w:val="24"/>
      <w:lang w:val="bg-BG"/>
      <w14:ligatures w14:val="none"/>
    </w:rPr>
  </w:style>
  <w:style w:type="paragraph" w:styleId="ListParagraph">
    <w:name w:val="List Paragraph"/>
    <w:basedOn w:val="Normal"/>
    <w:uiPriority w:val="34"/>
    <w:qFormat/>
    <w:rsid w:val="00ED2B59"/>
  </w:style>
  <w:style w:type="paragraph" w:customStyle="1" w:styleId="TableParagraph">
    <w:name w:val="Table Paragraph"/>
    <w:basedOn w:val="Normal"/>
    <w:uiPriority w:val="1"/>
    <w:qFormat/>
    <w:rsid w:val="00ED2B59"/>
  </w:style>
  <w:style w:type="paragraph" w:styleId="FootnoteText">
    <w:name w:val="footnote text"/>
    <w:basedOn w:val="Normal"/>
    <w:link w:val="FootnoteTextChar"/>
    <w:uiPriority w:val="99"/>
    <w:semiHidden/>
    <w:unhideWhenUsed/>
    <w:rsid w:val="00ED2B59"/>
    <w:pPr>
      <w:widowControl/>
      <w:autoSpaceDE/>
      <w:autoSpaceDN/>
    </w:pPr>
    <w:rPr>
      <w:rFonts w:asciiTheme="minorHAnsi" w:eastAsiaTheme="minorHAnsi" w:hAnsiTheme="minorHAnsi" w:cstheme="minorBidi"/>
      <w:sz w:val="20"/>
      <w:szCs w:val="20"/>
      <w:lang w:val="mk"/>
    </w:rPr>
  </w:style>
  <w:style w:type="character" w:customStyle="1" w:styleId="FootnoteTextChar">
    <w:name w:val="Footnote Text Char"/>
    <w:basedOn w:val="DefaultParagraphFont"/>
    <w:link w:val="FootnoteText"/>
    <w:uiPriority w:val="99"/>
    <w:semiHidden/>
    <w:rsid w:val="00ED2B59"/>
    <w:rPr>
      <w:kern w:val="0"/>
      <w:sz w:val="20"/>
      <w:szCs w:val="20"/>
      <w:lang w:val="mk"/>
      <w14:ligatures w14:val="none"/>
    </w:rPr>
  </w:style>
  <w:style w:type="character" w:styleId="FootnoteReference">
    <w:name w:val="footnote reference"/>
    <w:basedOn w:val="DefaultParagraphFont"/>
    <w:uiPriority w:val="99"/>
    <w:semiHidden/>
    <w:unhideWhenUsed/>
    <w:rsid w:val="00ED2B59"/>
    <w:rPr>
      <w:vertAlign w:val="superscript"/>
    </w:rPr>
  </w:style>
  <w:style w:type="character" w:styleId="Hyperlink">
    <w:name w:val="Hyperlink"/>
    <w:basedOn w:val="DefaultParagraphFont"/>
    <w:uiPriority w:val="99"/>
    <w:unhideWhenUsed/>
    <w:rsid w:val="00ED2B59"/>
    <w:rPr>
      <w:color w:val="0000FF"/>
      <w:u w:val="single"/>
    </w:rPr>
  </w:style>
  <w:style w:type="paragraph" w:customStyle="1" w:styleId="HeaderFooter">
    <w:name w:val="Header &amp; Footer"/>
    <w:rsid w:val="00ED2B59"/>
    <w:pPr>
      <w:pBdr>
        <w:top w:val="nil"/>
        <w:left w:val="nil"/>
        <w:bottom w:val="nil"/>
        <w:right w:val="nil"/>
        <w:between w:val="nil"/>
        <w:bar w:val="nil"/>
      </w:pBdr>
      <w:tabs>
        <w:tab w:val="right" w:pos="9020"/>
      </w:tabs>
      <w:spacing w:after="0" w:line="240" w:lineRule="auto"/>
    </w:pPr>
    <w:rPr>
      <w:rFonts w:ascii="Helvetica" w:eastAsia="Arial Unicode MS" w:hAnsi="Helvetica" w:cs="Arial Unicode MS"/>
      <w:color w:val="000000"/>
      <w:kern w:val="0"/>
      <w:sz w:val="24"/>
      <w:szCs w:val="24"/>
      <w:bdr w:val="nil"/>
      <w14:ligatures w14:val="none"/>
    </w:rPr>
  </w:style>
  <w:style w:type="character" w:customStyle="1" w:styleId="ECVHeadingContactDetails">
    <w:name w:val="_ECV_HeadingContactDetails"/>
    <w:rsid w:val="00ED2B59"/>
    <w:rPr>
      <w:rFonts w:ascii="Arial" w:hAnsi="Arial"/>
      <w:color w:val="1593CB"/>
      <w:sz w:val="18"/>
      <w:szCs w:val="18"/>
      <w:shd w:val="clear" w:color="auto" w:fill="auto"/>
    </w:rPr>
  </w:style>
  <w:style w:type="character" w:customStyle="1" w:styleId="ECVContactDetails">
    <w:name w:val="_ECV_ContactDetails"/>
    <w:rsid w:val="00ED2B59"/>
    <w:rPr>
      <w:rFonts w:ascii="Arial" w:hAnsi="Arial"/>
      <w:color w:val="3F3A38"/>
      <w:sz w:val="18"/>
      <w:szCs w:val="18"/>
      <w:shd w:val="clear" w:color="auto" w:fill="auto"/>
    </w:rPr>
  </w:style>
  <w:style w:type="character" w:customStyle="1" w:styleId="NumberingSymbols">
    <w:name w:val="Numbering Symbols"/>
    <w:rsid w:val="00ED2B59"/>
  </w:style>
  <w:style w:type="character" w:customStyle="1" w:styleId="Bullets">
    <w:name w:val="Bullets"/>
    <w:rsid w:val="00ED2B59"/>
    <w:rPr>
      <w:rFonts w:ascii="OpenSymbol" w:eastAsia="OpenSymbol" w:hAnsi="OpenSymbol" w:cs="OpenSymbol"/>
    </w:rPr>
  </w:style>
  <w:style w:type="character" w:styleId="LineNumber">
    <w:name w:val="line number"/>
    <w:rsid w:val="00ED2B59"/>
  </w:style>
  <w:style w:type="character" w:customStyle="1" w:styleId="ECVInternetLink">
    <w:name w:val="_ECV_InternetLink"/>
    <w:rsid w:val="00ED2B59"/>
    <w:rPr>
      <w:rFonts w:ascii="Arial" w:hAnsi="Arial"/>
      <w:color w:val="3F3A38"/>
      <w:sz w:val="18"/>
      <w:u w:val="single"/>
      <w:shd w:val="clear" w:color="auto" w:fill="auto"/>
      <w:lang w:val="en-GB"/>
    </w:rPr>
  </w:style>
  <w:style w:type="character" w:customStyle="1" w:styleId="ECVHeadingBusinessSector">
    <w:name w:val="_ECV_HeadingBusinessSector"/>
    <w:rsid w:val="00ED2B59"/>
    <w:rPr>
      <w:rFonts w:ascii="Arial" w:hAnsi="Arial"/>
      <w:color w:val="1593CB"/>
      <w:spacing w:val="-6"/>
      <w:sz w:val="18"/>
      <w:szCs w:val="18"/>
      <w:shd w:val="clear" w:color="auto" w:fill="auto"/>
    </w:rPr>
  </w:style>
  <w:style w:type="character" w:customStyle="1" w:styleId="EuropassTextSubscript">
    <w:name w:val="Europass_Text_Subscript"/>
    <w:rsid w:val="00ED2B59"/>
    <w:rPr>
      <w:vertAlign w:val="subscript"/>
    </w:rPr>
  </w:style>
  <w:style w:type="character" w:customStyle="1" w:styleId="EuropassTextSuperscript">
    <w:name w:val="Europass_Text_Superscript"/>
    <w:rsid w:val="00ED2B59"/>
    <w:rPr>
      <w:vertAlign w:val="superscript"/>
    </w:rPr>
  </w:style>
  <w:style w:type="character" w:customStyle="1" w:styleId="EuropassTextBold">
    <w:name w:val="Europass_Text_Bold"/>
    <w:rsid w:val="00ED2B59"/>
    <w:rPr>
      <w:rFonts w:ascii="Arial" w:hAnsi="Arial"/>
      <w:b/>
    </w:rPr>
  </w:style>
  <w:style w:type="character" w:customStyle="1" w:styleId="EuropassTextUnderline">
    <w:name w:val="Europass_Text_Underline"/>
    <w:rsid w:val="00ED2B59"/>
    <w:rPr>
      <w:rFonts w:ascii="Arial" w:hAnsi="Arial"/>
      <w:u w:val="single"/>
    </w:rPr>
  </w:style>
  <w:style w:type="character" w:customStyle="1" w:styleId="EuropassTextItalics">
    <w:name w:val="Europass_Text_Italics"/>
    <w:rsid w:val="00ED2B59"/>
    <w:rPr>
      <w:rFonts w:ascii="Arial" w:hAnsi="Arial"/>
      <w:i/>
    </w:rPr>
  </w:style>
  <w:style w:type="character" w:customStyle="1" w:styleId="EuropassTextBoldAndUnderline">
    <w:name w:val="Europass_Text_Bold_And_Underline"/>
    <w:rsid w:val="00ED2B59"/>
    <w:rPr>
      <w:rFonts w:ascii="Arial" w:hAnsi="Arial"/>
      <w:b/>
      <w:u w:val="single"/>
    </w:rPr>
  </w:style>
  <w:style w:type="character" w:customStyle="1" w:styleId="EuropassTextBoldAndItalics">
    <w:name w:val="Europass_Text_Bold_And_Italics"/>
    <w:rsid w:val="00ED2B59"/>
    <w:rPr>
      <w:rFonts w:ascii="Arial" w:hAnsi="Arial"/>
      <w:b/>
      <w:i/>
    </w:rPr>
  </w:style>
  <w:style w:type="character" w:customStyle="1" w:styleId="EuropassTextBoldAndUnderlineAndItalics">
    <w:name w:val="Europass_Text_Bold_And_Underline_And_Italics"/>
    <w:rsid w:val="00ED2B59"/>
    <w:rPr>
      <w:rFonts w:ascii="Arial" w:hAnsi="Arial"/>
      <w:b/>
      <w:i/>
      <w:u w:val="single"/>
    </w:rPr>
  </w:style>
  <w:style w:type="character" w:customStyle="1" w:styleId="EuropassTextUnderlineAndItalics">
    <w:name w:val="Europass_Text_Underline_And_Italics"/>
    <w:rsid w:val="00ED2B59"/>
    <w:rPr>
      <w:rFonts w:ascii="Arial" w:hAnsi="Arial"/>
      <w:i/>
      <w:u w:val="single"/>
    </w:rPr>
  </w:style>
  <w:style w:type="character" w:styleId="FollowedHyperlink">
    <w:name w:val="FollowedHyperlink"/>
    <w:rsid w:val="00ED2B59"/>
    <w:rPr>
      <w:color w:val="800000"/>
      <w:u w:val="single"/>
    </w:rPr>
  </w:style>
  <w:style w:type="paragraph" w:customStyle="1" w:styleId="Heading">
    <w:name w:val="Heading"/>
    <w:basedOn w:val="Normal"/>
    <w:next w:val="BodyText"/>
    <w:rsid w:val="00ED2B59"/>
    <w:pPr>
      <w:keepNext/>
      <w:suppressAutoHyphens/>
      <w:autoSpaceDE/>
      <w:autoSpaceDN/>
      <w:spacing w:before="240" w:after="120"/>
    </w:pPr>
    <w:rPr>
      <w:rFonts w:ascii="Arial" w:eastAsia="Microsoft YaHei" w:hAnsi="Arial" w:cs="Mangal"/>
      <w:color w:val="3F3A38"/>
      <w:spacing w:val="-6"/>
      <w:kern w:val="1"/>
      <w:sz w:val="28"/>
      <w:szCs w:val="28"/>
      <w:lang w:val="en-GB" w:eastAsia="zh-CN" w:bidi="hi-IN"/>
    </w:rPr>
  </w:style>
  <w:style w:type="paragraph" w:styleId="List">
    <w:name w:val="List"/>
    <w:basedOn w:val="BodyText"/>
    <w:rsid w:val="00ED2B59"/>
    <w:pPr>
      <w:suppressAutoHyphens/>
      <w:autoSpaceDE/>
      <w:autoSpaceDN/>
      <w:spacing w:line="100" w:lineRule="atLeast"/>
    </w:pPr>
    <w:rPr>
      <w:rFonts w:ascii="Arial" w:eastAsia="SimSun" w:hAnsi="Arial" w:cs="Mangal"/>
      <w:color w:val="3F3A38"/>
      <w:spacing w:val="-6"/>
      <w:kern w:val="1"/>
      <w:sz w:val="16"/>
      <w:lang w:val="en-GB" w:eastAsia="zh-CN" w:bidi="hi-IN"/>
    </w:rPr>
  </w:style>
  <w:style w:type="paragraph" w:styleId="Caption">
    <w:name w:val="caption"/>
    <w:basedOn w:val="Normal"/>
    <w:qFormat/>
    <w:rsid w:val="00ED2B59"/>
    <w:pPr>
      <w:suppressLineNumbers/>
      <w:suppressAutoHyphens/>
      <w:autoSpaceDE/>
      <w:autoSpaceDN/>
      <w:spacing w:before="120" w:after="120"/>
    </w:pPr>
    <w:rPr>
      <w:rFonts w:ascii="Arial" w:eastAsia="SimSun" w:hAnsi="Arial" w:cs="Mangal"/>
      <w:i/>
      <w:iCs/>
      <w:color w:val="3F3A38"/>
      <w:spacing w:val="-6"/>
      <w:kern w:val="1"/>
      <w:sz w:val="24"/>
      <w:szCs w:val="24"/>
      <w:lang w:val="en-GB" w:eastAsia="zh-CN" w:bidi="hi-IN"/>
    </w:rPr>
  </w:style>
  <w:style w:type="paragraph" w:customStyle="1" w:styleId="Index">
    <w:name w:val="Index"/>
    <w:basedOn w:val="Normal"/>
    <w:rsid w:val="00ED2B59"/>
    <w:pPr>
      <w:suppressLineNumbers/>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TableContents">
    <w:name w:val="Table Contents"/>
    <w:basedOn w:val="Normal"/>
    <w:rsid w:val="00ED2B59"/>
    <w:pPr>
      <w:suppressLineNumbers/>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TableHeading">
    <w:name w:val="Table Heading"/>
    <w:basedOn w:val="TableContents"/>
    <w:rsid w:val="00ED2B59"/>
    <w:pPr>
      <w:jc w:val="center"/>
    </w:pPr>
    <w:rPr>
      <w:b/>
      <w:bCs/>
    </w:rPr>
  </w:style>
  <w:style w:type="paragraph" w:customStyle="1" w:styleId="ECVLeftHeading">
    <w:name w:val="_ECV_LeftHeading"/>
    <w:basedOn w:val="TableContents"/>
    <w:rsid w:val="00ED2B59"/>
    <w:pPr>
      <w:ind w:right="283"/>
      <w:jc w:val="right"/>
    </w:pPr>
    <w:rPr>
      <w:caps/>
      <w:color w:val="0E4194"/>
      <w:sz w:val="18"/>
    </w:rPr>
  </w:style>
  <w:style w:type="paragraph" w:customStyle="1" w:styleId="ECVMiddleColumn">
    <w:name w:val="_ECV_MiddleColumn"/>
    <w:basedOn w:val="TableContents"/>
    <w:rsid w:val="00ED2B59"/>
    <w:rPr>
      <w:color w:val="404040"/>
      <w:sz w:val="20"/>
    </w:rPr>
  </w:style>
  <w:style w:type="paragraph" w:customStyle="1" w:styleId="ECVRightColumn">
    <w:name w:val="_ECV_RightColumn"/>
    <w:basedOn w:val="TableContents"/>
    <w:rsid w:val="00ED2B59"/>
    <w:pPr>
      <w:spacing w:before="62"/>
    </w:pPr>
    <w:rPr>
      <w:color w:val="404040"/>
    </w:rPr>
  </w:style>
  <w:style w:type="paragraph" w:customStyle="1" w:styleId="ECVNameField">
    <w:name w:val="_ECV_NameField"/>
    <w:basedOn w:val="ECVRightColumn"/>
    <w:rsid w:val="00ED2B59"/>
    <w:pPr>
      <w:spacing w:before="0" w:line="100" w:lineRule="atLeast"/>
    </w:pPr>
    <w:rPr>
      <w:color w:val="3F3A38"/>
      <w:sz w:val="26"/>
      <w:szCs w:val="18"/>
    </w:rPr>
  </w:style>
  <w:style w:type="paragraph" w:customStyle="1" w:styleId="ECVRightHeading">
    <w:name w:val="_ECV_RightHeading"/>
    <w:basedOn w:val="ECVNameField"/>
    <w:rsid w:val="00ED2B59"/>
    <w:pPr>
      <w:spacing w:before="62"/>
      <w:jc w:val="right"/>
    </w:pPr>
    <w:rPr>
      <w:color w:val="1593CB"/>
      <w:sz w:val="15"/>
    </w:rPr>
  </w:style>
  <w:style w:type="paragraph" w:customStyle="1" w:styleId="ECVFirstPageParagraph">
    <w:name w:val="_ECV_First_Page_Paragraph"/>
    <w:basedOn w:val="ECVRightHeading"/>
    <w:rsid w:val="00ED2B59"/>
    <w:pPr>
      <w:tabs>
        <w:tab w:val="left" w:pos="2835"/>
        <w:tab w:val="right" w:pos="10205"/>
      </w:tabs>
      <w:spacing w:before="215"/>
      <w:jc w:val="left"/>
    </w:pPr>
    <w:rPr>
      <w:sz w:val="20"/>
    </w:rPr>
  </w:style>
  <w:style w:type="paragraph" w:customStyle="1" w:styleId="ECVNarrowSpacing">
    <w:name w:val="_ECV_NarrowSpacing"/>
    <w:basedOn w:val="ECVRightColumn"/>
    <w:rsid w:val="00ED2B59"/>
    <w:rPr>
      <w:color w:val="402C24"/>
      <w:sz w:val="8"/>
      <w:szCs w:val="10"/>
    </w:rPr>
  </w:style>
  <w:style w:type="paragraph" w:customStyle="1" w:styleId="ECVSectionSpacing">
    <w:name w:val="_ECV_SectionSpacing"/>
    <w:basedOn w:val="ECVRightColumn"/>
    <w:rsid w:val="00ED2B59"/>
  </w:style>
  <w:style w:type="paragraph" w:customStyle="1" w:styleId="Table">
    <w:name w:val="Table"/>
    <w:basedOn w:val="Caption"/>
    <w:rsid w:val="00ED2B59"/>
  </w:style>
  <w:style w:type="paragraph" w:customStyle="1" w:styleId="ECVSubSectionHeading">
    <w:name w:val="_ECV_SubSectionHeading"/>
    <w:basedOn w:val="ECVRightColumn"/>
    <w:rsid w:val="00ED2B59"/>
    <w:pPr>
      <w:spacing w:before="0" w:line="100" w:lineRule="atLeast"/>
    </w:pPr>
    <w:rPr>
      <w:color w:val="0E4194"/>
      <w:sz w:val="22"/>
    </w:rPr>
  </w:style>
  <w:style w:type="paragraph" w:customStyle="1" w:styleId="ECVOrganisationDetails">
    <w:name w:val="_ECV_OrganisationDetails"/>
    <w:basedOn w:val="ECVRightColumn"/>
    <w:rsid w:val="00ED2B59"/>
    <w:pPr>
      <w:autoSpaceDE w:val="0"/>
      <w:spacing w:before="57" w:after="85" w:line="100" w:lineRule="atLeast"/>
    </w:pPr>
    <w:rPr>
      <w:rFonts w:eastAsia="ArialMT" w:cs="ArialMT"/>
      <w:color w:val="3F3A38"/>
      <w:sz w:val="18"/>
      <w:szCs w:val="18"/>
    </w:rPr>
  </w:style>
  <w:style w:type="paragraph" w:customStyle="1" w:styleId="EuropassSectionDetails">
    <w:name w:val="Europass_SectionDetails"/>
    <w:basedOn w:val="Normal"/>
    <w:rsid w:val="00ED2B59"/>
    <w:pPr>
      <w:suppressLineNumbers/>
      <w:suppressAutoHyphens/>
      <w:autoSpaceDN/>
      <w:spacing w:before="28" w:after="56" w:line="100" w:lineRule="atLeast"/>
    </w:pPr>
    <w:rPr>
      <w:rFonts w:ascii="Arial" w:eastAsia="SimSun" w:hAnsi="Arial" w:cs="Mangal"/>
      <w:color w:val="3F3A38"/>
      <w:spacing w:val="-6"/>
      <w:kern w:val="1"/>
      <w:sz w:val="18"/>
      <w:szCs w:val="24"/>
      <w:lang w:val="en-GB" w:eastAsia="zh-CN" w:bidi="hi-IN"/>
    </w:rPr>
  </w:style>
  <w:style w:type="paragraph" w:customStyle="1" w:styleId="ECVPersonalStatement">
    <w:name w:val="_ECV_PersonalStatement"/>
    <w:basedOn w:val="ECVRightColumn"/>
    <w:rsid w:val="00ED2B59"/>
    <w:pPr>
      <w:spacing w:before="0" w:after="56" w:line="100" w:lineRule="atLeast"/>
    </w:pPr>
    <w:rPr>
      <w:color w:val="3F3A38"/>
      <w:sz w:val="20"/>
      <w:szCs w:val="18"/>
    </w:rPr>
  </w:style>
  <w:style w:type="paragraph" w:customStyle="1" w:styleId="ECVSectionBullet">
    <w:name w:val="_ECV_SectionBullet"/>
    <w:basedOn w:val="EuropassSectionDetails"/>
    <w:rsid w:val="00ED2B59"/>
    <w:pPr>
      <w:spacing w:before="0" w:after="0"/>
    </w:pPr>
  </w:style>
  <w:style w:type="paragraph" w:customStyle="1" w:styleId="CVMajor">
    <w:name w:val="CV Major"/>
    <w:basedOn w:val="Normal"/>
    <w:rsid w:val="00ED2B59"/>
    <w:pPr>
      <w:suppressAutoHyphens/>
      <w:autoSpaceDE/>
      <w:autoSpaceDN/>
      <w:ind w:left="113" w:right="113"/>
    </w:pPr>
    <w:rPr>
      <w:rFonts w:ascii="Arial" w:eastAsia="SimSun" w:hAnsi="Arial" w:cs="Mangal"/>
      <w:b/>
      <w:color w:val="3F3A38"/>
      <w:spacing w:val="-6"/>
      <w:kern w:val="1"/>
      <w:sz w:val="24"/>
      <w:szCs w:val="24"/>
      <w:lang w:val="en-GB" w:eastAsia="zh-CN" w:bidi="hi-IN"/>
    </w:rPr>
  </w:style>
  <w:style w:type="paragraph" w:customStyle="1" w:styleId="ECVDate">
    <w:name w:val="_ECV_Date"/>
    <w:basedOn w:val="ECVLeftHeading"/>
    <w:rsid w:val="00ED2B59"/>
    <w:pPr>
      <w:spacing w:before="28" w:line="100" w:lineRule="atLeast"/>
      <w:textAlignment w:val="top"/>
    </w:pPr>
    <w:rPr>
      <w:caps w:val="0"/>
    </w:rPr>
  </w:style>
  <w:style w:type="paragraph" w:customStyle="1" w:styleId="CVHeading3">
    <w:name w:val="CV Heading 3"/>
    <w:basedOn w:val="Normal"/>
    <w:next w:val="Normal"/>
    <w:rsid w:val="00ED2B59"/>
    <w:pPr>
      <w:suppressAutoHyphens/>
      <w:autoSpaceDE/>
      <w:autoSpaceDN/>
      <w:ind w:left="113" w:right="113"/>
      <w:jc w:val="right"/>
      <w:textAlignment w:val="center"/>
    </w:pPr>
    <w:rPr>
      <w:rFonts w:ascii="Arial" w:eastAsia="SimSun" w:hAnsi="Arial" w:cs="Mangal"/>
      <w:color w:val="3F3A38"/>
      <w:spacing w:val="-6"/>
      <w:kern w:val="1"/>
      <w:sz w:val="16"/>
      <w:szCs w:val="24"/>
      <w:lang w:val="en-GB" w:eastAsia="zh-CN" w:bidi="hi-IN"/>
    </w:rPr>
  </w:style>
  <w:style w:type="paragraph" w:customStyle="1" w:styleId="ECVHeadingLine">
    <w:name w:val="_ECV_HeadingLine"/>
    <w:basedOn w:val="ECVSubSectionHeading"/>
    <w:rsid w:val="00ED2B59"/>
    <w:rPr>
      <w:color w:val="17ACE6"/>
    </w:rPr>
  </w:style>
  <w:style w:type="paragraph" w:styleId="Header">
    <w:name w:val="header"/>
    <w:basedOn w:val="Normal"/>
    <w:link w:val="HeaderChar"/>
    <w:rsid w:val="00ED2B59"/>
    <w:pPr>
      <w:suppressLineNumbers/>
      <w:tabs>
        <w:tab w:val="center" w:pos="5103"/>
        <w:tab w:val="right" w:pos="10206"/>
      </w:tabs>
      <w:suppressAutoHyphens/>
      <w:autoSpaceDE/>
      <w:autoSpaceDN/>
    </w:pPr>
    <w:rPr>
      <w:rFonts w:ascii="Arial" w:eastAsia="SimSun" w:hAnsi="Arial" w:cs="Mangal"/>
      <w:color w:val="3F3A38"/>
      <w:spacing w:val="-6"/>
      <w:kern w:val="1"/>
      <w:sz w:val="16"/>
      <w:szCs w:val="24"/>
      <w:lang w:val="en-GB" w:eastAsia="zh-CN" w:bidi="hi-IN"/>
    </w:rPr>
  </w:style>
  <w:style w:type="character" w:customStyle="1" w:styleId="HeaderChar">
    <w:name w:val="Header Char"/>
    <w:basedOn w:val="DefaultParagraphFont"/>
    <w:link w:val="Header"/>
    <w:rsid w:val="00ED2B59"/>
    <w:rPr>
      <w:rFonts w:ascii="Arial" w:eastAsia="SimSun" w:hAnsi="Arial" w:cs="Mangal"/>
      <w:color w:val="3F3A38"/>
      <w:spacing w:val="-6"/>
      <w:kern w:val="1"/>
      <w:sz w:val="16"/>
      <w:szCs w:val="24"/>
      <w:lang w:val="en-GB" w:eastAsia="zh-CN" w:bidi="hi-IN"/>
      <w14:ligatures w14:val="none"/>
    </w:rPr>
  </w:style>
  <w:style w:type="paragraph" w:customStyle="1" w:styleId="ECVAttachment">
    <w:name w:val="_ECV_Attachment"/>
    <w:basedOn w:val="EuropassSectionDetails"/>
    <w:rsid w:val="00ED2B59"/>
    <w:pPr>
      <w:jc w:val="right"/>
    </w:pPr>
    <w:rPr>
      <w:u w:val="single"/>
    </w:rPr>
  </w:style>
  <w:style w:type="paragraph" w:customStyle="1" w:styleId="ECVHeaderFirstPage">
    <w:name w:val="_ECV_HeaderFirstPage"/>
    <w:basedOn w:val="Header"/>
    <w:rsid w:val="00ED2B59"/>
    <w:pPr>
      <w:tabs>
        <w:tab w:val="center" w:pos="2835"/>
      </w:tabs>
      <w:spacing w:line="100" w:lineRule="atLeast"/>
    </w:pPr>
    <w:rPr>
      <w:color w:val="17ACE6"/>
      <w:sz w:val="20"/>
    </w:rPr>
  </w:style>
  <w:style w:type="paragraph" w:customStyle="1" w:styleId="ECVHeaderOtherPage">
    <w:name w:val="_ECV_HeaderOtherPage"/>
    <w:basedOn w:val="ECVHeaderFirstPage"/>
    <w:rsid w:val="00ED2B59"/>
  </w:style>
  <w:style w:type="paragraph" w:customStyle="1" w:styleId="ECVLeftDetails">
    <w:name w:val="_ECV_LeftDetails"/>
    <w:basedOn w:val="ECVLeftHeading"/>
    <w:rsid w:val="00ED2B59"/>
    <w:pPr>
      <w:spacing w:before="23"/>
    </w:pPr>
    <w:rPr>
      <w:caps w:val="0"/>
    </w:rPr>
  </w:style>
  <w:style w:type="paragraph" w:styleId="Footer">
    <w:name w:val="footer"/>
    <w:basedOn w:val="Normal"/>
    <w:link w:val="FooterChar"/>
    <w:uiPriority w:val="99"/>
    <w:rsid w:val="00ED2B59"/>
    <w:pPr>
      <w:suppressLineNumbers/>
      <w:tabs>
        <w:tab w:val="right" w:pos="2835"/>
        <w:tab w:val="left" w:pos="10205"/>
      </w:tabs>
      <w:suppressAutoHyphens/>
      <w:autoSpaceDE/>
      <w:autoSpaceDN/>
    </w:pPr>
    <w:rPr>
      <w:rFonts w:ascii="Arial" w:eastAsia="SimSun" w:hAnsi="Arial" w:cs="Mangal"/>
      <w:color w:val="1593CB"/>
      <w:spacing w:val="-6"/>
      <w:kern w:val="1"/>
      <w:sz w:val="16"/>
      <w:szCs w:val="24"/>
      <w:lang w:val="en-GB" w:eastAsia="zh-CN" w:bidi="hi-IN"/>
    </w:rPr>
  </w:style>
  <w:style w:type="character" w:customStyle="1" w:styleId="FooterChar">
    <w:name w:val="Footer Char"/>
    <w:basedOn w:val="DefaultParagraphFont"/>
    <w:link w:val="Footer"/>
    <w:uiPriority w:val="99"/>
    <w:rsid w:val="00ED2B59"/>
    <w:rPr>
      <w:rFonts w:ascii="Arial" w:eastAsia="SimSun" w:hAnsi="Arial" w:cs="Mangal"/>
      <w:color w:val="1593CB"/>
      <w:spacing w:val="-6"/>
      <w:kern w:val="1"/>
      <w:sz w:val="16"/>
      <w:szCs w:val="24"/>
      <w:lang w:val="en-GB" w:eastAsia="zh-CN" w:bidi="hi-IN"/>
      <w14:ligatures w14:val="none"/>
    </w:rPr>
  </w:style>
  <w:style w:type="paragraph" w:customStyle="1" w:styleId="ECVLanguageHeading">
    <w:name w:val="_ECV_LanguageHeading"/>
    <w:basedOn w:val="ECVRightColumn"/>
    <w:rsid w:val="00ED2B59"/>
    <w:pPr>
      <w:spacing w:before="0"/>
      <w:jc w:val="center"/>
    </w:pPr>
    <w:rPr>
      <w:caps/>
      <w:color w:val="0E4194"/>
      <w:sz w:val="14"/>
    </w:rPr>
  </w:style>
  <w:style w:type="paragraph" w:customStyle="1" w:styleId="ECVLanguageSubHeading">
    <w:name w:val="_ECV_LanguageSubHeading"/>
    <w:basedOn w:val="ECVLanguageHeading"/>
    <w:rsid w:val="00ED2B59"/>
    <w:pPr>
      <w:spacing w:line="100" w:lineRule="atLeast"/>
    </w:pPr>
    <w:rPr>
      <w:caps w:val="0"/>
      <w:sz w:val="16"/>
    </w:rPr>
  </w:style>
  <w:style w:type="paragraph" w:customStyle="1" w:styleId="ECVLanguageLevel">
    <w:name w:val="_ECV_LanguageLevel"/>
    <w:basedOn w:val="EuropassSectionDetails"/>
    <w:rsid w:val="00ED2B59"/>
    <w:pPr>
      <w:jc w:val="center"/>
      <w:textAlignment w:val="center"/>
    </w:pPr>
    <w:rPr>
      <w:caps/>
    </w:rPr>
  </w:style>
  <w:style w:type="paragraph" w:customStyle="1" w:styleId="ECVLanguageCertificate">
    <w:name w:val="_ECV_LanguageCertificate"/>
    <w:basedOn w:val="ECVRightColumn"/>
    <w:rsid w:val="00ED2B59"/>
    <w:pPr>
      <w:spacing w:before="0" w:line="100" w:lineRule="atLeast"/>
      <w:ind w:right="283"/>
      <w:jc w:val="center"/>
    </w:pPr>
    <w:rPr>
      <w:color w:val="3F3A38"/>
    </w:rPr>
  </w:style>
  <w:style w:type="paragraph" w:customStyle="1" w:styleId="ECVLanguageExplanation">
    <w:name w:val="_ECV_LanguageExplanation"/>
    <w:basedOn w:val="Normal"/>
    <w:rsid w:val="00ED2B59"/>
    <w:pPr>
      <w:suppressAutoHyphens/>
      <w:autoSpaceDN/>
      <w:spacing w:line="100" w:lineRule="atLeast"/>
    </w:pPr>
    <w:rPr>
      <w:rFonts w:ascii="Arial" w:eastAsia="SimSun" w:hAnsi="Arial" w:cs="Mangal"/>
      <w:color w:val="0E4194"/>
      <w:spacing w:val="-6"/>
      <w:kern w:val="1"/>
      <w:sz w:val="15"/>
      <w:szCs w:val="24"/>
      <w:lang w:val="en-GB" w:eastAsia="zh-CN" w:bidi="hi-IN"/>
    </w:rPr>
  </w:style>
  <w:style w:type="paragraph" w:customStyle="1" w:styleId="ECVLinks">
    <w:name w:val="_ECV_Links"/>
    <w:rsid w:val="00ED2B59"/>
    <w:pPr>
      <w:widowControl w:val="0"/>
      <w:suppressLineNumbers/>
      <w:suppressAutoHyphens/>
      <w:spacing w:after="0" w:line="100" w:lineRule="atLeast"/>
      <w:textAlignment w:val="center"/>
    </w:pPr>
    <w:rPr>
      <w:rFonts w:ascii="Arial" w:eastAsia="SimSun" w:hAnsi="Arial" w:cs="Mangal"/>
      <w:color w:val="3F3A38"/>
      <w:spacing w:val="-6"/>
      <w:kern w:val="0"/>
      <w:sz w:val="18"/>
      <w:szCs w:val="18"/>
      <w:u w:val="single"/>
      <w:lang w:val="en-GB" w:eastAsia="zh-CN" w:bidi="hi-IN"/>
      <w14:ligatures w14:val="none"/>
    </w:rPr>
  </w:style>
  <w:style w:type="paragraph" w:customStyle="1" w:styleId="ECVText">
    <w:name w:val="_ECV_Text"/>
    <w:basedOn w:val="BodyText"/>
    <w:rsid w:val="00ED2B59"/>
    <w:pPr>
      <w:suppressAutoHyphens/>
      <w:autoSpaceDE/>
      <w:autoSpaceDN/>
      <w:spacing w:line="100" w:lineRule="atLeast"/>
    </w:pPr>
    <w:rPr>
      <w:rFonts w:ascii="Arial" w:eastAsia="SimSun" w:hAnsi="Arial" w:cs="Mangal"/>
      <w:color w:val="3F3A38"/>
      <w:spacing w:val="-6"/>
      <w:kern w:val="1"/>
      <w:sz w:val="16"/>
      <w:lang w:val="en-GB" w:eastAsia="zh-CN" w:bidi="hi-IN"/>
    </w:rPr>
  </w:style>
  <w:style w:type="paragraph" w:customStyle="1" w:styleId="ECVBusinessSector">
    <w:name w:val="_ECV_BusinessSector"/>
    <w:basedOn w:val="ECVOrganisationDetails"/>
    <w:rsid w:val="00ED2B59"/>
    <w:pPr>
      <w:spacing w:before="113" w:after="0"/>
    </w:pPr>
  </w:style>
  <w:style w:type="paragraph" w:customStyle="1" w:styleId="ECVLanguageName">
    <w:name w:val="_ECV_LanguageName"/>
    <w:basedOn w:val="ECVLanguageCertificate"/>
    <w:rsid w:val="00ED2B59"/>
    <w:pPr>
      <w:jc w:val="right"/>
    </w:pPr>
    <w:rPr>
      <w:sz w:val="18"/>
    </w:rPr>
  </w:style>
  <w:style w:type="paragraph" w:customStyle="1" w:styleId="ECVPersonalInfoHeading">
    <w:name w:val="_ECV_PersonalInfoHeading"/>
    <w:basedOn w:val="ECVLeftHeading"/>
    <w:rsid w:val="00ED2B59"/>
    <w:pPr>
      <w:spacing w:before="57"/>
    </w:pPr>
  </w:style>
  <w:style w:type="paragraph" w:customStyle="1" w:styleId="ECVOccupationalFieldHeadingPersonal">
    <w:name w:val="_ECV_OccupationalFieldHeadingPersonal"/>
    <w:basedOn w:val="ECVLeftHeading"/>
    <w:rsid w:val="00ED2B59"/>
    <w:pPr>
      <w:spacing w:before="23"/>
    </w:pPr>
  </w:style>
  <w:style w:type="paragraph" w:customStyle="1" w:styleId="ECVOccupationalFieldHeading">
    <w:name w:val="_ECV_OccupationalFieldHeading"/>
    <w:basedOn w:val="ECVLeftHeading"/>
    <w:rsid w:val="00ED2B59"/>
    <w:pPr>
      <w:spacing w:before="57"/>
    </w:pPr>
  </w:style>
  <w:style w:type="paragraph" w:customStyle="1" w:styleId="ECVGenderRow">
    <w:name w:val="_ECV_GenderRow"/>
    <w:basedOn w:val="Normal"/>
    <w:rsid w:val="00ED2B59"/>
    <w:pPr>
      <w:suppressAutoHyphens/>
      <w:autoSpaceDE/>
      <w:autoSpaceDN/>
      <w:spacing w:before="85"/>
    </w:pPr>
    <w:rPr>
      <w:rFonts w:ascii="Arial" w:eastAsia="SimSun" w:hAnsi="Arial" w:cs="Mangal"/>
      <w:color w:val="1593CB"/>
      <w:spacing w:val="-6"/>
      <w:kern w:val="1"/>
      <w:sz w:val="16"/>
      <w:szCs w:val="24"/>
      <w:lang w:val="en-GB" w:eastAsia="zh-CN" w:bidi="hi-IN"/>
    </w:rPr>
  </w:style>
  <w:style w:type="paragraph" w:customStyle="1" w:styleId="ECVNextPagesParagraph">
    <w:name w:val="_ECV_Next_Pages_Paragraph"/>
    <w:basedOn w:val="ECVFirstPageParagraph"/>
    <w:rsid w:val="00ED2B59"/>
    <w:pPr>
      <w:tabs>
        <w:tab w:val="clear" w:pos="2835"/>
        <w:tab w:val="clear" w:pos="10205"/>
        <w:tab w:val="left" w:pos="2807"/>
        <w:tab w:val="right" w:pos="10350"/>
      </w:tabs>
      <w:spacing w:before="153"/>
      <w:jc w:val="right"/>
    </w:pPr>
  </w:style>
  <w:style w:type="paragraph" w:customStyle="1" w:styleId="ECVBusinessSctionRow">
    <w:name w:val="_ECV_BusinessSctionRow"/>
    <w:basedOn w:val="Normal"/>
    <w:rsid w:val="00ED2B59"/>
    <w:pPr>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ECVBusinessSectorRow">
    <w:name w:val="_ECV_BusinessSectorRow"/>
    <w:basedOn w:val="Normal"/>
    <w:rsid w:val="00ED2B59"/>
    <w:pPr>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ECVBlueBox">
    <w:name w:val="_ECV_BlueBox"/>
    <w:basedOn w:val="ECVNarrowSpacing"/>
    <w:rsid w:val="00ED2B59"/>
    <w:pPr>
      <w:spacing w:before="0"/>
      <w:jc w:val="right"/>
      <w:textAlignment w:val="bottom"/>
    </w:pPr>
    <w:rPr>
      <w:spacing w:val="0"/>
    </w:rPr>
  </w:style>
  <w:style w:type="paragraph" w:customStyle="1" w:styleId="ESPPagesParagraph">
    <w:name w:val="_ESP_Pages_Paragraph"/>
    <w:basedOn w:val="ECVNextPagesParagraph"/>
    <w:rsid w:val="00ED2B59"/>
  </w:style>
  <w:style w:type="paragraph" w:customStyle="1" w:styleId="ESPText">
    <w:name w:val="_ESP_Text"/>
    <w:basedOn w:val="ECVText"/>
    <w:rsid w:val="00ED2B59"/>
  </w:style>
  <w:style w:type="paragraph" w:customStyle="1" w:styleId="ESPHeading">
    <w:name w:val="_ESP_Heading"/>
    <w:basedOn w:val="ESPText"/>
    <w:rsid w:val="00ED2B59"/>
    <w:rPr>
      <w:b/>
      <w:bCs/>
      <w:sz w:val="32"/>
      <w:szCs w:val="32"/>
    </w:rPr>
  </w:style>
  <w:style w:type="paragraph" w:customStyle="1" w:styleId="FooterLeft">
    <w:name w:val="Footer Left"/>
    <w:basedOn w:val="Normal"/>
    <w:rsid w:val="00ED2B59"/>
    <w:pPr>
      <w:suppressLineNumbers/>
      <w:tabs>
        <w:tab w:val="center" w:pos="5188"/>
        <w:tab w:val="right" w:pos="10376"/>
      </w:tabs>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FooterRight">
    <w:name w:val="Footer Right"/>
    <w:basedOn w:val="Normal"/>
    <w:rsid w:val="00ED2B59"/>
    <w:pPr>
      <w:suppressLineNumbers/>
      <w:tabs>
        <w:tab w:val="center" w:pos="5188"/>
        <w:tab w:val="right" w:pos="10376"/>
      </w:tabs>
      <w:suppressAutoHyphens/>
      <w:autoSpaceDE/>
      <w:autoSpaceDN/>
    </w:pPr>
    <w:rPr>
      <w:rFonts w:ascii="Arial" w:eastAsia="SimSun" w:hAnsi="Arial" w:cs="Mangal"/>
      <w:color w:val="3F3A38"/>
      <w:spacing w:val="-6"/>
      <w:kern w:val="1"/>
      <w:sz w:val="16"/>
      <w:szCs w:val="24"/>
      <w:lang w:val="en-GB" w:eastAsia="zh-CN" w:bidi="hi-IN"/>
    </w:rPr>
  </w:style>
  <w:style w:type="paragraph" w:customStyle="1" w:styleId="ECVRelatedDocumentRow">
    <w:name w:val="_ECV_RelatedDocumentRow"/>
    <w:basedOn w:val="ECVBusinessSectorRow"/>
    <w:rsid w:val="00ED2B59"/>
  </w:style>
  <w:style w:type="paragraph" w:customStyle="1" w:styleId="europass5fnumbered5flist">
    <w:name w:val="europass_5f_numbered_5f_list"/>
    <w:basedOn w:val="EuropassSectionDetails"/>
    <w:rsid w:val="00ED2B59"/>
  </w:style>
  <w:style w:type="paragraph" w:customStyle="1" w:styleId="europass5fbulleted5flist">
    <w:name w:val="europass_5f_bulleted_5f_list"/>
    <w:basedOn w:val="EuropassSectionDetails"/>
    <w:rsid w:val="00ED2B59"/>
  </w:style>
  <w:style w:type="paragraph" w:customStyle="1" w:styleId="europassparagraphindented">
    <w:name w:val="europass_paragraph_indented"/>
    <w:basedOn w:val="EuropassSectionDetails"/>
    <w:rsid w:val="00ED2B59"/>
    <w:pPr>
      <w:ind w:left="567"/>
    </w:pPr>
  </w:style>
  <w:style w:type="paragraph" w:customStyle="1" w:styleId="europassparagraphindent1">
    <w:name w:val="europass_paragraph_indent1"/>
    <w:basedOn w:val="EuropassSectionDetails"/>
    <w:rsid w:val="00ED2B59"/>
    <w:pPr>
      <w:ind w:left="567"/>
    </w:pPr>
  </w:style>
  <w:style w:type="paragraph" w:customStyle="1" w:styleId="europassparagraphindent2">
    <w:name w:val="europass_paragraph_indent2"/>
    <w:basedOn w:val="EuropassSectionDetails"/>
    <w:rsid w:val="00ED2B59"/>
    <w:pPr>
      <w:ind w:left="1134"/>
    </w:pPr>
  </w:style>
  <w:style w:type="paragraph" w:customStyle="1" w:styleId="europassparagraphindent3">
    <w:name w:val="europass_paragraph_indent3"/>
    <w:basedOn w:val="EuropassSectionDetails"/>
    <w:rsid w:val="00ED2B59"/>
    <w:pPr>
      <w:ind w:left="1701"/>
    </w:pPr>
  </w:style>
  <w:style w:type="paragraph" w:customStyle="1" w:styleId="europassparagraphalignjustify">
    <w:name w:val="europass_paragraph_align_justify"/>
    <w:basedOn w:val="EuropassSectionDetails"/>
    <w:rsid w:val="00ED2B59"/>
    <w:pPr>
      <w:jc w:val="both"/>
    </w:pPr>
  </w:style>
  <w:style w:type="paragraph" w:customStyle="1" w:styleId="europassparagraphindent1justify">
    <w:name w:val="europass_paragraph_indent1_justify"/>
    <w:basedOn w:val="EuropassSectionDetails"/>
    <w:rsid w:val="00ED2B59"/>
    <w:pPr>
      <w:ind w:left="567"/>
      <w:jc w:val="both"/>
    </w:pPr>
  </w:style>
  <w:style w:type="paragraph" w:customStyle="1" w:styleId="europassparagraphindent2justify">
    <w:name w:val="europass_paragraph_indent2_justify"/>
    <w:basedOn w:val="EuropassSectionDetails"/>
    <w:rsid w:val="00ED2B59"/>
    <w:pPr>
      <w:ind w:left="1134"/>
      <w:jc w:val="both"/>
    </w:pPr>
  </w:style>
  <w:style w:type="paragraph" w:customStyle="1" w:styleId="europassparagraphindent3justify">
    <w:name w:val="europass_paragraph_indent3_justify"/>
    <w:basedOn w:val="EuropassSectionDetails"/>
    <w:rsid w:val="00ED2B59"/>
    <w:pPr>
      <w:ind w:left="1701"/>
      <w:jc w:val="both"/>
    </w:pPr>
  </w:style>
  <w:style w:type="character" w:styleId="UnresolvedMention">
    <w:name w:val="Unresolved Mention"/>
    <w:uiPriority w:val="99"/>
    <w:semiHidden/>
    <w:unhideWhenUsed/>
    <w:rsid w:val="00ED2B59"/>
    <w:rPr>
      <w:color w:val="808080"/>
      <w:shd w:val="clear" w:color="auto" w:fill="E6E6E6"/>
    </w:rPr>
  </w:style>
  <w:style w:type="paragraph" w:styleId="HTMLPreformatted">
    <w:name w:val="HTML Preformatted"/>
    <w:basedOn w:val="Normal"/>
    <w:link w:val="HTMLPreformattedChar"/>
    <w:uiPriority w:val="99"/>
    <w:unhideWhenUsed/>
    <w:rsid w:val="00ED2B5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autoSpaceDE/>
      <w:autoSpaceDN/>
    </w:pPr>
    <w:rPr>
      <w:rFonts w:ascii="Courier New" w:hAnsi="Courier New" w:cs="Courier New"/>
      <w:sz w:val="20"/>
      <w:szCs w:val="20"/>
      <w:lang w:val="mk-MK" w:eastAsia="mk-MK"/>
    </w:rPr>
  </w:style>
  <w:style w:type="character" w:customStyle="1" w:styleId="HTMLPreformattedChar">
    <w:name w:val="HTML Preformatted Char"/>
    <w:basedOn w:val="DefaultParagraphFont"/>
    <w:link w:val="HTMLPreformatted"/>
    <w:uiPriority w:val="99"/>
    <w:rsid w:val="00ED2B59"/>
    <w:rPr>
      <w:rFonts w:ascii="Courier New" w:eastAsia="Times New Roman" w:hAnsi="Courier New" w:cs="Courier New"/>
      <w:kern w:val="0"/>
      <w:sz w:val="20"/>
      <w:szCs w:val="20"/>
      <w:lang w:val="mk-MK" w:eastAsia="mk-MK"/>
      <w14:ligatures w14:val="none"/>
    </w:rPr>
  </w:style>
  <w:style w:type="character" w:styleId="Emphasis">
    <w:name w:val="Emphasis"/>
    <w:uiPriority w:val="20"/>
    <w:qFormat/>
    <w:rsid w:val="00ED2B59"/>
    <w:rPr>
      <w:i/>
      <w:iCs/>
    </w:rPr>
  </w:style>
  <w:style w:type="character" w:styleId="CommentReference">
    <w:name w:val="annotation reference"/>
    <w:basedOn w:val="DefaultParagraphFont"/>
    <w:uiPriority w:val="99"/>
    <w:semiHidden/>
    <w:unhideWhenUsed/>
    <w:rsid w:val="00ED2B59"/>
    <w:rPr>
      <w:sz w:val="16"/>
      <w:szCs w:val="16"/>
    </w:rPr>
  </w:style>
  <w:style w:type="paragraph" w:styleId="CommentText">
    <w:name w:val="annotation text"/>
    <w:basedOn w:val="Normal"/>
    <w:link w:val="CommentTextChar"/>
    <w:uiPriority w:val="99"/>
    <w:unhideWhenUsed/>
    <w:rsid w:val="00ED2B59"/>
    <w:rPr>
      <w:sz w:val="20"/>
      <w:szCs w:val="20"/>
    </w:rPr>
  </w:style>
  <w:style w:type="character" w:customStyle="1" w:styleId="CommentTextChar">
    <w:name w:val="Comment Text Char"/>
    <w:basedOn w:val="DefaultParagraphFont"/>
    <w:link w:val="CommentText"/>
    <w:uiPriority w:val="99"/>
    <w:rsid w:val="00ED2B59"/>
    <w:rPr>
      <w:rFonts w:ascii="Times New Roman" w:eastAsia="Times New Roman" w:hAnsi="Times New Roman" w:cs="Times New Roman"/>
      <w:kern w:val="0"/>
      <w:sz w:val="20"/>
      <w:szCs w:val="20"/>
      <w:lang w:val="bg-BG"/>
      <w14:ligatures w14:val="none"/>
    </w:rPr>
  </w:style>
  <w:style w:type="paragraph" w:styleId="CommentSubject">
    <w:name w:val="annotation subject"/>
    <w:basedOn w:val="CommentText"/>
    <w:next w:val="CommentText"/>
    <w:link w:val="CommentSubjectChar"/>
    <w:uiPriority w:val="99"/>
    <w:semiHidden/>
    <w:unhideWhenUsed/>
    <w:rsid w:val="00ED2B59"/>
    <w:rPr>
      <w:b/>
      <w:bCs/>
    </w:rPr>
  </w:style>
  <w:style w:type="character" w:customStyle="1" w:styleId="CommentSubjectChar">
    <w:name w:val="Comment Subject Char"/>
    <w:basedOn w:val="CommentTextChar"/>
    <w:link w:val="CommentSubject"/>
    <w:uiPriority w:val="99"/>
    <w:semiHidden/>
    <w:rsid w:val="00ED2B59"/>
    <w:rPr>
      <w:rFonts w:ascii="Times New Roman" w:eastAsia="Times New Roman" w:hAnsi="Times New Roman" w:cs="Times New Roman"/>
      <w:b/>
      <w:bCs/>
      <w:kern w:val="0"/>
      <w:sz w:val="20"/>
      <w:szCs w:val="20"/>
      <w:lang w:val="bg-BG"/>
      <w14:ligatures w14:val="none"/>
    </w:rPr>
  </w:style>
  <w:style w:type="paragraph" w:styleId="TOCHeading">
    <w:name w:val="TOC Heading"/>
    <w:basedOn w:val="Heading1"/>
    <w:next w:val="Normal"/>
    <w:uiPriority w:val="39"/>
    <w:unhideWhenUsed/>
    <w:qFormat/>
    <w:rsid w:val="00ED2B59"/>
    <w:pPr>
      <w:keepNext/>
      <w:keepLines/>
      <w:widowControl/>
      <w:autoSpaceDE/>
      <w:autoSpaceDN/>
      <w:spacing w:before="240" w:line="259" w:lineRule="auto"/>
      <w:ind w:left="0"/>
      <w:outlineLvl w:val="9"/>
    </w:pPr>
    <w:rPr>
      <w:rFonts w:asciiTheme="majorHAnsi" w:eastAsiaTheme="majorEastAsia" w:hAnsiTheme="majorHAnsi" w:cstheme="majorBidi"/>
      <w:b w:val="0"/>
      <w:bCs w:val="0"/>
      <w:color w:val="2F5496" w:themeColor="accent1" w:themeShade="BF"/>
      <w:sz w:val="32"/>
      <w:szCs w:val="32"/>
      <w:lang w:val="en-US"/>
    </w:rPr>
  </w:style>
  <w:style w:type="paragraph" w:styleId="TOC1">
    <w:name w:val="toc 1"/>
    <w:basedOn w:val="Normal"/>
    <w:next w:val="Normal"/>
    <w:autoRedefine/>
    <w:uiPriority w:val="39"/>
    <w:unhideWhenUsed/>
    <w:rsid w:val="00ED2B59"/>
    <w:pPr>
      <w:tabs>
        <w:tab w:val="right" w:leader="dot" w:pos="9300"/>
      </w:tabs>
      <w:spacing w:before="240" w:after="100"/>
    </w:pPr>
  </w:style>
  <w:style w:type="table" w:styleId="TableGrid">
    <w:name w:val="Table Grid"/>
    <w:basedOn w:val="TableNormal"/>
    <w:uiPriority w:val="39"/>
    <w:rsid w:val="00ED2B59"/>
    <w:pPr>
      <w:widowControl w:val="0"/>
      <w:autoSpaceDE w:val="0"/>
      <w:autoSpaceDN w:val="0"/>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9447B7"/>
    <w:rPr>
      <w:rFonts w:asciiTheme="majorHAnsi" w:eastAsiaTheme="majorEastAsia" w:hAnsiTheme="majorHAnsi" w:cstheme="majorBidi"/>
      <w:color w:val="1F3763" w:themeColor="accent1" w:themeShade="7F"/>
      <w:kern w:val="0"/>
      <w:sz w:val="24"/>
      <w:szCs w:val="24"/>
      <w:lang w:val="bg-BG"/>
      <w14:ligatures w14:val="none"/>
    </w:rPr>
  </w:style>
  <w:style w:type="paragraph" w:styleId="TOC2">
    <w:name w:val="toc 2"/>
    <w:basedOn w:val="Normal"/>
    <w:next w:val="Normal"/>
    <w:autoRedefine/>
    <w:uiPriority w:val="39"/>
    <w:unhideWhenUsed/>
    <w:rsid w:val="00A26F48"/>
    <w:pPr>
      <w:spacing w:after="100"/>
      <w:ind w:left="220"/>
    </w:pPr>
  </w:style>
  <w:style w:type="paragraph" w:styleId="TOC3">
    <w:name w:val="toc 3"/>
    <w:basedOn w:val="Normal"/>
    <w:next w:val="Normal"/>
    <w:autoRedefine/>
    <w:uiPriority w:val="39"/>
    <w:unhideWhenUsed/>
    <w:rsid w:val="00320CAF"/>
    <w:pPr>
      <w:spacing w:after="100"/>
      <w:ind w:left="440"/>
    </w:pPr>
  </w:style>
  <w:style w:type="paragraph" w:styleId="TOC4">
    <w:name w:val="toc 4"/>
    <w:basedOn w:val="Normal"/>
    <w:next w:val="Normal"/>
    <w:autoRedefine/>
    <w:uiPriority w:val="39"/>
    <w:unhideWhenUsed/>
    <w:rsid w:val="00CF3775"/>
    <w:pPr>
      <w:widowControl/>
      <w:autoSpaceDE/>
      <w:autoSpaceDN/>
      <w:spacing w:after="100" w:line="278" w:lineRule="auto"/>
      <w:ind w:left="720"/>
    </w:pPr>
    <w:rPr>
      <w:rFonts w:asciiTheme="minorHAnsi" w:eastAsiaTheme="minorEastAsia" w:hAnsiTheme="minorHAnsi" w:cstheme="minorBidi"/>
      <w:kern w:val="2"/>
      <w:sz w:val="24"/>
      <w:szCs w:val="24"/>
      <w:lang w:val="en-US"/>
      <w14:ligatures w14:val="standardContextual"/>
    </w:rPr>
  </w:style>
  <w:style w:type="paragraph" w:styleId="TOC5">
    <w:name w:val="toc 5"/>
    <w:basedOn w:val="Normal"/>
    <w:next w:val="Normal"/>
    <w:autoRedefine/>
    <w:uiPriority w:val="39"/>
    <w:unhideWhenUsed/>
    <w:rsid w:val="00CF3775"/>
    <w:pPr>
      <w:widowControl/>
      <w:autoSpaceDE/>
      <w:autoSpaceDN/>
      <w:spacing w:after="100" w:line="278" w:lineRule="auto"/>
      <w:ind w:left="960"/>
    </w:pPr>
    <w:rPr>
      <w:rFonts w:asciiTheme="minorHAnsi" w:eastAsiaTheme="minorEastAsia" w:hAnsiTheme="minorHAnsi" w:cstheme="minorBidi"/>
      <w:kern w:val="2"/>
      <w:sz w:val="24"/>
      <w:szCs w:val="24"/>
      <w:lang w:val="en-US"/>
      <w14:ligatures w14:val="standardContextual"/>
    </w:rPr>
  </w:style>
  <w:style w:type="paragraph" w:styleId="TOC6">
    <w:name w:val="toc 6"/>
    <w:basedOn w:val="Normal"/>
    <w:next w:val="Normal"/>
    <w:autoRedefine/>
    <w:uiPriority w:val="39"/>
    <w:unhideWhenUsed/>
    <w:rsid w:val="00CF3775"/>
    <w:pPr>
      <w:widowControl/>
      <w:autoSpaceDE/>
      <w:autoSpaceDN/>
      <w:spacing w:after="100" w:line="278" w:lineRule="auto"/>
      <w:ind w:left="1200"/>
    </w:pPr>
    <w:rPr>
      <w:rFonts w:asciiTheme="minorHAnsi" w:eastAsiaTheme="minorEastAsia" w:hAnsiTheme="minorHAnsi" w:cstheme="minorBidi"/>
      <w:kern w:val="2"/>
      <w:sz w:val="24"/>
      <w:szCs w:val="24"/>
      <w:lang w:val="en-US"/>
      <w14:ligatures w14:val="standardContextual"/>
    </w:rPr>
  </w:style>
  <w:style w:type="paragraph" w:styleId="TOC7">
    <w:name w:val="toc 7"/>
    <w:basedOn w:val="Normal"/>
    <w:next w:val="Normal"/>
    <w:autoRedefine/>
    <w:uiPriority w:val="39"/>
    <w:unhideWhenUsed/>
    <w:rsid w:val="00CF3775"/>
    <w:pPr>
      <w:widowControl/>
      <w:autoSpaceDE/>
      <w:autoSpaceDN/>
      <w:spacing w:after="100" w:line="278" w:lineRule="auto"/>
      <w:ind w:left="1440"/>
    </w:pPr>
    <w:rPr>
      <w:rFonts w:asciiTheme="minorHAnsi" w:eastAsiaTheme="minorEastAsia" w:hAnsiTheme="minorHAnsi" w:cstheme="minorBidi"/>
      <w:kern w:val="2"/>
      <w:sz w:val="24"/>
      <w:szCs w:val="24"/>
      <w:lang w:val="en-US"/>
      <w14:ligatures w14:val="standardContextual"/>
    </w:rPr>
  </w:style>
  <w:style w:type="paragraph" w:styleId="TOC8">
    <w:name w:val="toc 8"/>
    <w:basedOn w:val="Normal"/>
    <w:next w:val="Normal"/>
    <w:autoRedefine/>
    <w:uiPriority w:val="39"/>
    <w:unhideWhenUsed/>
    <w:rsid w:val="00CF3775"/>
    <w:pPr>
      <w:widowControl/>
      <w:autoSpaceDE/>
      <w:autoSpaceDN/>
      <w:spacing w:after="100" w:line="278" w:lineRule="auto"/>
      <w:ind w:left="1680"/>
    </w:pPr>
    <w:rPr>
      <w:rFonts w:asciiTheme="minorHAnsi" w:eastAsiaTheme="minorEastAsia" w:hAnsiTheme="minorHAnsi" w:cstheme="minorBidi"/>
      <w:kern w:val="2"/>
      <w:sz w:val="24"/>
      <w:szCs w:val="24"/>
      <w:lang w:val="en-US"/>
      <w14:ligatures w14:val="standardContextual"/>
    </w:rPr>
  </w:style>
  <w:style w:type="paragraph" w:styleId="TOC9">
    <w:name w:val="toc 9"/>
    <w:basedOn w:val="Normal"/>
    <w:next w:val="Normal"/>
    <w:autoRedefine/>
    <w:uiPriority w:val="39"/>
    <w:unhideWhenUsed/>
    <w:rsid w:val="00CF3775"/>
    <w:pPr>
      <w:widowControl/>
      <w:autoSpaceDE/>
      <w:autoSpaceDN/>
      <w:spacing w:after="100" w:line="278" w:lineRule="auto"/>
      <w:ind w:left="1920"/>
    </w:pPr>
    <w:rPr>
      <w:rFonts w:asciiTheme="minorHAnsi" w:eastAsiaTheme="minorEastAsia" w:hAnsiTheme="minorHAnsi" w:cstheme="minorBidi"/>
      <w:kern w:val="2"/>
      <w:sz w:val="24"/>
      <w:szCs w:val="24"/>
      <w:lang w:val="en-US"/>
      <w14:ligatures w14:val="standardContextual"/>
    </w:rPr>
  </w:style>
  <w:style w:type="paragraph" w:styleId="NormalWeb">
    <w:name w:val="Normal (Web)"/>
    <w:basedOn w:val="Normal"/>
    <w:uiPriority w:val="99"/>
    <w:semiHidden/>
    <w:unhideWhenUsed/>
    <w:rsid w:val="00CD0181"/>
    <w:rPr>
      <w:sz w:val="24"/>
      <w:szCs w:val="24"/>
    </w:rPr>
  </w:style>
  <w:style w:type="character" w:customStyle="1" w:styleId="Heading4Char">
    <w:name w:val="Heading 4 Char"/>
    <w:basedOn w:val="DefaultParagraphFont"/>
    <w:link w:val="Heading4"/>
    <w:uiPriority w:val="9"/>
    <w:semiHidden/>
    <w:rsid w:val="00CD2816"/>
    <w:rPr>
      <w:rFonts w:asciiTheme="majorHAnsi" w:eastAsiaTheme="majorEastAsia" w:hAnsiTheme="majorHAnsi" w:cstheme="majorBidi"/>
      <w:i/>
      <w:iCs/>
      <w:color w:val="2F5496" w:themeColor="accent1" w:themeShade="BF"/>
      <w:kern w:val="0"/>
      <w:lang w:val="bg-BG"/>
      <w14:ligatures w14:val="none"/>
    </w:rPr>
  </w:style>
  <w:style w:type="paragraph" w:styleId="EndnoteText">
    <w:name w:val="endnote text"/>
    <w:basedOn w:val="Normal"/>
    <w:link w:val="EndnoteTextChar"/>
    <w:uiPriority w:val="99"/>
    <w:semiHidden/>
    <w:unhideWhenUsed/>
    <w:rsid w:val="00D05D09"/>
    <w:rPr>
      <w:sz w:val="20"/>
      <w:szCs w:val="20"/>
    </w:rPr>
  </w:style>
  <w:style w:type="character" w:customStyle="1" w:styleId="EndnoteTextChar">
    <w:name w:val="Endnote Text Char"/>
    <w:basedOn w:val="DefaultParagraphFont"/>
    <w:link w:val="EndnoteText"/>
    <w:uiPriority w:val="99"/>
    <w:semiHidden/>
    <w:rsid w:val="00D05D09"/>
    <w:rPr>
      <w:rFonts w:ascii="Times New Roman" w:eastAsia="Times New Roman" w:hAnsi="Times New Roman" w:cs="Times New Roman"/>
      <w:kern w:val="0"/>
      <w:sz w:val="20"/>
      <w:szCs w:val="20"/>
      <w:lang w:val="bg-BG"/>
      <w14:ligatures w14:val="none"/>
    </w:rPr>
  </w:style>
  <w:style w:type="character" w:styleId="EndnoteReference">
    <w:name w:val="endnote reference"/>
    <w:basedOn w:val="DefaultParagraphFont"/>
    <w:uiPriority w:val="99"/>
    <w:semiHidden/>
    <w:unhideWhenUsed/>
    <w:rsid w:val="00D05D09"/>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7976482">
      <w:bodyDiv w:val="1"/>
      <w:marLeft w:val="0"/>
      <w:marRight w:val="0"/>
      <w:marTop w:val="0"/>
      <w:marBottom w:val="0"/>
      <w:divBdr>
        <w:top w:val="none" w:sz="0" w:space="0" w:color="auto"/>
        <w:left w:val="none" w:sz="0" w:space="0" w:color="auto"/>
        <w:bottom w:val="none" w:sz="0" w:space="0" w:color="auto"/>
        <w:right w:val="none" w:sz="0" w:space="0" w:color="auto"/>
      </w:divBdr>
    </w:div>
    <w:div w:id="85855862">
      <w:bodyDiv w:val="1"/>
      <w:marLeft w:val="0"/>
      <w:marRight w:val="0"/>
      <w:marTop w:val="0"/>
      <w:marBottom w:val="0"/>
      <w:divBdr>
        <w:top w:val="none" w:sz="0" w:space="0" w:color="auto"/>
        <w:left w:val="none" w:sz="0" w:space="0" w:color="auto"/>
        <w:bottom w:val="none" w:sz="0" w:space="0" w:color="auto"/>
        <w:right w:val="none" w:sz="0" w:space="0" w:color="auto"/>
      </w:divBdr>
    </w:div>
    <w:div w:id="98336600">
      <w:bodyDiv w:val="1"/>
      <w:marLeft w:val="0"/>
      <w:marRight w:val="0"/>
      <w:marTop w:val="0"/>
      <w:marBottom w:val="0"/>
      <w:divBdr>
        <w:top w:val="none" w:sz="0" w:space="0" w:color="auto"/>
        <w:left w:val="none" w:sz="0" w:space="0" w:color="auto"/>
        <w:bottom w:val="none" w:sz="0" w:space="0" w:color="auto"/>
        <w:right w:val="none" w:sz="0" w:space="0" w:color="auto"/>
      </w:divBdr>
    </w:div>
    <w:div w:id="181601148">
      <w:bodyDiv w:val="1"/>
      <w:marLeft w:val="0"/>
      <w:marRight w:val="0"/>
      <w:marTop w:val="0"/>
      <w:marBottom w:val="0"/>
      <w:divBdr>
        <w:top w:val="none" w:sz="0" w:space="0" w:color="auto"/>
        <w:left w:val="none" w:sz="0" w:space="0" w:color="auto"/>
        <w:bottom w:val="none" w:sz="0" w:space="0" w:color="auto"/>
        <w:right w:val="none" w:sz="0" w:space="0" w:color="auto"/>
      </w:divBdr>
      <w:divsChild>
        <w:div w:id="513572576">
          <w:marLeft w:val="0"/>
          <w:marRight w:val="0"/>
          <w:marTop w:val="0"/>
          <w:marBottom w:val="0"/>
          <w:divBdr>
            <w:top w:val="none" w:sz="0" w:space="0" w:color="auto"/>
            <w:left w:val="none" w:sz="0" w:space="0" w:color="auto"/>
            <w:bottom w:val="none" w:sz="0" w:space="0" w:color="auto"/>
            <w:right w:val="none" w:sz="0" w:space="0" w:color="auto"/>
          </w:divBdr>
        </w:div>
      </w:divsChild>
    </w:div>
    <w:div w:id="187456226">
      <w:bodyDiv w:val="1"/>
      <w:marLeft w:val="0"/>
      <w:marRight w:val="0"/>
      <w:marTop w:val="0"/>
      <w:marBottom w:val="0"/>
      <w:divBdr>
        <w:top w:val="none" w:sz="0" w:space="0" w:color="auto"/>
        <w:left w:val="none" w:sz="0" w:space="0" w:color="auto"/>
        <w:bottom w:val="none" w:sz="0" w:space="0" w:color="auto"/>
        <w:right w:val="none" w:sz="0" w:space="0" w:color="auto"/>
      </w:divBdr>
    </w:div>
    <w:div w:id="223033978">
      <w:bodyDiv w:val="1"/>
      <w:marLeft w:val="0"/>
      <w:marRight w:val="0"/>
      <w:marTop w:val="0"/>
      <w:marBottom w:val="0"/>
      <w:divBdr>
        <w:top w:val="none" w:sz="0" w:space="0" w:color="auto"/>
        <w:left w:val="none" w:sz="0" w:space="0" w:color="auto"/>
        <w:bottom w:val="none" w:sz="0" w:space="0" w:color="auto"/>
        <w:right w:val="none" w:sz="0" w:space="0" w:color="auto"/>
      </w:divBdr>
    </w:div>
    <w:div w:id="239756690">
      <w:bodyDiv w:val="1"/>
      <w:marLeft w:val="0"/>
      <w:marRight w:val="0"/>
      <w:marTop w:val="0"/>
      <w:marBottom w:val="0"/>
      <w:divBdr>
        <w:top w:val="none" w:sz="0" w:space="0" w:color="auto"/>
        <w:left w:val="none" w:sz="0" w:space="0" w:color="auto"/>
        <w:bottom w:val="none" w:sz="0" w:space="0" w:color="auto"/>
        <w:right w:val="none" w:sz="0" w:space="0" w:color="auto"/>
      </w:divBdr>
    </w:div>
    <w:div w:id="270624627">
      <w:bodyDiv w:val="1"/>
      <w:marLeft w:val="0"/>
      <w:marRight w:val="0"/>
      <w:marTop w:val="0"/>
      <w:marBottom w:val="0"/>
      <w:divBdr>
        <w:top w:val="none" w:sz="0" w:space="0" w:color="auto"/>
        <w:left w:val="none" w:sz="0" w:space="0" w:color="auto"/>
        <w:bottom w:val="none" w:sz="0" w:space="0" w:color="auto"/>
        <w:right w:val="none" w:sz="0" w:space="0" w:color="auto"/>
      </w:divBdr>
    </w:div>
    <w:div w:id="352846124">
      <w:bodyDiv w:val="1"/>
      <w:marLeft w:val="0"/>
      <w:marRight w:val="0"/>
      <w:marTop w:val="0"/>
      <w:marBottom w:val="0"/>
      <w:divBdr>
        <w:top w:val="none" w:sz="0" w:space="0" w:color="auto"/>
        <w:left w:val="none" w:sz="0" w:space="0" w:color="auto"/>
        <w:bottom w:val="none" w:sz="0" w:space="0" w:color="auto"/>
        <w:right w:val="none" w:sz="0" w:space="0" w:color="auto"/>
      </w:divBdr>
    </w:div>
    <w:div w:id="353070946">
      <w:bodyDiv w:val="1"/>
      <w:marLeft w:val="0"/>
      <w:marRight w:val="0"/>
      <w:marTop w:val="0"/>
      <w:marBottom w:val="0"/>
      <w:divBdr>
        <w:top w:val="none" w:sz="0" w:space="0" w:color="auto"/>
        <w:left w:val="none" w:sz="0" w:space="0" w:color="auto"/>
        <w:bottom w:val="none" w:sz="0" w:space="0" w:color="auto"/>
        <w:right w:val="none" w:sz="0" w:space="0" w:color="auto"/>
      </w:divBdr>
    </w:div>
    <w:div w:id="373432128">
      <w:bodyDiv w:val="1"/>
      <w:marLeft w:val="0"/>
      <w:marRight w:val="0"/>
      <w:marTop w:val="0"/>
      <w:marBottom w:val="0"/>
      <w:divBdr>
        <w:top w:val="none" w:sz="0" w:space="0" w:color="auto"/>
        <w:left w:val="none" w:sz="0" w:space="0" w:color="auto"/>
        <w:bottom w:val="none" w:sz="0" w:space="0" w:color="auto"/>
        <w:right w:val="none" w:sz="0" w:space="0" w:color="auto"/>
      </w:divBdr>
    </w:div>
    <w:div w:id="395933206">
      <w:bodyDiv w:val="1"/>
      <w:marLeft w:val="0"/>
      <w:marRight w:val="0"/>
      <w:marTop w:val="0"/>
      <w:marBottom w:val="0"/>
      <w:divBdr>
        <w:top w:val="none" w:sz="0" w:space="0" w:color="auto"/>
        <w:left w:val="none" w:sz="0" w:space="0" w:color="auto"/>
        <w:bottom w:val="none" w:sz="0" w:space="0" w:color="auto"/>
        <w:right w:val="none" w:sz="0" w:space="0" w:color="auto"/>
      </w:divBdr>
    </w:div>
    <w:div w:id="414859205">
      <w:bodyDiv w:val="1"/>
      <w:marLeft w:val="0"/>
      <w:marRight w:val="0"/>
      <w:marTop w:val="0"/>
      <w:marBottom w:val="0"/>
      <w:divBdr>
        <w:top w:val="none" w:sz="0" w:space="0" w:color="auto"/>
        <w:left w:val="none" w:sz="0" w:space="0" w:color="auto"/>
        <w:bottom w:val="none" w:sz="0" w:space="0" w:color="auto"/>
        <w:right w:val="none" w:sz="0" w:space="0" w:color="auto"/>
      </w:divBdr>
    </w:div>
    <w:div w:id="433668847">
      <w:bodyDiv w:val="1"/>
      <w:marLeft w:val="0"/>
      <w:marRight w:val="0"/>
      <w:marTop w:val="0"/>
      <w:marBottom w:val="0"/>
      <w:divBdr>
        <w:top w:val="none" w:sz="0" w:space="0" w:color="auto"/>
        <w:left w:val="none" w:sz="0" w:space="0" w:color="auto"/>
        <w:bottom w:val="none" w:sz="0" w:space="0" w:color="auto"/>
        <w:right w:val="none" w:sz="0" w:space="0" w:color="auto"/>
      </w:divBdr>
      <w:divsChild>
        <w:div w:id="175116129">
          <w:marLeft w:val="0"/>
          <w:marRight w:val="0"/>
          <w:marTop w:val="0"/>
          <w:marBottom w:val="0"/>
          <w:divBdr>
            <w:top w:val="none" w:sz="0" w:space="0" w:color="auto"/>
            <w:left w:val="none" w:sz="0" w:space="0" w:color="auto"/>
            <w:bottom w:val="none" w:sz="0" w:space="0" w:color="auto"/>
            <w:right w:val="none" w:sz="0" w:space="0" w:color="auto"/>
          </w:divBdr>
        </w:div>
      </w:divsChild>
    </w:div>
    <w:div w:id="490413185">
      <w:bodyDiv w:val="1"/>
      <w:marLeft w:val="0"/>
      <w:marRight w:val="0"/>
      <w:marTop w:val="0"/>
      <w:marBottom w:val="0"/>
      <w:divBdr>
        <w:top w:val="none" w:sz="0" w:space="0" w:color="auto"/>
        <w:left w:val="none" w:sz="0" w:space="0" w:color="auto"/>
        <w:bottom w:val="none" w:sz="0" w:space="0" w:color="auto"/>
        <w:right w:val="none" w:sz="0" w:space="0" w:color="auto"/>
      </w:divBdr>
    </w:div>
    <w:div w:id="501435379">
      <w:bodyDiv w:val="1"/>
      <w:marLeft w:val="0"/>
      <w:marRight w:val="0"/>
      <w:marTop w:val="0"/>
      <w:marBottom w:val="0"/>
      <w:divBdr>
        <w:top w:val="none" w:sz="0" w:space="0" w:color="auto"/>
        <w:left w:val="none" w:sz="0" w:space="0" w:color="auto"/>
        <w:bottom w:val="none" w:sz="0" w:space="0" w:color="auto"/>
        <w:right w:val="none" w:sz="0" w:space="0" w:color="auto"/>
      </w:divBdr>
    </w:div>
    <w:div w:id="520315030">
      <w:bodyDiv w:val="1"/>
      <w:marLeft w:val="0"/>
      <w:marRight w:val="0"/>
      <w:marTop w:val="0"/>
      <w:marBottom w:val="0"/>
      <w:divBdr>
        <w:top w:val="none" w:sz="0" w:space="0" w:color="auto"/>
        <w:left w:val="none" w:sz="0" w:space="0" w:color="auto"/>
        <w:bottom w:val="none" w:sz="0" w:space="0" w:color="auto"/>
        <w:right w:val="none" w:sz="0" w:space="0" w:color="auto"/>
      </w:divBdr>
    </w:div>
    <w:div w:id="529875535">
      <w:bodyDiv w:val="1"/>
      <w:marLeft w:val="0"/>
      <w:marRight w:val="0"/>
      <w:marTop w:val="0"/>
      <w:marBottom w:val="0"/>
      <w:divBdr>
        <w:top w:val="none" w:sz="0" w:space="0" w:color="auto"/>
        <w:left w:val="none" w:sz="0" w:space="0" w:color="auto"/>
        <w:bottom w:val="none" w:sz="0" w:space="0" w:color="auto"/>
        <w:right w:val="none" w:sz="0" w:space="0" w:color="auto"/>
      </w:divBdr>
    </w:div>
    <w:div w:id="556278711">
      <w:bodyDiv w:val="1"/>
      <w:marLeft w:val="0"/>
      <w:marRight w:val="0"/>
      <w:marTop w:val="0"/>
      <w:marBottom w:val="0"/>
      <w:divBdr>
        <w:top w:val="none" w:sz="0" w:space="0" w:color="auto"/>
        <w:left w:val="none" w:sz="0" w:space="0" w:color="auto"/>
        <w:bottom w:val="none" w:sz="0" w:space="0" w:color="auto"/>
        <w:right w:val="none" w:sz="0" w:space="0" w:color="auto"/>
      </w:divBdr>
    </w:div>
    <w:div w:id="608121687">
      <w:bodyDiv w:val="1"/>
      <w:marLeft w:val="0"/>
      <w:marRight w:val="0"/>
      <w:marTop w:val="0"/>
      <w:marBottom w:val="0"/>
      <w:divBdr>
        <w:top w:val="none" w:sz="0" w:space="0" w:color="auto"/>
        <w:left w:val="none" w:sz="0" w:space="0" w:color="auto"/>
        <w:bottom w:val="none" w:sz="0" w:space="0" w:color="auto"/>
        <w:right w:val="none" w:sz="0" w:space="0" w:color="auto"/>
      </w:divBdr>
    </w:div>
    <w:div w:id="630942178">
      <w:bodyDiv w:val="1"/>
      <w:marLeft w:val="0"/>
      <w:marRight w:val="0"/>
      <w:marTop w:val="0"/>
      <w:marBottom w:val="0"/>
      <w:divBdr>
        <w:top w:val="none" w:sz="0" w:space="0" w:color="auto"/>
        <w:left w:val="none" w:sz="0" w:space="0" w:color="auto"/>
        <w:bottom w:val="none" w:sz="0" w:space="0" w:color="auto"/>
        <w:right w:val="none" w:sz="0" w:space="0" w:color="auto"/>
      </w:divBdr>
    </w:div>
    <w:div w:id="685014703">
      <w:bodyDiv w:val="1"/>
      <w:marLeft w:val="0"/>
      <w:marRight w:val="0"/>
      <w:marTop w:val="0"/>
      <w:marBottom w:val="0"/>
      <w:divBdr>
        <w:top w:val="none" w:sz="0" w:space="0" w:color="auto"/>
        <w:left w:val="none" w:sz="0" w:space="0" w:color="auto"/>
        <w:bottom w:val="none" w:sz="0" w:space="0" w:color="auto"/>
        <w:right w:val="none" w:sz="0" w:space="0" w:color="auto"/>
      </w:divBdr>
    </w:div>
    <w:div w:id="741761040">
      <w:bodyDiv w:val="1"/>
      <w:marLeft w:val="0"/>
      <w:marRight w:val="0"/>
      <w:marTop w:val="0"/>
      <w:marBottom w:val="0"/>
      <w:divBdr>
        <w:top w:val="none" w:sz="0" w:space="0" w:color="auto"/>
        <w:left w:val="none" w:sz="0" w:space="0" w:color="auto"/>
        <w:bottom w:val="none" w:sz="0" w:space="0" w:color="auto"/>
        <w:right w:val="none" w:sz="0" w:space="0" w:color="auto"/>
      </w:divBdr>
    </w:div>
    <w:div w:id="843399469">
      <w:bodyDiv w:val="1"/>
      <w:marLeft w:val="0"/>
      <w:marRight w:val="0"/>
      <w:marTop w:val="0"/>
      <w:marBottom w:val="0"/>
      <w:divBdr>
        <w:top w:val="none" w:sz="0" w:space="0" w:color="auto"/>
        <w:left w:val="none" w:sz="0" w:space="0" w:color="auto"/>
        <w:bottom w:val="none" w:sz="0" w:space="0" w:color="auto"/>
        <w:right w:val="none" w:sz="0" w:space="0" w:color="auto"/>
      </w:divBdr>
    </w:div>
    <w:div w:id="909509332">
      <w:bodyDiv w:val="1"/>
      <w:marLeft w:val="0"/>
      <w:marRight w:val="0"/>
      <w:marTop w:val="0"/>
      <w:marBottom w:val="0"/>
      <w:divBdr>
        <w:top w:val="none" w:sz="0" w:space="0" w:color="auto"/>
        <w:left w:val="none" w:sz="0" w:space="0" w:color="auto"/>
        <w:bottom w:val="none" w:sz="0" w:space="0" w:color="auto"/>
        <w:right w:val="none" w:sz="0" w:space="0" w:color="auto"/>
      </w:divBdr>
    </w:div>
    <w:div w:id="1060790101">
      <w:bodyDiv w:val="1"/>
      <w:marLeft w:val="0"/>
      <w:marRight w:val="0"/>
      <w:marTop w:val="0"/>
      <w:marBottom w:val="0"/>
      <w:divBdr>
        <w:top w:val="none" w:sz="0" w:space="0" w:color="auto"/>
        <w:left w:val="none" w:sz="0" w:space="0" w:color="auto"/>
        <w:bottom w:val="none" w:sz="0" w:space="0" w:color="auto"/>
        <w:right w:val="none" w:sz="0" w:space="0" w:color="auto"/>
      </w:divBdr>
    </w:div>
    <w:div w:id="1088623702">
      <w:bodyDiv w:val="1"/>
      <w:marLeft w:val="0"/>
      <w:marRight w:val="0"/>
      <w:marTop w:val="0"/>
      <w:marBottom w:val="0"/>
      <w:divBdr>
        <w:top w:val="none" w:sz="0" w:space="0" w:color="auto"/>
        <w:left w:val="none" w:sz="0" w:space="0" w:color="auto"/>
        <w:bottom w:val="none" w:sz="0" w:space="0" w:color="auto"/>
        <w:right w:val="none" w:sz="0" w:space="0" w:color="auto"/>
      </w:divBdr>
    </w:div>
    <w:div w:id="1096629993">
      <w:bodyDiv w:val="1"/>
      <w:marLeft w:val="0"/>
      <w:marRight w:val="0"/>
      <w:marTop w:val="0"/>
      <w:marBottom w:val="0"/>
      <w:divBdr>
        <w:top w:val="none" w:sz="0" w:space="0" w:color="auto"/>
        <w:left w:val="none" w:sz="0" w:space="0" w:color="auto"/>
        <w:bottom w:val="none" w:sz="0" w:space="0" w:color="auto"/>
        <w:right w:val="none" w:sz="0" w:space="0" w:color="auto"/>
      </w:divBdr>
    </w:div>
    <w:div w:id="1124081818">
      <w:bodyDiv w:val="1"/>
      <w:marLeft w:val="0"/>
      <w:marRight w:val="0"/>
      <w:marTop w:val="0"/>
      <w:marBottom w:val="0"/>
      <w:divBdr>
        <w:top w:val="none" w:sz="0" w:space="0" w:color="auto"/>
        <w:left w:val="none" w:sz="0" w:space="0" w:color="auto"/>
        <w:bottom w:val="none" w:sz="0" w:space="0" w:color="auto"/>
        <w:right w:val="none" w:sz="0" w:space="0" w:color="auto"/>
      </w:divBdr>
    </w:div>
    <w:div w:id="1148747160">
      <w:bodyDiv w:val="1"/>
      <w:marLeft w:val="0"/>
      <w:marRight w:val="0"/>
      <w:marTop w:val="0"/>
      <w:marBottom w:val="0"/>
      <w:divBdr>
        <w:top w:val="none" w:sz="0" w:space="0" w:color="auto"/>
        <w:left w:val="none" w:sz="0" w:space="0" w:color="auto"/>
        <w:bottom w:val="none" w:sz="0" w:space="0" w:color="auto"/>
        <w:right w:val="none" w:sz="0" w:space="0" w:color="auto"/>
      </w:divBdr>
    </w:div>
    <w:div w:id="1253780462">
      <w:bodyDiv w:val="1"/>
      <w:marLeft w:val="0"/>
      <w:marRight w:val="0"/>
      <w:marTop w:val="0"/>
      <w:marBottom w:val="0"/>
      <w:divBdr>
        <w:top w:val="none" w:sz="0" w:space="0" w:color="auto"/>
        <w:left w:val="none" w:sz="0" w:space="0" w:color="auto"/>
        <w:bottom w:val="none" w:sz="0" w:space="0" w:color="auto"/>
        <w:right w:val="none" w:sz="0" w:space="0" w:color="auto"/>
      </w:divBdr>
    </w:div>
    <w:div w:id="1306230781">
      <w:bodyDiv w:val="1"/>
      <w:marLeft w:val="0"/>
      <w:marRight w:val="0"/>
      <w:marTop w:val="0"/>
      <w:marBottom w:val="0"/>
      <w:divBdr>
        <w:top w:val="none" w:sz="0" w:space="0" w:color="auto"/>
        <w:left w:val="none" w:sz="0" w:space="0" w:color="auto"/>
        <w:bottom w:val="none" w:sz="0" w:space="0" w:color="auto"/>
        <w:right w:val="none" w:sz="0" w:space="0" w:color="auto"/>
      </w:divBdr>
    </w:div>
    <w:div w:id="1310020528">
      <w:bodyDiv w:val="1"/>
      <w:marLeft w:val="0"/>
      <w:marRight w:val="0"/>
      <w:marTop w:val="0"/>
      <w:marBottom w:val="0"/>
      <w:divBdr>
        <w:top w:val="none" w:sz="0" w:space="0" w:color="auto"/>
        <w:left w:val="none" w:sz="0" w:space="0" w:color="auto"/>
        <w:bottom w:val="none" w:sz="0" w:space="0" w:color="auto"/>
        <w:right w:val="none" w:sz="0" w:space="0" w:color="auto"/>
      </w:divBdr>
    </w:div>
    <w:div w:id="1378041906">
      <w:bodyDiv w:val="1"/>
      <w:marLeft w:val="0"/>
      <w:marRight w:val="0"/>
      <w:marTop w:val="0"/>
      <w:marBottom w:val="0"/>
      <w:divBdr>
        <w:top w:val="none" w:sz="0" w:space="0" w:color="auto"/>
        <w:left w:val="none" w:sz="0" w:space="0" w:color="auto"/>
        <w:bottom w:val="none" w:sz="0" w:space="0" w:color="auto"/>
        <w:right w:val="none" w:sz="0" w:space="0" w:color="auto"/>
      </w:divBdr>
    </w:div>
    <w:div w:id="1430420338">
      <w:bodyDiv w:val="1"/>
      <w:marLeft w:val="0"/>
      <w:marRight w:val="0"/>
      <w:marTop w:val="0"/>
      <w:marBottom w:val="0"/>
      <w:divBdr>
        <w:top w:val="none" w:sz="0" w:space="0" w:color="auto"/>
        <w:left w:val="none" w:sz="0" w:space="0" w:color="auto"/>
        <w:bottom w:val="none" w:sz="0" w:space="0" w:color="auto"/>
        <w:right w:val="none" w:sz="0" w:space="0" w:color="auto"/>
      </w:divBdr>
    </w:div>
    <w:div w:id="1436905670">
      <w:bodyDiv w:val="1"/>
      <w:marLeft w:val="0"/>
      <w:marRight w:val="0"/>
      <w:marTop w:val="0"/>
      <w:marBottom w:val="0"/>
      <w:divBdr>
        <w:top w:val="none" w:sz="0" w:space="0" w:color="auto"/>
        <w:left w:val="none" w:sz="0" w:space="0" w:color="auto"/>
        <w:bottom w:val="none" w:sz="0" w:space="0" w:color="auto"/>
        <w:right w:val="none" w:sz="0" w:space="0" w:color="auto"/>
      </w:divBdr>
    </w:div>
    <w:div w:id="1509560738">
      <w:bodyDiv w:val="1"/>
      <w:marLeft w:val="0"/>
      <w:marRight w:val="0"/>
      <w:marTop w:val="0"/>
      <w:marBottom w:val="0"/>
      <w:divBdr>
        <w:top w:val="none" w:sz="0" w:space="0" w:color="auto"/>
        <w:left w:val="none" w:sz="0" w:space="0" w:color="auto"/>
        <w:bottom w:val="none" w:sz="0" w:space="0" w:color="auto"/>
        <w:right w:val="none" w:sz="0" w:space="0" w:color="auto"/>
      </w:divBdr>
    </w:div>
    <w:div w:id="1527451539">
      <w:bodyDiv w:val="1"/>
      <w:marLeft w:val="0"/>
      <w:marRight w:val="0"/>
      <w:marTop w:val="0"/>
      <w:marBottom w:val="0"/>
      <w:divBdr>
        <w:top w:val="none" w:sz="0" w:space="0" w:color="auto"/>
        <w:left w:val="none" w:sz="0" w:space="0" w:color="auto"/>
        <w:bottom w:val="none" w:sz="0" w:space="0" w:color="auto"/>
        <w:right w:val="none" w:sz="0" w:space="0" w:color="auto"/>
      </w:divBdr>
    </w:div>
    <w:div w:id="1545601963">
      <w:bodyDiv w:val="1"/>
      <w:marLeft w:val="0"/>
      <w:marRight w:val="0"/>
      <w:marTop w:val="0"/>
      <w:marBottom w:val="0"/>
      <w:divBdr>
        <w:top w:val="none" w:sz="0" w:space="0" w:color="auto"/>
        <w:left w:val="none" w:sz="0" w:space="0" w:color="auto"/>
        <w:bottom w:val="none" w:sz="0" w:space="0" w:color="auto"/>
        <w:right w:val="none" w:sz="0" w:space="0" w:color="auto"/>
      </w:divBdr>
    </w:div>
    <w:div w:id="1595746023">
      <w:bodyDiv w:val="1"/>
      <w:marLeft w:val="0"/>
      <w:marRight w:val="0"/>
      <w:marTop w:val="0"/>
      <w:marBottom w:val="0"/>
      <w:divBdr>
        <w:top w:val="none" w:sz="0" w:space="0" w:color="auto"/>
        <w:left w:val="none" w:sz="0" w:space="0" w:color="auto"/>
        <w:bottom w:val="none" w:sz="0" w:space="0" w:color="auto"/>
        <w:right w:val="none" w:sz="0" w:space="0" w:color="auto"/>
      </w:divBdr>
    </w:div>
    <w:div w:id="1609703209">
      <w:bodyDiv w:val="1"/>
      <w:marLeft w:val="0"/>
      <w:marRight w:val="0"/>
      <w:marTop w:val="0"/>
      <w:marBottom w:val="0"/>
      <w:divBdr>
        <w:top w:val="none" w:sz="0" w:space="0" w:color="auto"/>
        <w:left w:val="none" w:sz="0" w:space="0" w:color="auto"/>
        <w:bottom w:val="none" w:sz="0" w:space="0" w:color="auto"/>
        <w:right w:val="none" w:sz="0" w:space="0" w:color="auto"/>
      </w:divBdr>
    </w:div>
    <w:div w:id="1676305343">
      <w:bodyDiv w:val="1"/>
      <w:marLeft w:val="0"/>
      <w:marRight w:val="0"/>
      <w:marTop w:val="0"/>
      <w:marBottom w:val="0"/>
      <w:divBdr>
        <w:top w:val="none" w:sz="0" w:space="0" w:color="auto"/>
        <w:left w:val="none" w:sz="0" w:space="0" w:color="auto"/>
        <w:bottom w:val="none" w:sz="0" w:space="0" w:color="auto"/>
        <w:right w:val="none" w:sz="0" w:space="0" w:color="auto"/>
      </w:divBdr>
    </w:div>
    <w:div w:id="1693218568">
      <w:bodyDiv w:val="1"/>
      <w:marLeft w:val="0"/>
      <w:marRight w:val="0"/>
      <w:marTop w:val="0"/>
      <w:marBottom w:val="0"/>
      <w:divBdr>
        <w:top w:val="none" w:sz="0" w:space="0" w:color="auto"/>
        <w:left w:val="none" w:sz="0" w:space="0" w:color="auto"/>
        <w:bottom w:val="none" w:sz="0" w:space="0" w:color="auto"/>
        <w:right w:val="none" w:sz="0" w:space="0" w:color="auto"/>
      </w:divBdr>
    </w:div>
    <w:div w:id="1697921342">
      <w:bodyDiv w:val="1"/>
      <w:marLeft w:val="0"/>
      <w:marRight w:val="0"/>
      <w:marTop w:val="0"/>
      <w:marBottom w:val="0"/>
      <w:divBdr>
        <w:top w:val="none" w:sz="0" w:space="0" w:color="auto"/>
        <w:left w:val="none" w:sz="0" w:space="0" w:color="auto"/>
        <w:bottom w:val="none" w:sz="0" w:space="0" w:color="auto"/>
        <w:right w:val="none" w:sz="0" w:space="0" w:color="auto"/>
      </w:divBdr>
    </w:div>
    <w:div w:id="1711153312">
      <w:bodyDiv w:val="1"/>
      <w:marLeft w:val="0"/>
      <w:marRight w:val="0"/>
      <w:marTop w:val="0"/>
      <w:marBottom w:val="0"/>
      <w:divBdr>
        <w:top w:val="none" w:sz="0" w:space="0" w:color="auto"/>
        <w:left w:val="none" w:sz="0" w:space="0" w:color="auto"/>
        <w:bottom w:val="none" w:sz="0" w:space="0" w:color="auto"/>
        <w:right w:val="none" w:sz="0" w:space="0" w:color="auto"/>
      </w:divBdr>
    </w:div>
    <w:div w:id="1805270571">
      <w:bodyDiv w:val="1"/>
      <w:marLeft w:val="0"/>
      <w:marRight w:val="0"/>
      <w:marTop w:val="0"/>
      <w:marBottom w:val="0"/>
      <w:divBdr>
        <w:top w:val="none" w:sz="0" w:space="0" w:color="auto"/>
        <w:left w:val="none" w:sz="0" w:space="0" w:color="auto"/>
        <w:bottom w:val="none" w:sz="0" w:space="0" w:color="auto"/>
        <w:right w:val="none" w:sz="0" w:space="0" w:color="auto"/>
      </w:divBdr>
    </w:div>
    <w:div w:id="1857305111">
      <w:bodyDiv w:val="1"/>
      <w:marLeft w:val="0"/>
      <w:marRight w:val="0"/>
      <w:marTop w:val="0"/>
      <w:marBottom w:val="0"/>
      <w:divBdr>
        <w:top w:val="none" w:sz="0" w:space="0" w:color="auto"/>
        <w:left w:val="none" w:sz="0" w:space="0" w:color="auto"/>
        <w:bottom w:val="none" w:sz="0" w:space="0" w:color="auto"/>
        <w:right w:val="none" w:sz="0" w:space="0" w:color="auto"/>
      </w:divBdr>
    </w:div>
    <w:div w:id="1960068785">
      <w:bodyDiv w:val="1"/>
      <w:marLeft w:val="0"/>
      <w:marRight w:val="0"/>
      <w:marTop w:val="0"/>
      <w:marBottom w:val="0"/>
      <w:divBdr>
        <w:top w:val="none" w:sz="0" w:space="0" w:color="auto"/>
        <w:left w:val="none" w:sz="0" w:space="0" w:color="auto"/>
        <w:bottom w:val="none" w:sz="0" w:space="0" w:color="auto"/>
        <w:right w:val="none" w:sz="0" w:space="0" w:color="auto"/>
      </w:divBdr>
    </w:div>
    <w:div w:id="2046707612">
      <w:bodyDiv w:val="1"/>
      <w:marLeft w:val="0"/>
      <w:marRight w:val="0"/>
      <w:marTop w:val="0"/>
      <w:marBottom w:val="0"/>
      <w:divBdr>
        <w:top w:val="none" w:sz="0" w:space="0" w:color="auto"/>
        <w:left w:val="none" w:sz="0" w:space="0" w:color="auto"/>
        <w:bottom w:val="none" w:sz="0" w:space="0" w:color="auto"/>
        <w:right w:val="none" w:sz="0" w:space="0" w:color="auto"/>
      </w:divBdr>
    </w:div>
    <w:div w:id="2075663622">
      <w:bodyDiv w:val="1"/>
      <w:marLeft w:val="0"/>
      <w:marRight w:val="0"/>
      <w:marTop w:val="0"/>
      <w:marBottom w:val="0"/>
      <w:divBdr>
        <w:top w:val="none" w:sz="0" w:space="0" w:color="auto"/>
        <w:left w:val="none" w:sz="0" w:space="0" w:color="auto"/>
        <w:bottom w:val="none" w:sz="0" w:space="0" w:color="auto"/>
        <w:right w:val="none" w:sz="0" w:space="0" w:color="auto"/>
      </w:divBdr>
    </w:div>
    <w:div w:id="2103332321">
      <w:bodyDiv w:val="1"/>
      <w:marLeft w:val="0"/>
      <w:marRight w:val="0"/>
      <w:marTop w:val="0"/>
      <w:marBottom w:val="0"/>
      <w:divBdr>
        <w:top w:val="none" w:sz="0" w:space="0" w:color="auto"/>
        <w:left w:val="none" w:sz="0" w:space="0" w:color="auto"/>
        <w:bottom w:val="none" w:sz="0" w:space="0" w:color="auto"/>
        <w:right w:val="none" w:sz="0" w:space="0" w:color="auto"/>
      </w:divBdr>
    </w:div>
    <w:div w:id="21170229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26" Type="http://schemas.openxmlformats.org/officeDocument/2006/relationships/hyperlink" Target="https://escholarship.org/uc/item/8sb2623g" TargetMode="External"/><Relationship Id="rId21" Type="http://schemas.openxmlformats.org/officeDocument/2006/relationships/image" Target="media/image12.png"/><Relationship Id="rId42" Type="http://schemas.openxmlformats.org/officeDocument/2006/relationships/hyperlink" Target="https://doi:.org/10.1086/209983" TargetMode="External"/><Relationship Id="rId47" Type="http://schemas.openxmlformats.org/officeDocument/2006/relationships/hyperlink" Target="https://scholarship.law.upenn.edu/jbl/vol3/iss3/5" TargetMode="External"/><Relationship Id="rId63" Type="http://schemas.openxmlformats.org/officeDocument/2006/relationships/hyperlink" Target="https://doi.org/10.5937/Rev1885059M" TargetMode="External"/><Relationship Id="rId68" Type="http://schemas.openxmlformats.org/officeDocument/2006/relationships/hyperlink" Target="https://papers.ssrn.com/sol3/papers.cfm?abstract_id=3667152" TargetMode="External"/><Relationship Id="rId84" Type="http://schemas.openxmlformats.org/officeDocument/2006/relationships/image" Target="media/image16.png"/><Relationship Id="rId16" Type="http://schemas.openxmlformats.org/officeDocument/2006/relationships/image" Target="media/image7.png"/><Relationship Id="rId11" Type="http://schemas.openxmlformats.org/officeDocument/2006/relationships/footer" Target="footer1.xml"/><Relationship Id="rId32" Type="http://schemas.openxmlformats.org/officeDocument/2006/relationships/hyperlink" Target="https://doi.org/10.2806/148735" TargetMode="External"/><Relationship Id="rId37" Type="http://schemas.openxmlformats.org/officeDocument/2006/relationships/hyperlink" Target="https://broadvoiceproject.eu/wp-content/uploads/2025/01/D3.1_National-Report-Slovenia.pdf" TargetMode="External"/><Relationship Id="rId53" Type="http://schemas.openxmlformats.org/officeDocument/2006/relationships/hyperlink" Target="https://doi.org/10.18045/zbefri.2020.2.521" TargetMode="External"/><Relationship Id="rId58" Type="http://schemas.openxmlformats.org/officeDocument/2006/relationships/hyperlink" Target="https://doi.org/10.55836/PiP_22404A" TargetMode="External"/><Relationship Id="rId74" Type="http://schemas.openxmlformats.org/officeDocument/2006/relationships/hyperlink" Target="https://doi.org/10.5937/spz65-33361" TargetMode="External"/><Relationship Id="rId79" Type="http://schemas.openxmlformats.org/officeDocument/2006/relationships/hyperlink" Target="https://www.crhov.rs/" TargetMode="External"/><Relationship Id="rId5" Type="http://schemas.openxmlformats.org/officeDocument/2006/relationships/webSettings" Target="webSettings.xml"/><Relationship Id="rId19" Type="http://schemas.openxmlformats.org/officeDocument/2006/relationships/image" Target="media/image10.jpeg"/><Relationship Id="rId14" Type="http://schemas.openxmlformats.org/officeDocument/2006/relationships/image" Target="media/image5.png"/><Relationship Id="rId22" Type="http://schemas.openxmlformats.org/officeDocument/2006/relationships/hyperlink" Target="https://doi.org/10.1177/0143831X14559784" TargetMode="External"/><Relationship Id="rId27" Type="http://schemas.openxmlformats.org/officeDocument/2006/relationships/hyperlink" Target="https://www.bls.gov/news.release/pdf/union2.pdf" TargetMode="External"/><Relationship Id="rId30" Type="http://schemas.openxmlformats.org/officeDocument/2006/relationships/hyperlink" Target="https://jlp.ibupress.com/uploads/2025/05/ibu_journal_jlp_6-1_10.pdf" TargetMode="External"/><Relationship Id="rId35" Type="http://schemas.openxmlformats.org/officeDocument/2006/relationships/hyperlink" Target="https://doi.org/10.1016/j.jfineco.2005.10.005" TargetMode="External"/><Relationship Id="rId43" Type="http://schemas.openxmlformats.org/officeDocument/2006/relationships/hyperlink" Target="https://doi.org/10.2307/3311682" TargetMode="External"/><Relationship Id="rId48" Type="http://schemas.openxmlformats.org/officeDocument/2006/relationships/hyperlink" Target="https://doi.org/10.1093/qje/qjaa038" TargetMode="External"/><Relationship Id="rId56" Type="http://schemas.openxmlformats.org/officeDocument/2006/relationships/hyperlink" Target="https://www.ineteconomics.org/uploads/papers/WP_111-Lazonick-Penrose-Neoclassical-Fallacy.pdf" TargetMode="External"/><Relationship Id="rId64" Type="http://schemas.openxmlformats.org/officeDocument/2006/relationships/hyperlink" Target="https://doi.org/10.1093/cje/24.4.393" TargetMode="External"/><Relationship Id="rId69" Type="http://schemas.openxmlformats.org/officeDocument/2006/relationships/hyperlink" Target="https://doi.org/10.1093/psquar/qqad008" TargetMode="External"/><Relationship Id="rId77" Type="http://schemas.openxmlformats.org/officeDocument/2006/relationships/hyperlink" Target="https://onezero.medium.com/prop-22-where-do-gig-workers-go-from-here-e6eaa3ee2324" TargetMode="External"/><Relationship Id="rId8" Type="http://schemas.openxmlformats.org/officeDocument/2006/relationships/image" Target="media/image1.jpeg"/><Relationship Id="rId51" Type="http://schemas.openxmlformats.org/officeDocument/2006/relationships/hyperlink" Target="https://ceelegalmatters.com/Magazines/Guides/CEELegalMatters_ComparativeGuide_CorporateGovernance2023_Slovenia.pdf" TargetMode="External"/><Relationship Id="rId72" Type="http://schemas.openxmlformats.org/officeDocument/2006/relationships/hyperlink" Target="https://doi.org/10.56461/SPZ_24202KJ" TargetMode="External"/><Relationship Id="rId80" Type="http://schemas.openxmlformats.org/officeDocument/2006/relationships/hyperlink" Target="https://ir.nis.rs/akcije-i-dividenda/akcije-i-vlasnicka-struktura/" TargetMode="External"/><Relationship Id="rId85" Type="http://schemas.openxmlformats.org/officeDocument/2006/relationships/image" Target="media/image17.png"/><Relationship Id="rId3" Type="http://schemas.openxmlformats.org/officeDocument/2006/relationships/styles" Target="styles.xml"/><Relationship Id="rId12" Type="http://schemas.openxmlformats.org/officeDocument/2006/relationships/footer" Target="footer2.xml"/><Relationship Id="rId17" Type="http://schemas.openxmlformats.org/officeDocument/2006/relationships/image" Target="media/image8.jpeg"/><Relationship Id="rId25" Type="http://schemas.openxmlformats.org/officeDocument/2006/relationships/hyperlink" Target="https://doi.org/10.1177/0486613418807286" TargetMode="External"/><Relationship Id="rId33" Type="http://schemas.openxmlformats.org/officeDocument/2006/relationships/hyperlink" Target="https://doi.org/10.2806/522792" TargetMode="External"/><Relationship Id="rId38" Type="http://schemas.openxmlformats.org/officeDocument/2006/relationships/hyperlink" Target="https://www.researchgate.net/profile/Dimitar-Gelev/publication/321772811_DOSADASNJA_ISKUSTVA_U_HARMONIZACI_PRAVA_ZEMALJA_BIVSE_JUGOSLAVIJE_SA_PRAVOM_EVROPSKE_UNIJE/links/5ee03c4a92851cf1386f49d5/DOSADASNJA-ISKUSTVA-U-HARMONIZACI-PRAVA-ZEMALJA-BIVSE-JUGOSLAVIJE-SA-PRAVOM-EVROPSKE-UNIJE.pdf?origin=journalDetail&amp;_tp=eyJwYWdlIjoiam91cm5hbERldGFpbCJ9" TargetMode="External"/><Relationship Id="rId46" Type="http://schemas.openxmlformats.org/officeDocument/2006/relationships/hyperlink" Target="https://doi.org/10.1093/cje/ben040" TargetMode="External"/><Relationship Id="rId59" Type="http://schemas.openxmlformats.org/officeDocument/2006/relationships/hyperlink" Target="https://heinonline.org/HOL/LandingPage?handle=hein.journals/hlpron12&amp;div=3&amp;id=&amp;page=" TargetMode="External"/><Relationship Id="rId67" Type="http://schemas.openxmlformats.org/officeDocument/2006/relationships/hyperlink" Target="https://doi.org/10.1177/1024529420934641" TargetMode="External"/><Relationship Id="rId20" Type="http://schemas.openxmlformats.org/officeDocument/2006/relationships/image" Target="media/image11.png"/><Relationship Id="rId41" Type="http://schemas.openxmlformats.org/officeDocument/2006/relationships/hyperlink" Target="https://digitalcommons.law.yale.edu/fss_papers/5037" TargetMode="External"/><Relationship Id="rId54" Type="http://schemas.openxmlformats.org/officeDocument/2006/relationships/hyperlink" Target="https://doi.org/10.1080/14735970.2020.1735161" TargetMode="External"/><Relationship Id="rId62" Type="http://schemas.openxmlformats.org/officeDocument/2006/relationships/hyperlink" Target="https://doi.org/10.31228/osf.io/sb3zp" TargetMode="External"/><Relationship Id="rId70" Type="http://schemas.openxmlformats.org/officeDocument/2006/relationships/hyperlink" Target="https://doi.org/10.24297/jssr.v10i2.4731" TargetMode="External"/><Relationship Id="rId75" Type="http://schemas.openxmlformats.org/officeDocument/2006/relationships/hyperlink" Target="https://doi.org/10.2139/ssrn.2380661" TargetMode="External"/><Relationship Id="rId83" Type="http://schemas.openxmlformats.org/officeDocument/2006/relationships/image" Target="media/image15.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hyperlink" Target="https://doi.org/10.1109/emr.1975.4306431" TargetMode="External"/><Relationship Id="rId28" Type="http://schemas.openxmlformats.org/officeDocument/2006/relationships/hyperlink" Target="https://www.businessroundtable.org/" TargetMode="External"/><Relationship Id="rId36" Type="http://schemas.openxmlformats.org/officeDocument/2006/relationships/hyperlink" Target="https://www.federalreserve.gov/releases/z1/dataviz/dfa/index.html" TargetMode="External"/><Relationship Id="rId49" Type="http://schemas.openxmlformats.org/officeDocument/2006/relationships/hyperlink" Target="https://doi.org/10.1016/0304-405X(76)90026-X" TargetMode="External"/><Relationship Id="rId57" Type="http://schemas.openxmlformats.org/officeDocument/2006/relationships/hyperlink" Target="https://doi.org/10.1080/030851400360541" TargetMode="External"/><Relationship Id="rId10" Type="http://schemas.openxmlformats.org/officeDocument/2006/relationships/image" Target="media/image3.png"/><Relationship Id="rId31" Type="http://schemas.openxmlformats.org/officeDocument/2006/relationships/hyperlink" Target="https://js.ugd.edu.mk/index.php/scgw/en/article/view/7724/5913" TargetMode="External"/><Relationship Id="rId44" Type="http://schemas.openxmlformats.org/officeDocument/2006/relationships/hyperlink" Target="https://doi.org/10.54394/FCZB5305" TargetMode="External"/><Relationship Id="rId52" Type="http://schemas.openxmlformats.org/officeDocument/2006/relationships/hyperlink" Target="https://www.researchgate.net/publication/370638141" TargetMode="External"/><Relationship Id="rId60" Type="http://schemas.openxmlformats.org/officeDocument/2006/relationships/hyperlink" Target="https://doi:.org/10.1086/669499" TargetMode="External"/><Relationship Id="rId65" Type="http://schemas.openxmlformats.org/officeDocument/2006/relationships/hyperlink" Target="https://odvjetnik-bistrovic.hr/en/practice-areas/corporate-law/" TargetMode="External"/><Relationship Id="rId73" Type="http://schemas.openxmlformats.org/officeDocument/2006/relationships/hyperlink" Target="https://hrcak.srce.hr/33835" TargetMode="External"/><Relationship Id="rId78" Type="http://schemas.openxmlformats.org/officeDocument/2006/relationships/hyperlink" Target="https://dejure.mk/zakon/zakon-za-obligacionite-odnosi" TargetMode="External"/><Relationship Id="rId81" Type="http://schemas.openxmlformats.org/officeDocument/2006/relationships/image" Target="media/image13.png"/><Relationship Id="rId86"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png"/><Relationship Id="rId13" Type="http://schemas.openxmlformats.org/officeDocument/2006/relationships/image" Target="media/image4.png"/><Relationship Id="rId18" Type="http://schemas.openxmlformats.org/officeDocument/2006/relationships/image" Target="media/image9.jpeg"/><Relationship Id="rId39" Type="http://schemas.openxmlformats.org/officeDocument/2006/relationships/hyperlink" Target="https://www.academia.edu/84821493/%D0%98%D0%B7%D0%B2%D1%80%D1%88%D0%BD%D0%B8_%D0%B4%D0%B8%D1%80%D0%B5%D0%BA%D1%82%D0%BE%D1%80%D0%B8" TargetMode="External"/><Relationship Id="rId34" Type="http://schemas.openxmlformats.org/officeDocument/2006/relationships/hyperlink" Target="https://doi.org/10.3386/w24587" TargetMode="External"/><Relationship Id="rId50" Type="http://schemas.openxmlformats.org/officeDocument/2006/relationships/hyperlink" Target="https://bcorporation.net/news/today-we-put-forward-policy-agenda-systems-change" TargetMode="External"/><Relationship Id="rId55" Type="http://schemas.openxmlformats.org/officeDocument/2006/relationships/hyperlink" Target="https://hbr.org/2014/09/profits-without-prosperity" TargetMode="External"/><Relationship Id="rId76" Type="http://schemas.openxmlformats.org/officeDocument/2006/relationships/hyperlink" Target="https://media.frc.org.uk/documents/The_Wates_Corporate_Governance_Principles_for_Large_Private_Companies.pdf" TargetMode="External"/><Relationship Id="rId7" Type="http://schemas.openxmlformats.org/officeDocument/2006/relationships/endnotes" Target="endnotes.xml"/><Relationship Id="rId71" Type="http://schemas.openxmlformats.org/officeDocument/2006/relationships/hyperlink" Target="https://doi.org/10.1177%2F0959680119837101" TargetMode="External"/><Relationship Id="rId2" Type="http://schemas.openxmlformats.org/officeDocument/2006/relationships/numbering" Target="numbering.xml"/><Relationship Id="rId29" Type="http://schemas.openxmlformats.org/officeDocument/2006/relationships/hyperlink" Target="https://www.hippocampus.si/ISBN/978-961-7023-31-0.pdf" TargetMode="External"/><Relationship Id="rId24" Type="http://schemas.openxmlformats.org/officeDocument/2006/relationships/hyperlink" Target="https://doi.org/10.22495/cocv6i4p1" TargetMode="External"/><Relationship Id="rId40" Type="http://schemas.openxmlformats.org/officeDocument/2006/relationships/hyperlink" Target="https://generisonline.com/corporate-governance-in-croatia-legal-and-compliance-frameworks/" TargetMode="External"/><Relationship Id="rId45" Type="http://schemas.openxmlformats.org/officeDocument/2006/relationships/hyperlink" Target="https://www.ier.si/" TargetMode="External"/><Relationship Id="rId66" Type="http://schemas.openxmlformats.org/officeDocument/2006/relationships/hyperlink" Target="https://s27147.pcdn.co/wp-content/uploads/Comments-USDOL-Joint-Employer-Status-FLSA.pdf" TargetMode="External"/><Relationship Id="rId87" Type="http://schemas.openxmlformats.org/officeDocument/2006/relationships/theme" Target="theme/theme1.xml"/><Relationship Id="rId61" Type="http://schemas.openxmlformats.org/officeDocument/2006/relationships/hyperlink" Target="https://ljse.si/media/5021/slovenian_corporate_governance_code_for_listed_companies_2021.pdf" TargetMode="External"/><Relationship Id="rId82" Type="http://schemas.openxmlformats.org/officeDocument/2006/relationships/image" Target="media/image14.png"/></Relationships>
</file>

<file path=word/_rels/footnotes.xml.rels><?xml version="1.0" encoding="UTF-8" standalone="yes"?>
<Relationships xmlns="http://schemas.openxmlformats.org/package/2006/relationships"><Relationship Id="rId117" Type="http://schemas.openxmlformats.org/officeDocument/2006/relationships/hyperlink" Target="https://www.wolftheiss.com" TargetMode="External"/><Relationship Id="rId21" Type="http://schemas.openxmlformats.org/officeDocument/2006/relationships/hyperlink" Target="https://papers.ssrn.com/sol3/papers.cfm?abstract_id=3667152" TargetMode="External"/><Relationship Id="rId42" Type="http://schemas.openxmlformats.org/officeDocument/2006/relationships/hyperlink" Target="https://crpm.org.mk/wp-content/uploads/2021/07/CRPM_EWCNationalReport.pdf" TargetMode="External"/><Relationship Id="rId63" Type="http://schemas.openxmlformats.org/officeDocument/2006/relationships/hyperlink" Target="https://www.coe.int/en/web/centre-of-expertise-for-multilevel-governance/12-principles" TargetMode="External"/><Relationship Id="rId84" Type="http://schemas.openxmlformats.org/officeDocument/2006/relationships/hyperlink" Target="https://eur-lex.europa.eu/legal-content/EN/TXT/?uri=celex:32003R1435" TargetMode="External"/><Relationship Id="rId138" Type="http://schemas.openxmlformats.org/officeDocument/2006/relationships/hyperlink" Target="https://media.frc.org.uk/documents/The_Wates_Corporate_Governance_Principles_for_Large_Private_Companies.pdf" TargetMode="External"/><Relationship Id="rId159" Type="http://schemas.openxmlformats.org/officeDocument/2006/relationships/hyperlink" Target="https://eur-lex.europa.eu/legal-content/EN/TXT/?uri=celex:52008PC0396" TargetMode="External"/><Relationship Id="rId107" Type="http://schemas.openxmlformats.org/officeDocument/2006/relationships/hyperlink" Target="https://doi.org/10.5937/Rev1885059M" TargetMode="External"/><Relationship Id="rId11" Type="http://schemas.openxmlformats.org/officeDocument/2006/relationships/hyperlink" Target="https://www.reuters.com/sustainability/sustainable-finance-reporting/tesla-blocks-stockholders-with-less-than-3-shares-suing-officers-its-behalf-2025-05-17/" TargetMode="External"/><Relationship Id="rId32" Type="http://schemas.openxmlformats.org/officeDocument/2006/relationships/hyperlink" Target="https://www.nceo.org/" TargetMode="External"/><Relationship Id="rId53" Type="http://schemas.openxmlformats.org/officeDocument/2006/relationships/hyperlink" Target="https://api.fairwear.org/wp-content/uploads/2021/04/North-Macedonia-Country-Study-2021.pdf?utm_source=chatgpt.com" TargetMode="External"/><Relationship Id="rId74" Type="http://schemas.openxmlformats.org/officeDocument/2006/relationships/hyperlink" Target="https://rm.coe.int/north-macedonia-20220630-deliverable-2/1680a8c31f" TargetMode="External"/><Relationship Id="rId128" Type="http://schemas.openxmlformats.org/officeDocument/2006/relationships/hyperlink" Target="https://www.ljse.si/" TargetMode="External"/><Relationship Id="rId149" Type="http://schemas.openxmlformats.org/officeDocument/2006/relationships/hyperlink" Target="https://eur-lex.europa.eu/legal-content/EN/TXT/?uri=celex:52008PC0396" TargetMode="External"/><Relationship Id="rId5" Type="http://schemas.openxmlformats.org/officeDocument/2006/relationships/hyperlink" Target="https://eimf.eu/balancing-shareholder-and-stakeholder-interests-in-corporate-governance/" TargetMode="External"/><Relationship Id="rId95" Type="http://schemas.openxmlformats.org/officeDocument/2006/relationships/hyperlink" Target="https://unstats.un.org/sdgs/indicators/indicators-list/" TargetMode="External"/><Relationship Id="rId160" Type="http://schemas.openxmlformats.org/officeDocument/2006/relationships/hyperlink" Target="https://employment-social-affairs.ec.europa.eu/policies-and-activities/rights-work/labour-law/employee-involvement_en" TargetMode="External"/><Relationship Id="rId22" Type="http://schemas.openxmlformats.org/officeDocument/2006/relationships/hyperlink" Target="https://digitalcommons.law.yale.edu/fss_papers/5037" TargetMode="External"/><Relationship Id="rId43" Type="http://schemas.openxmlformats.org/officeDocument/2006/relationships/hyperlink" Target="https://normlex.ilo.org/dyn/nrmlx_en/f?p=1000:11200:::::P11200_INSTRUMENT_SORT:4" TargetMode="External"/><Relationship Id="rId64" Type="http://schemas.openxmlformats.org/officeDocument/2006/relationships/hyperlink" Target="https://rm.coe.int/1680700aaf" TargetMode="External"/><Relationship Id="rId118" Type="http://schemas.openxmlformats.org/officeDocument/2006/relationships/hyperlink" Target="https://www.kinstellar.com" TargetMode="External"/><Relationship Id="rId139" Type="http://schemas.openxmlformats.org/officeDocument/2006/relationships/hyperlink" Target="https://politica.dk/fileadmin/politica/Billeder/Books/no_normal_science/10_hemerijck.pdf" TargetMode="External"/><Relationship Id="rId85" Type="http://schemas.openxmlformats.org/officeDocument/2006/relationships/hyperlink" Target="https://eur-lex.europa.eu/eli/dir/2003/72/oj/eng" TargetMode="External"/><Relationship Id="rId150" Type="http://schemas.openxmlformats.org/officeDocument/2006/relationships/hyperlink" Target="https://cup.org.mk/programme/harmonization-of-national-legislation-with-the-eu-and-monitoring-and-evaluation-of-the-npaa?lang=eng" TargetMode="External"/><Relationship Id="rId12" Type="http://schemas.openxmlformats.org/officeDocument/2006/relationships/hyperlink" Target="https://www.academia.edu/84821493/%D0%98%D0%B7%D0%B2%D1%80%D1%88%D0%BD%D0%B8_%D0%B4%D0%B8%D1%80%D0%B5%D0%BA%D1%82%D0%BE%D1%80%D0%B8" TargetMode="External"/><Relationship Id="rId17" Type="http://schemas.openxmlformats.org/officeDocument/2006/relationships/hyperlink" Target="https://doi.org/10.1016/0304-405X(76)90026-X" TargetMode="External"/><Relationship Id="rId33" Type="http://schemas.openxmlformats.org/officeDocument/2006/relationships/hyperlink" Target="https://www.forbes.com/sites/maryjosephs/2014/11/05/millionaire-grocery-clerks-the-amazing-winco-foods-story/" TargetMode="External"/><Relationship Id="rId38" Type="http://schemas.openxmlformats.org/officeDocument/2006/relationships/hyperlink" Target="https://doi.org/10.2307/3311682" TargetMode="External"/><Relationship Id="rId59" Type="http://schemas.openxmlformats.org/officeDocument/2006/relationships/hyperlink" Target="https://www.oecd.org/content/dam/oecd/en/publications/reports/2023/09/g20-oecd-principles-of-corporate-governance-2023_60836fcb/ed750b30-en.pdf" TargetMode="External"/><Relationship Id="rId103" Type="http://schemas.openxmlformats.org/officeDocument/2006/relationships/hyperlink" Target="https://www.crhov.rs/" TargetMode="External"/><Relationship Id="rId108" Type="http://schemas.openxmlformats.org/officeDocument/2006/relationships/hyperlink" Target="https://doi.org/10.55836/PiP_22404A" TargetMode="External"/><Relationship Id="rId124" Type="http://schemas.openxmlformats.org/officeDocument/2006/relationships/hyperlink" Target="https://ceelegalmatters.com/Magazines/Guides/CEELegalMatters_ComparativeGuide_CorporateGovernance2023_Slovenia.pdf" TargetMode="External"/><Relationship Id="rId129" Type="http://schemas.openxmlformats.org/officeDocument/2006/relationships/hyperlink" Target="https://ljse.si/media/5021/slovenian_corporate_governance_code_for_listed_companies_2021.pdf" TargetMode="External"/><Relationship Id="rId54" Type="http://schemas.openxmlformats.org/officeDocument/2006/relationships/hyperlink" Target="https://www.oecd.org/en/publications/membership-of-unions-and-employers-organisations-and-bargaining-coverage_fe47107c-en/full-report.html?utm_source=chatgpt.com" TargetMode="External"/><Relationship Id="rId70" Type="http://schemas.openxmlformats.org/officeDocument/2006/relationships/hyperlink" Target="https://hudoc.echr.coe.int/eng" TargetMode="External"/><Relationship Id="rId75" Type="http://schemas.openxmlformats.org/officeDocument/2006/relationships/hyperlink" Target="https://epi.org.mk/post/17691" TargetMode="External"/><Relationship Id="rId91" Type="http://schemas.openxmlformats.org/officeDocument/2006/relationships/hyperlink" Target="https://business4goals.org/en/development-challenge/relevance-with-the-sdgs/" TargetMode="External"/><Relationship Id="rId96" Type="http://schemas.openxmlformats.org/officeDocument/2006/relationships/hyperlink" Target="https://sdgs.un.org/goals" TargetMode="External"/><Relationship Id="rId140" Type="http://schemas.openxmlformats.org/officeDocument/2006/relationships/hyperlink" Target="https://doi.org/10.1093/psquar/qqad008" TargetMode="External"/><Relationship Id="rId145" Type="http://schemas.openxmlformats.org/officeDocument/2006/relationships/hyperlink" Target="https://cup.org.mk/programme/harmonization-of-national-legislation-with-the-eu-and-monitoring-and-evaluation-of-the-npaa?lang=eng" TargetMode="External"/><Relationship Id="rId161" Type="http://schemas.openxmlformats.org/officeDocument/2006/relationships/hyperlink" Target="https://www.etuc.org/en/document/etuc-position-new-eu-framework-information-consultation-and-board-level-representation" TargetMode="External"/><Relationship Id="rId166" Type="http://schemas.openxmlformats.org/officeDocument/2006/relationships/hyperlink" Target="https://www.libertas-institut.com/de/MK/Reports/Articles/Gasperini_MK.pdf" TargetMode="External"/><Relationship Id="rId1" Type="http://schemas.openxmlformats.org/officeDocument/2006/relationships/hyperlink" Target="https://www.researchgate.net/profile/Dimitar-Gelev/publication/321772811_DOSADASNJA_ISKUSTVA_U_HARMONIZACI_PRAVA_ZEMALJA_BIVSE_JUGOSLAVIJE_SA_PRAVOM_EVROPSKE_UNIJE/links/5ee03c4a92851cf1386f49d5/DOSADASNJA-ISKUSTVA-U-HARMONIZACI-PRAVA-ZEMALJA-BIVSE-JUGOSLAVIJE-SA-PRAVOM-EVROPSKE-UNIJE.pdf?origin=journalDetail&amp;_tp=eyJwYWdlIjoiam91cm5hbERldGFpbCJ9" TargetMode="External"/><Relationship Id="rId6" Type="http://schemas.openxmlformats.org/officeDocument/2006/relationships/hyperlink" Target="https://doi.org/10.2139/ssrn.2380661" TargetMode="External"/><Relationship Id="rId23" Type="http://schemas.openxmlformats.org/officeDocument/2006/relationships/hyperlink" Target="https://www.mondaq.com/germany/contract-of-employment/27245/the-one-third-participation-act%20supercedes-the-labor-management-relations-act-of-1952" TargetMode="External"/><Relationship Id="rId28" Type="http://schemas.openxmlformats.org/officeDocument/2006/relationships/hyperlink" Target="https://www.congress.gov/bill/115th-congress/senate-bill/2605/text" TargetMode="External"/><Relationship Id="rId49" Type="http://schemas.openxmlformats.org/officeDocument/2006/relationships/hyperlink" Target="https://www.ilo.org/international-labour-standards" TargetMode="External"/><Relationship Id="rId114" Type="http://schemas.openxmlformats.org/officeDocument/2006/relationships/hyperlink" Target="https://odvjetnik-bistrovic.hr/en/practice-areas/corporate-law/" TargetMode="External"/><Relationship Id="rId119" Type="http://schemas.openxmlformats.org/officeDocument/2006/relationships/hyperlink" Target="https://www.hina.hr/" TargetMode="External"/><Relationship Id="rId44" Type="http://schemas.openxmlformats.org/officeDocument/2006/relationships/hyperlink" Target="https://normlex.ilo.org/dyn/nrmlx_en/f?p=NORMLEXPUB:12100:0::NO::P12100_INSTRUMENT_ID:312280" TargetMode="External"/><Relationship Id="rId60" Type="http://schemas.openxmlformats.org/officeDocument/2006/relationships/hyperlink" Target="https://doi.org/10.1787/ed750b30-en" TargetMode="External"/><Relationship Id="rId65" Type="http://schemas.openxmlformats.org/officeDocument/2006/relationships/hyperlink" Target="https://rm.coe.int/1680700aaf" TargetMode="External"/><Relationship Id="rId81" Type="http://schemas.openxmlformats.org/officeDocument/2006/relationships/hyperlink" Target="https://eur-lex.europa.eu/eli/reg/2001/2157/oj/eng" TargetMode="External"/><Relationship Id="rId86" Type="http://schemas.openxmlformats.org/officeDocument/2006/relationships/hyperlink" Target="https://eur-lex.europa.eu/legal-content/en/ALL/?uri=CELEX%3A32009L0038" TargetMode="External"/><Relationship Id="rId130" Type="http://schemas.openxmlformats.org/officeDocument/2006/relationships/hyperlink" Target="https://www.hippocampus.si/ISBN/978-961-7023-31-0.pdf" TargetMode="External"/><Relationship Id="rId135" Type="http://schemas.openxmlformats.org/officeDocument/2006/relationships/hyperlink" Target="https://www.theguardian.com/news/2025/dec/10/visual-breakdown-worlds-wealthiest-people?CMP=fb_gu&amp;utm_medium=Social&amp;utm_source=Facebook&amp;fbclid=Iwb21leAOm2RpjbGNrA6bZFWV4dG4DYWVtAjExAHNydGMGYXBwX2lkDDM1MDY4NTUzMTcyOAABHhv1rhZN6gR_NsNhZts77YxHRGIwMz25-nTX57hXB4W1J5Y-qBEBL8-ir_bW_aem_vldV1SqNoOyn1a2aUTur2g" TargetMode="External"/><Relationship Id="rId151" Type="http://schemas.openxmlformats.org/officeDocument/2006/relationships/hyperlink" Target="https://worker-participation.eu/legislation-and-regulation" TargetMode="External"/><Relationship Id="rId156" Type="http://schemas.openxmlformats.org/officeDocument/2006/relationships/hyperlink" Target="https://arhiva.finance.gov.mk/harmonization-with-the-eu-acquis-2/?lang=en" TargetMode="External"/><Relationship Id="rId13" Type="http://schemas.openxmlformats.org/officeDocument/2006/relationships/hyperlink" Target="https://www.bls.gov/news.release/pdf/union2.pdf" TargetMode="External"/><Relationship Id="rId18" Type="http://schemas.openxmlformats.org/officeDocument/2006/relationships/hyperlink" Target="https://bcorporation.net/news/today-we-put-forward-policy-agenda-systems-change" TargetMode="External"/><Relationship Id="rId39" Type="http://schemas.openxmlformats.org/officeDocument/2006/relationships/hyperlink" Target="https://s27147.pcdn.co/wp-content/uploads/Comments-USDOL-Joint-Employer-Status-FLSA.pdf" TargetMode="External"/><Relationship Id="rId109" Type="http://schemas.openxmlformats.org/officeDocument/2006/relationships/hyperlink" Target="https://doi.org/10.56461/SPZ_24202KJ" TargetMode="External"/><Relationship Id="rId34" Type="http://schemas.openxmlformats.org/officeDocument/2006/relationships/hyperlink" Target="https://www.johnlewispartnership.co.uk/" TargetMode="External"/><Relationship Id="rId50" Type="http://schemas.openxmlformats.org/officeDocument/2006/relationships/hyperlink" Target="https://www.ilo.org/regions-and-countries/europe-and-central-asia/north-macedonia-republic" TargetMode="External"/><Relationship Id="rId55" Type="http://schemas.openxmlformats.org/officeDocument/2006/relationships/hyperlink" Target="https://macedonia2025.com/wp-content/uploads/2024/07/PERHOUSE-National-Report-Macedonia.pdf?utm_source=chatgpt.com" TargetMode="External"/><Relationship Id="rId76" Type="http://schemas.openxmlformats.org/officeDocument/2006/relationships/hyperlink" Target="https://rm.coe.int/north-macedonia-20220630-deliverable-2/1680a8c31f" TargetMode="External"/><Relationship Id="rId97" Type="http://schemas.openxmlformats.org/officeDocument/2006/relationships/hyperlink" Target="https://unstats.un.org/sdgs/report/2025/" TargetMode="External"/><Relationship Id="rId104" Type="http://schemas.openxmlformats.org/officeDocument/2006/relationships/hyperlink" Target="https://ir.nis.rs/akcije-i-dividenda/akcije-i-vlasnicka-struktura/" TargetMode="External"/><Relationship Id="rId120" Type="http://schemas.openxmlformats.org/officeDocument/2006/relationships/hyperlink" Target="https://hrcak.srce.hr/33835" TargetMode="External"/><Relationship Id="rId125" Type="http://schemas.openxmlformats.org/officeDocument/2006/relationships/hyperlink" Target="https://www.anr.si/" TargetMode="External"/><Relationship Id="rId141" Type="http://schemas.openxmlformats.org/officeDocument/2006/relationships/hyperlink" Target="https://mep.gov.mk/mk-MK/eu-integracii/spogodba-za-stabilizacija-i-asocijacija/spogodba-za-stabilizacija-i-asocijacija" TargetMode="External"/><Relationship Id="rId146" Type="http://schemas.openxmlformats.org/officeDocument/2006/relationships/hyperlink" Target="https://webalkans.eu/en/country/north-macedonia/" TargetMode="External"/><Relationship Id="rId167" Type="http://schemas.openxmlformats.org/officeDocument/2006/relationships/hyperlink" Target="https://mdt.gov.mk/mk-MK/regulativa/strategija-za-razvoj-na-ikt-smart-mk-2030" TargetMode="External"/><Relationship Id="rId7" Type="http://schemas.openxmlformats.org/officeDocument/2006/relationships/hyperlink" Target="https://doi.org/10.1093/qje/qjaa038" TargetMode="External"/><Relationship Id="rId71" Type="http://schemas.openxmlformats.org/officeDocument/2006/relationships/hyperlink" Target="https://ks.echr.coe.int/documents/d/echr-ks/guide_art_11_eng" TargetMode="External"/><Relationship Id="rId92" Type="http://schemas.openxmlformats.org/officeDocument/2006/relationships/hyperlink" Target="https://www.ohchr.org/sites/default/files/Documents/Publications/GuidingPrinciplesBusinessHR_EN.pdf" TargetMode="External"/><Relationship Id="rId162" Type="http://schemas.openxmlformats.org/officeDocument/2006/relationships/hyperlink" Target="https://enlargement.ec.europa.eu/funding-technical-assistance/overview-instrument-pre-accession-assistance/north-macedonia-financial-assistance-under-ipa_en" TargetMode="External"/><Relationship Id="rId2" Type="http://schemas.openxmlformats.org/officeDocument/2006/relationships/hyperlink" Target="https://doi:.org/10.1086/669499" TargetMode="External"/><Relationship Id="rId29" Type="http://schemas.openxmlformats.org/officeDocument/2006/relationships/hyperlink" Target="https://www.congress.gov/bill/115th-congress/senate-bill/3348/text" TargetMode="External"/><Relationship Id="rId24" Type="http://schemas.openxmlformats.org/officeDocument/2006/relationships/hyperlink" Target="https://doi.org/10.1177/0143831X14559784" TargetMode="External"/><Relationship Id="rId40" Type="http://schemas.openxmlformats.org/officeDocument/2006/relationships/hyperlink" Target="https://www.wfd.org/sites/default/files/2024-05/Mladi%20na%20popis_so%20finalen%20tekst_02_so%20korekcii.pdf" TargetMode="External"/><Relationship Id="rId45" Type="http://schemas.openxmlformats.org/officeDocument/2006/relationships/hyperlink" Target="https://normlex.ilo.org/dyn/nrmlx_en/f?p=NORMLEXPUB:12100:0::NO::P12100_INSTRUMENT_ID:312280" TargetMode="External"/><Relationship Id="rId66" Type="http://schemas.openxmlformats.org/officeDocument/2006/relationships/hyperlink" Target="https://ks.echr.coe.int/documents/d/echr-ks/guide_art_11_eng" TargetMode="External"/><Relationship Id="rId87" Type="http://schemas.openxmlformats.org/officeDocument/2006/relationships/hyperlink" Target="https://eur-lex.europa.eu/eli/dir/2013/34/oj/eng" TargetMode="External"/><Relationship Id="rId110" Type="http://schemas.openxmlformats.org/officeDocument/2006/relationships/hyperlink" Target="https://doi.org/10.5937/Rev1885071V" TargetMode="External"/><Relationship Id="rId115" Type="http://schemas.openxmlformats.org/officeDocument/2006/relationships/hyperlink" Target="https://doi.org/10.18045/zbefri.2020.2.521" TargetMode="External"/><Relationship Id="rId131" Type="http://schemas.openxmlformats.org/officeDocument/2006/relationships/hyperlink" Target="https://www.ier.si/" TargetMode="External"/><Relationship Id="rId136" Type="http://schemas.openxmlformats.org/officeDocument/2006/relationships/hyperlink" Target="https://doi.org/10.54394/FCZB5305" TargetMode="External"/><Relationship Id="rId157" Type="http://schemas.openxmlformats.org/officeDocument/2006/relationships/hyperlink" Target="https://eur-lex.europa.eu/legal-content/EN/TXT/?uri=celex:52008PC0396" TargetMode="External"/><Relationship Id="rId61" Type="http://schemas.openxmlformats.org/officeDocument/2006/relationships/hyperlink" Target="https://www.legislation.gov.uk/ukpga/2006/46/section/172" TargetMode="External"/><Relationship Id="rId82" Type="http://schemas.openxmlformats.org/officeDocument/2006/relationships/hyperlink" Target="https://eur-lex.europa.eu/eli/dir/2001/86/oj/eng" TargetMode="External"/><Relationship Id="rId152" Type="http://schemas.openxmlformats.org/officeDocument/2006/relationships/hyperlink" Target="https://employment-social-affairs.ec.europa.eu/policies-and-activities/rights-work/labour-law/employee-involvement_en" TargetMode="External"/><Relationship Id="rId19" Type="http://schemas.openxmlformats.org/officeDocument/2006/relationships/hyperlink" Target="https://doi.org/10.1093/cje/ben040" TargetMode="External"/><Relationship Id="rId14" Type="http://schemas.openxmlformats.org/officeDocument/2006/relationships/hyperlink" Target="https://doi.org/10.1016/j.jfineco.2005.10.005" TargetMode="External"/><Relationship Id="rId30" Type="http://schemas.openxmlformats.org/officeDocument/2006/relationships/hyperlink" Target="https://berniesanders.com/issues/corporate-accountability-and-democracy/," TargetMode="External"/><Relationship Id="rId35" Type="http://schemas.openxmlformats.org/officeDocument/2006/relationships/hyperlink" Target="https://doi.org/10.1109/emr.1975.4306431" TargetMode="External"/><Relationship Id="rId56" Type="http://schemas.openxmlformats.org/officeDocument/2006/relationships/hyperlink" Target="https://mtsp.gov.mk/content/pdf/trud_2017/2024/CollectiveAgreements%2013.03.2024.pdf" TargetMode="External"/><Relationship Id="rId77" Type="http://schemas.openxmlformats.org/officeDocument/2006/relationships/hyperlink" Target="https://www.rolplatform.org/%D0%B8%D0%B7%D0%B2%D1%80%D1%88%D1%83%D0%B2%D0%B0%D1%9A%D0%B5-%D0%BD%D0%B0-%D0%BF%D1%80%D0%B5%D1%81%D1%83%D0%B4%D0%B8%D1%82%D0%B5-%D0%BD%D0%B0-%D0%B5%D1%81%D1%87%D0%BF-%D0%B2%D0%BE-%D1%81%D0%B5%D0%B2/" TargetMode="External"/><Relationship Id="rId100" Type="http://schemas.openxmlformats.org/officeDocument/2006/relationships/hyperlink" Target="https://www.sec.gov.mk/Mesecni-izvestai/izvestaj74?utm_source=chatgpt.com" TargetMode="External"/><Relationship Id="rId105" Type="http://schemas.openxmlformats.org/officeDocument/2006/relationships/hyperlink" Target="https://www.crhov.rs/" TargetMode="External"/><Relationship Id="rId126" Type="http://schemas.openxmlformats.org/officeDocument/2006/relationships/hyperlink" Target="https://doi.org/10.2806/148735" TargetMode="External"/><Relationship Id="rId147" Type="http://schemas.openxmlformats.org/officeDocument/2006/relationships/hyperlink" Target="https://www.sobranie.mk/content/%D0%90%D0%BA%D1%86%D0%B8%D1%81%D0%BA%D0%B8%20%D0%BF%D0%BB%D0%B0%D0%BD%20%D0%9F%D0%9E%D0%92%202024-2026.pdf" TargetMode="External"/><Relationship Id="rId8" Type="http://schemas.openxmlformats.org/officeDocument/2006/relationships/hyperlink" Target="https://hbr.org/2014/09/profits-without-prosperity" TargetMode="External"/><Relationship Id="rId51" Type="http://schemas.openxmlformats.org/officeDocument/2006/relationships/hyperlink" Target="https://www.mtsp.gov.mk/registri-ns_article-registar-na-sindikati-1.nspx" TargetMode="External"/><Relationship Id="rId72" Type="http://schemas.openxmlformats.org/officeDocument/2006/relationships/hyperlink" Target="https://www.coe.int/en/web/european-social-charter/conclusions-decisions-questionnaires-ecsr" TargetMode="External"/><Relationship Id="rId93" Type="http://schemas.openxmlformats.org/officeDocument/2006/relationships/hyperlink" Target="https://www.ohchr.org/sites/default/files/Documents/Publications/GuidingPrinciplesBusinessHR_EN.pdf" TargetMode="External"/><Relationship Id="rId98" Type="http://schemas.openxmlformats.org/officeDocument/2006/relationships/hyperlink" Target="https://northmacedonia.un.org/mk/sdgs" TargetMode="External"/><Relationship Id="rId121" Type="http://schemas.openxmlformats.org/officeDocument/2006/relationships/hyperlink" Target="https://doi.org/10.18421/IJQR12.02-07" TargetMode="External"/><Relationship Id="rId142" Type="http://schemas.openxmlformats.org/officeDocument/2006/relationships/hyperlink" Target="https://cup.org.mk/programme/harmonization-of-national-legislation-with-the-eu-and-monitoring-and-evaluation-of-the-npaa?lang=eng" TargetMode="External"/><Relationship Id="rId163" Type="http://schemas.openxmlformats.org/officeDocument/2006/relationships/hyperlink" Target="https://arhiva.finance.gov.mk/harmonization-with-the-eu-acquis-2/?lang=en" TargetMode="External"/><Relationship Id="rId3" Type="http://schemas.openxmlformats.org/officeDocument/2006/relationships/hyperlink" Target="https://doi.org/10.3386/w24587" TargetMode="External"/><Relationship Id="rId25" Type="http://schemas.openxmlformats.org/officeDocument/2006/relationships/hyperlink" Target="https://www.businessroundtable.org/" TargetMode="External"/><Relationship Id="rId46" Type="http://schemas.openxmlformats.org/officeDocument/2006/relationships/hyperlink" Target="https://www.ssm.org.mk/sites/default/files/files/dokumenti/2016/06/konvencija_br._154_za_kolektivno_dogovaranje.pdf" TargetMode="External"/><Relationship Id="rId67" Type="http://schemas.openxmlformats.org/officeDocument/2006/relationships/hyperlink" Target="https://ks.echr.coe.int/documents/d/echr-ks/guide_art_14_art_1_protocol_12_eng" TargetMode="External"/><Relationship Id="rId116" Type="http://schemas.openxmlformats.org/officeDocument/2006/relationships/hyperlink" Target="https://cms.law/en/int/expert-guides/expert-guide-for-directors-of-companies/croatia" TargetMode="External"/><Relationship Id="rId137" Type="http://schemas.openxmlformats.org/officeDocument/2006/relationships/hyperlink" Target="https://media.frc.org.uk/documents/UK_Corporate_Governance_Code_2024_a2hmQmY.pdf" TargetMode="External"/><Relationship Id="rId158" Type="http://schemas.openxmlformats.org/officeDocument/2006/relationships/hyperlink" Target="https://www.europarl.europa.eu/factsheets/en/sheet/35/company-law" TargetMode="External"/><Relationship Id="rId20" Type="http://schemas.openxmlformats.org/officeDocument/2006/relationships/hyperlink" Target="https://doi.org/10.1093/cje/24.4.393" TargetMode="External"/><Relationship Id="rId41" Type="http://schemas.openxmlformats.org/officeDocument/2006/relationships/hyperlink" Target="https://www.cnbc.com/2025/07/25/congress-employee-stock-grant-bill.html" TargetMode="External"/><Relationship Id="rId62" Type="http://schemas.openxmlformats.org/officeDocument/2006/relationships/hyperlink" Target="https://www.mse.mk/Repository/%D0%9A%D0%BE%D0%B4%D0%B5%D0%BA%D1%81/KKU%20final%20-%20Copy%201.pdf" TargetMode="External"/><Relationship Id="rId83" Type="http://schemas.openxmlformats.org/officeDocument/2006/relationships/hyperlink" Target="https://eur-lex.europa.eu/eli/dir/2002/14/oj/eng" TargetMode="External"/><Relationship Id="rId88" Type="http://schemas.openxmlformats.org/officeDocument/2006/relationships/hyperlink" Target="https://eur-lex.europa.eu/legal-content/EN/TXT/?uri=celex%3A32014L0095" TargetMode="External"/><Relationship Id="rId111" Type="http://schemas.openxmlformats.org/officeDocument/2006/relationships/hyperlink" Target="https://doi.org/10.5937/spz65-33361" TargetMode="External"/><Relationship Id="rId132" Type="http://schemas.openxmlformats.org/officeDocument/2006/relationships/hyperlink" Target="https://broadvoiceproject.eu/wp-content/uploads/2025/01/D3.1_National-Report-Slovenia.pdf" TargetMode="External"/><Relationship Id="rId153" Type="http://schemas.openxmlformats.org/officeDocument/2006/relationships/hyperlink" Target="https://webalkans.eu/en/country/north-macedonia/" TargetMode="External"/><Relationship Id="rId15" Type="http://schemas.openxmlformats.org/officeDocument/2006/relationships/hyperlink" Target="https://doi.org/10.1080/030851400360541" TargetMode="External"/><Relationship Id="rId36" Type="http://schemas.openxmlformats.org/officeDocument/2006/relationships/hyperlink" Target="https://www.britannica.com/event/Enron-scandal" TargetMode="External"/><Relationship Id="rId57" Type="http://schemas.openxmlformats.org/officeDocument/2006/relationships/hyperlink" Target="https://enlargement.ec.europa.eu/system/files/2023-11/SWD_2023_693%20North%20Macedonia%20report.pdf?utm_source=chatgpt.com" TargetMode="External"/><Relationship Id="rId106" Type="http://schemas.openxmlformats.org/officeDocument/2006/relationships/hyperlink" Target="https://milosevic-law.rs/nemo-postojanje-akcionarskih-drustava-u-srbiji" TargetMode="External"/><Relationship Id="rId127" Type="http://schemas.openxmlformats.org/officeDocument/2006/relationships/hyperlink" Target="https://doi.org/10.2806/522792" TargetMode="External"/><Relationship Id="rId10" Type="http://schemas.openxmlformats.org/officeDocument/2006/relationships/hyperlink" Target="https://doi.org/10.1177/1024529420934641" TargetMode="External"/><Relationship Id="rId31" Type="http://schemas.openxmlformats.org/officeDocument/2006/relationships/hyperlink" Target="https://doi:.org/10.1086/209983" TargetMode="External"/><Relationship Id="rId52" Type="http://schemas.openxmlformats.org/officeDocument/2006/relationships/hyperlink" Target="https://macedonia2025.com/wp-content/uploads/2024/07/PERHOUSE-National-Report-Macedonia.pdf?utm_source=chatgpt.com" TargetMode="External"/><Relationship Id="rId73" Type="http://schemas.openxmlformats.org/officeDocument/2006/relationships/hyperlink" Target="https://www.coe.int/en/web/european-social-charter/european-committee-of-social-rights" TargetMode="External"/><Relationship Id="rId78" Type="http://schemas.openxmlformats.org/officeDocument/2006/relationships/hyperlink" Target="https://rm.coe.int/rap-rcha-mkd-8-2021/1680a2b0b0" TargetMode="External"/><Relationship Id="rId94" Type="http://schemas.openxmlformats.org/officeDocument/2006/relationships/hyperlink" Target="https://www.ohchr.org/sites/default/files/Documents/Publications/GuidingPrinciplesBusinessHR_EN.pdf" TargetMode="External"/><Relationship Id="rId99" Type="http://schemas.openxmlformats.org/officeDocument/2006/relationships/hyperlink" Target="https://milosevic-law.rs/nemo-postojanje-akcionarskih-drustava-u-srbiji" TargetMode="External"/><Relationship Id="rId101" Type="http://schemas.openxmlformats.org/officeDocument/2006/relationships/hyperlink" Target="https://www.stat.mk/media/ou0nchu2/makedonija-vo-brojki-2025-en-web.pdf?utm_source=chatgpt.com" TargetMode="External"/><Relationship Id="rId122" Type="http://schemas.openxmlformats.org/officeDocument/2006/relationships/hyperlink" Target="https://doi.org/10.22495/cgobr_v3_i2_p4" TargetMode="External"/><Relationship Id="rId143" Type="http://schemas.openxmlformats.org/officeDocument/2006/relationships/hyperlink" Target="https://eur-lex.europa.eu/legal-content/EN/TXT/?uri=celex:52008PC0396" TargetMode="External"/><Relationship Id="rId148" Type="http://schemas.openxmlformats.org/officeDocument/2006/relationships/hyperlink" Target="https://www.mchamber.mk/Upload/Documents/51_1051724084%D0%9D%D0%B0%D1%86%D1%80%D1%82_-_%D0%B7%D0%B0%D0%BA%D0%BE%D0%BD_%D0%9F%D1%80%D0%B5%D0%B4%D0%BB%D0%BE%D0%B3_%D0%BD%D0%B0_%D0%97%D0%B0%D0%BA%D0%BE%D0%BD_%D0%B7%D0%B0_%D1%82%D1%80%D0%B3%D0%BE%D0%B2%D1%81%D0%BA%D0%B8%D1%82%D0%B5_%D0%B4%D1%80%D1%83%D1%88%D1%82%D0%B2%D0%B0.pdf" TargetMode="External"/><Relationship Id="rId164" Type="http://schemas.openxmlformats.org/officeDocument/2006/relationships/hyperlink" Target="https://www.economy.gov.mk/mk-MK/odnosi-so-javnost/novosti/ministerot-durmisi-predlogot-za-izmenuvanje-i-dopolnuvanje-na-zakonot-za-trgovski-drustva-odobren-vo-sobranieto-severna-makedonija-obezbedi-440090647-evra" TargetMode="External"/><Relationship Id="rId4" Type="http://schemas.openxmlformats.org/officeDocument/2006/relationships/hyperlink" Target="https://onezero.medium.com/prop-22-where-do-gig-workers-go-from-here-e6eaa3ee2324" TargetMode="External"/><Relationship Id="rId9" Type="http://schemas.openxmlformats.org/officeDocument/2006/relationships/hyperlink" Target="https://doi.org/10.22495/cocv6i4p1" TargetMode="External"/><Relationship Id="rId26" Type="http://schemas.openxmlformats.org/officeDocument/2006/relationships/hyperlink" Target="https://heinonline.org/HOL/LandingPage?handle=hein.journals/hlpron12&amp;div=3&amp;id=&amp;page=" TargetMode="External"/><Relationship Id="rId47" Type="http://schemas.openxmlformats.org/officeDocument/2006/relationships/hyperlink" Target="https://normlex.ilo.org/dyn/nrmlx_en/f?p=NORMLEXPUB:12100:0::NO::P12100_ILO_CODE:R163" TargetMode="External"/><Relationship Id="rId68" Type="http://schemas.openxmlformats.org/officeDocument/2006/relationships/hyperlink" Target="https://ks.echr.coe.int/documents/d/echr-ks/guide_art_14_art_1_protocol_12_eng" TargetMode="External"/><Relationship Id="rId89" Type="http://schemas.openxmlformats.org/officeDocument/2006/relationships/hyperlink" Target="https://eur-lex.europa.eu/eli/dir/2022/2464/oj/eng" TargetMode="External"/><Relationship Id="rId112" Type="http://schemas.openxmlformats.org/officeDocument/2006/relationships/hyperlink" Target="https://www.researchgate.net/publication/370638141" TargetMode="External"/><Relationship Id="rId133" Type="http://schemas.openxmlformats.org/officeDocument/2006/relationships/hyperlink" Target="https://www.federalreserve.gov/releases/z1/dataviz/dfa/index.html" TargetMode="External"/><Relationship Id="rId154" Type="http://schemas.openxmlformats.org/officeDocument/2006/relationships/hyperlink" Target="https://worker-participation.eu/legislation-and-regulation" TargetMode="External"/><Relationship Id="rId16" Type="http://schemas.openxmlformats.org/officeDocument/2006/relationships/hyperlink" Target="https://escholarship.org/uc/item/8sb2623g" TargetMode="External"/><Relationship Id="rId37" Type="http://schemas.openxmlformats.org/officeDocument/2006/relationships/hyperlink" Target="https://www.ineteconomics.org/uploads/papers/WP_111-Lazonick-Penrose-Neoclassical-Fallacy.pdf" TargetMode="External"/><Relationship Id="rId58" Type="http://schemas.openxmlformats.org/officeDocument/2006/relationships/hyperlink" Target="https://www.oecd.org/content/dam/oecd/en/publications/reports/2023/09/g20-oecd-principles-of-corporate-governance-2023_60836fcb/ed750b30-en.pdf" TargetMode="External"/><Relationship Id="rId79" Type="http://schemas.openxmlformats.org/officeDocument/2006/relationships/hyperlink" Target="https://eur-lex.europa.eu/legal-content/EN/ALL/?uri=CELEX%3A31998L0059" TargetMode="External"/><Relationship Id="rId102" Type="http://schemas.openxmlformats.org/officeDocument/2006/relationships/hyperlink" Target="https://lawyersserbia.com/serbian-trade-register/" TargetMode="External"/><Relationship Id="rId123" Type="http://schemas.openxmlformats.org/officeDocument/2006/relationships/hyperlink" Target="https://ljse.si/" TargetMode="External"/><Relationship Id="rId144" Type="http://schemas.openxmlformats.org/officeDocument/2006/relationships/hyperlink" Target="https://enlargement.ec.europa.eu/funding-technical-assistance/overview-instrument-pre-accession-assistance/north-macedonia-financial-assistance-under-ipa_en" TargetMode="External"/><Relationship Id="rId90" Type="http://schemas.openxmlformats.org/officeDocument/2006/relationships/hyperlink" Target="https://eur-lex.europa.eu/eli/dir/2022/2381/oj/eng" TargetMode="External"/><Relationship Id="rId165" Type="http://schemas.openxmlformats.org/officeDocument/2006/relationships/hyperlink" Target="https://doi.org/10.24297/jssr.v10i2.4731" TargetMode="External"/><Relationship Id="rId27" Type="http://schemas.openxmlformats.org/officeDocument/2006/relationships/hyperlink" Target="https://www.epi.org/unequalpower/publications/codetermination-and-power-in-the-workplace/" TargetMode="External"/><Relationship Id="rId48" Type="http://schemas.openxmlformats.org/officeDocument/2006/relationships/hyperlink" Target="https://normlex.ilo.org/dyn/nrmlx_en/f?p=NORMLEXPUB:12100:0::NO:12100:P12100_INSTRUMENT_ID:312432:NO" TargetMode="External"/><Relationship Id="rId69" Type="http://schemas.openxmlformats.org/officeDocument/2006/relationships/hyperlink" Target="https://hudoc.echr.coe.int/eng" TargetMode="External"/><Relationship Id="rId113" Type="http://schemas.openxmlformats.org/officeDocument/2006/relationships/hyperlink" Target="https://generisonline.com/corporate-governance-in-croatia-legal-and-compliance-frameworks/" TargetMode="External"/><Relationship Id="rId134" Type="http://schemas.openxmlformats.org/officeDocument/2006/relationships/hyperlink" Target="https://www.theguardian.com/inequality/2025/dec/10/just-0001-hold-three-times-the-wealth-of-poorest-half-of-humanity-report-finds" TargetMode="External"/><Relationship Id="rId80" Type="http://schemas.openxmlformats.org/officeDocument/2006/relationships/hyperlink" Target="https://eur-lex.europa.eu/eli/dir/2001/23/oj/eng" TargetMode="External"/><Relationship Id="rId155" Type="http://schemas.openxmlformats.org/officeDocument/2006/relationships/hyperlink" Target="https://worker-participation.eu/legislation-and-regulatio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D2027E3-A712-44D4-A12D-5A747C5270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50074</TotalTime>
  <Pages>386</Pages>
  <Words>156565</Words>
  <Characters>892425</Characters>
  <Application>Microsoft Office Word</Application>
  <DocSecurity>0</DocSecurity>
  <Lines>7436</Lines>
  <Paragraphs>2093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1046897</CharactersWithSpaces>
  <SharedDoc>false</SharedDoc>
  <HLinks>
    <vt:vector size="1692" baseType="variant">
      <vt:variant>
        <vt:i4>2359422</vt:i4>
      </vt:variant>
      <vt:variant>
        <vt:i4>699</vt:i4>
      </vt:variant>
      <vt:variant>
        <vt:i4>0</vt:i4>
      </vt:variant>
      <vt:variant>
        <vt:i4>5</vt:i4>
      </vt:variant>
      <vt:variant>
        <vt:lpwstr>https://ir.nis.rs/akcije-i-dividenda/akcije-i-vlasnicka-struktura/</vt:lpwstr>
      </vt:variant>
      <vt:variant>
        <vt:lpwstr/>
      </vt:variant>
      <vt:variant>
        <vt:i4>524367</vt:i4>
      </vt:variant>
      <vt:variant>
        <vt:i4>696</vt:i4>
      </vt:variant>
      <vt:variant>
        <vt:i4>0</vt:i4>
      </vt:variant>
      <vt:variant>
        <vt:i4>5</vt:i4>
      </vt:variant>
      <vt:variant>
        <vt:lpwstr>https://www.crhov.rs/</vt:lpwstr>
      </vt:variant>
      <vt:variant>
        <vt:lpwstr/>
      </vt:variant>
      <vt:variant>
        <vt:i4>5439505</vt:i4>
      </vt:variant>
      <vt:variant>
        <vt:i4>693</vt:i4>
      </vt:variant>
      <vt:variant>
        <vt:i4>0</vt:i4>
      </vt:variant>
      <vt:variant>
        <vt:i4>5</vt:i4>
      </vt:variant>
      <vt:variant>
        <vt:lpwstr>https://dejure.mk/zakon/zakon-za-obligacionite-odnosi</vt:lpwstr>
      </vt:variant>
      <vt:variant>
        <vt:lpwstr/>
      </vt:variant>
      <vt:variant>
        <vt:i4>5767252</vt:i4>
      </vt:variant>
      <vt:variant>
        <vt:i4>690</vt:i4>
      </vt:variant>
      <vt:variant>
        <vt:i4>0</vt:i4>
      </vt:variant>
      <vt:variant>
        <vt:i4>5</vt:i4>
      </vt:variant>
      <vt:variant>
        <vt:lpwstr>https://onezero.medium.com/prop-22-where-do-gig-workers-go-from-here-e6eaa3ee2324</vt:lpwstr>
      </vt:variant>
      <vt:variant>
        <vt:lpwstr/>
      </vt:variant>
      <vt:variant>
        <vt:i4>7405622</vt:i4>
      </vt:variant>
      <vt:variant>
        <vt:i4>687</vt:i4>
      </vt:variant>
      <vt:variant>
        <vt:i4>0</vt:i4>
      </vt:variant>
      <vt:variant>
        <vt:i4>5</vt:i4>
      </vt:variant>
      <vt:variant>
        <vt:lpwstr>https://media.frc.org.uk/documents/The_Wates_Corporate_Governance_Principles_for_Large_Private_Companies.pdf</vt:lpwstr>
      </vt:variant>
      <vt:variant>
        <vt:lpwstr/>
      </vt:variant>
      <vt:variant>
        <vt:i4>196680</vt:i4>
      </vt:variant>
      <vt:variant>
        <vt:i4>684</vt:i4>
      </vt:variant>
      <vt:variant>
        <vt:i4>0</vt:i4>
      </vt:variant>
      <vt:variant>
        <vt:i4>5</vt:i4>
      </vt:variant>
      <vt:variant>
        <vt:lpwstr>https://doi.org/10.2139/ssrn.2380661</vt:lpwstr>
      </vt:variant>
      <vt:variant>
        <vt:lpwstr/>
      </vt:variant>
      <vt:variant>
        <vt:i4>7995496</vt:i4>
      </vt:variant>
      <vt:variant>
        <vt:i4>681</vt:i4>
      </vt:variant>
      <vt:variant>
        <vt:i4>0</vt:i4>
      </vt:variant>
      <vt:variant>
        <vt:i4>5</vt:i4>
      </vt:variant>
      <vt:variant>
        <vt:lpwstr>https://doi.org/10.5937/spz65-33361</vt:lpwstr>
      </vt:variant>
      <vt:variant>
        <vt:lpwstr/>
      </vt:variant>
      <vt:variant>
        <vt:i4>8126567</vt:i4>
      </vt:variant>
      <vt:variant>
        <vt:i4>678</vt:i4>
      </vt:variant>
      <vt:variant>
        <vt:i4>0</vt:i4>
      </vt:variant>
      <vt:variant>
        <vt:i4>5</vt:i4>
      </vt:variant>
      <vt:variant>
        <vt:lpwstr>https://hrcak.srce.hr/33835</vt:lpwstr>
      </vt:variant>
      <vt:variant>
        <vt:lpwstr/>
      </vt:variant>
      <vt:variant>
        <vt:i4>6029365</vt:i4>
      </vt:variant>
      <vt:variant>
        <vt:i4>675</vt:i4>
      </vt:variant>
      <vt:variant>
        <vt:i4>0</vt:i4>
      </vt:variant>
      <vt:variant>
        <vt:i4>5</vt:i4>
      </vt:variant>
      <vt:variant>
        <vt:lpwstr>https://doi.org/10.56461/SPZ_24202KJ</vt:lpwstr>
      </vt:variant>
      <vt:variant>
        <vt:lpwstr/>
      </vt:variant>
      <vt:variant>
        <vt:i4>8061027</vt:i4>
      </vt:variant>
      <vt:variant>
        <vt:i4>672</vt:i4>
      </vt:variant>
      <vt:variant>
        <vt:i4>0</vt:i4>
      </vt:variant>
      <vt:variant>
        <vt:i4>5</vt:i4>
      </vt:variant>
      <vt:variant>
        <vt:lpwstr>https://doi.org/10.1177%2F0959680119837101</vt:lpwstr>
      </vt:variant>
      <vt:variant>
        <vt:lpwstr/>
      </vt:variant>
      <vt:variant>
        <vt:i4>3342410</vt:i4>
      </vt:variant>
      <vt:variant>
        <vt:i4>669</vt:i4>
      </vt:variant>
      <vt:variant>
        <vt:i4>0</vt:i4>
      </vt:variant>
      <vt:variant>
        <vt:i4>5</vt:i4>
      </vt:variant>
      <vt:variant>
        <vt:lpwstr>https://papers.ssrn.com/sol3/papers.cfm?abstract_id=3667152</vt:lpwstr>
      </vt:variant>
      <vt:variant>
        <vt:lpwstr/>
      </vt:variant>
      <vt:variant>
        <vt:i4>1179736</vt:i4>
      </vt:variant>
      <vt:variant>
        <vt:i4>666</vt:i4>
      </vt:variant>
      <vt:variant>
        <vt:i4>0</vt:i4>
      </vt:variant>
      <vt:variant>
        <vt:i4>5</vt:i4>
      </vt:variant>
      <vt:variant>
        <vt:lpwstr>https://doi.org/10.1177/1024529420934641</vt:lpwstr>
      </vt:variant>
      <vt:variant>
        <vt:lpwstr/>
      </vt:variant>
      <vt:variant>
        <vt:i4>3080234</vt:i4>
      </vt:variant>
      <vt:variant>
        <vt:i4>663</vt:i4>
      </vt:variant>
      <vt:variant>
        <vt:i4>0</vt:i4>
      </vt:variant>
      <vt:variant>
        <vt:i4>5</vt:i4>
      </vt:variant>
      <vt:variant>
        <vt:lpwstr>https://s27147.pcdn.co/wp-content/uploads/Comments-USDOL-Joint-Employer-Status-FLSA.pdf</vt:lpwstr>
      </vt:variant>
      <vt:variant>
        <vt:lpwstr/>
      </vt:variant>
      <vt:variant>
        <vt:i4>2687012</vt:i4>
      </vt:variant>
      <vt:variant>
        <vt:i4>660</vt:i4>
      </vt:variant>
      <vt:variant>
        <vt:i4>0</vt:i4>
      </vt:variant>
      <vt:variant>
        <vt:i4>5</vt:i4>
      </vt:variant>
      <vt:variant>
        <vt:lpwstr>https://odvjetnik-bistrovic.hr/en/practice-areas/corporate-law/</vt:lpwstr>
      </vt:variant>
      <vt:variant>
        <vt:lpwstr/>
      </vt:variant>
      <vt:variant>
        <vt:i4>6226004</vt:i4>
      </vt:variant>
      <vt:variant>
        <vt:i4>657</vt:i4>
      </vt:variant>
      <vt:variant>
        <vt:i4>0</vt:i4>
      </vt:variant>
      <vt:variant>
        <vt:i4>5</vt:i4>
      </vt:variant>
      <vt:variant>
        <vt:lpwstr>https://doi.org/10.1093/cje/24.4.393</vt:lpwstr>
      </vt:variant>
      <vt:variant>
        <vt:lpwstr/>
      </vt:variant>
      <vt:variant>
        <vt:i4>7405672</vt:i4>
      </vt:variant>
      <vt:variant>
        <vt:i4>654</vt:i4>
      </vt:variant>
      <vt:variant>
        <vt:i4>0</vt:i4>
      </vt:variant>
      <vt:variant>
        <vt:i4>5</vt:i4>
      </vt:variant>
      <vt:variant>
        <vt:lpwstr>https://doi.org/10.5937/Rev1885059M</vt:lpwstr>
      </vt:variant>
      <vt:variant>
        <vt:lpwstr/>
      </vt:variant>
      <vt:variant>
        <vt:i4>5439492</vt:i4>
      </vt:variant>
      <vt:variant>
        <vt:i4>651</vt:i4>
      </vt:variant>
      <vt:variant>
        <vt:i4>0</vt:i4>
      </vt:variant>
      <vt:variant>
        <vt:i4>5</vt:i4>
      </vt:variant>
      <vt:variant>
        <vt:lpwstr>https://doi.org/10.31228/osf.io/sb3zp</vt:lpwstr>
      </vt:variant>
      <vt:variant>
        <vt:lpwstr/>
      </vt:variant>
      <vt:variant>
        <vt:i4>3997717</vt:i4>
      </vt:variant>
      <vt:variant>
        <vt:i4>648</vt:i4>
      </vt:variant>
      <vt:variant>
        <vt:i4>0</vt:i4>
      </vt:variant>
      <vt:variant>
        <vt:i4>5</vt:i4>
      </vt:variant>
      <vt:variant>
        <vt:lpwstr>https://ljse.si/media/5021/slovenian_corporate_governance_code_for_listed_companies_2021.pdf</vt:lpwstr>
      </vt:variant>
      <vt:variant>
        <vt:lpwstr/>
      </vt:variant>
      <vt:variant>
        <vt:i4>6488106</vt:i4>
      </vt:variant>
      <vt:variant>
        <vt:i4>645</vt:i4>
      </vt:variant>
      <vt:variant>
        <vt:i4>0</vt:i4>
      </vt:variant>
      <vt:variant>
        <vt:i4>5</vt:i4>
      </vt:variant>
      <vt:variant>
        <vt:lpwstr>https://doi:.org/10.1086/669499</vt:lpwstr>
      </vt:variant>
      <vt:variant>
        <vt:lpwstr/>
      </vt:variant>
      <vt:variant>
        <vt:i4>983112</vt:i4>
      </vt:variant>
      <vt:variant>
        <vt:i4>642</vt:i4>
      </vt:variant>
      <vt:variant>
        <vt:i4>0</vt:i4>
      </vt:variant>
      <vt:variant>
        <vt:i4>5</vt:i4>
      </vt:variant>
      <vt:variant>
        <vt:lpwstr>https://heinonline.org/HOL/LandingPage?handle=hein.journals/hlpron12&amp;div=3&amp;id=&amp;page=</vt:lpwstr>
      </vt:variant>
      <vt:variant>
        <vt:lpwstr/>
      </vt:variant>
      <vt:variant>
        <vt:i4>3407943</vt:i4>
      </vt:variant>
      <vt:variant>
        <vt:i4>639</vt:i4>
      </vt:variant>
      <vt:variant>
        <vt:i4>0</vt:i4>
      </vt:variant>
      <vt:variant>
        <vt:i4>5</vt:i4>
      </vt:variant>
      <vt:variant>
        <vt:lpwstr>https://doi.org/10.55836/PiP_22404A</vt:lpwstr>
      </vt:variant>
      <vt:variant>
        <vt:lpwstr/>
      </vt:variant>
      <vt:variant>
        <vt:i4>2490472</vt:i4>
      </vt:variant>
      <vt:variant>
        <vt:i4>636</vt:i4>
      </vt:variant>
      <vt:variant>
        <vt:i4>0</vt:i4>
      </vt:variant>
      <vt:variant>
        <vt:i4>5</vt:i4>
      </vt:variant>
      <vt:variant>
        <vt:lpwstr>https://doi.org/10.1080/030851400360541</vt:lpwstr>
      </vt:variant>
      <vt:variant>
        <vt:lpwstr/>
      </vt:variant>
      <vt:variant>
        <vt:i4>3276827</vt:i4>
      </vt:variant>
      <vt:variant>
        <vt:i4>633</vt:i4>
      </vt:variant>
      <vt:variant>
        <vt:i4>0</vt:i4>
      </vt:variant>
      <vt:variant>
        <vt:i4>5</vt:i4>
      </vt:variant>
      <vt:variant>
        <vt:lpwstr>https://www.ineteconomics.org/uploads/papers/WP_111-Lazonick-Penrose-Neoclassical-Fallacy.pdf</vt:lpwstr>
      </vt:variant>
      <vt:variant>
        <vt:lpwstr/>
      </vt:variant>
      <vt:variant>
        <vt:i4>8060979</vt:i4>
      </vt:variant>
      <vt:variant>
        <vt:i4>630</vt:i4>
      </vt:variant>
      <vt:variant>
        <vt:i4>0</vt:i4>
      </vt:variant>
      <vt:variant>
        <vt:i4>5</vt:i4>
      </vt:variant>
      <vt:variant>
        <vt:lpwstr>https://hbr.org/2014/09/profits-without-prosperity</vt:lpwstr>
      </vt:variant>
      <vt:variant>
        <vt:lpwstr/>
      </vt:variant>
      <vt:variant>
        <vt:i4>983107</vt:i4>
      </vt:variant>
      <vt:variant>
        <vt:i4>627</vt:i4>
      </vt:variant>
      <vt:variant>
        <vt:i4>0</vt:i4>
      </vt:variant>
      <vt:variant>
        <vt:i4>5</vt:i4>
      </vt:variant>
      <vt:variant>
        <vt:lpwstr>https://doi.org/10.1080/14735970.2020.1735161</vt:lpwstr>
      </vt:variant>
      <vt:variant>
        <vt:lpwstr/>
      </vt:variant>
      <vt:variant>
        <vt:i4>8126502</vt:i4>
      </vt:variant>
      <vt:variant>
        <vt:i4>624</vt:i4>
      </vt:variant>
      <vt:variant>
        <vt:i4>0</vt:i4>
      </vt:variant>
      <vt:variant>
        <vt:i4>5</vt:i4>
      </vt:variant>
      <vt:variant>
        <vt:lpwstr>https://doi.org/10.18045/zbefri.2020.2.521</vt:lpwstr>
      </vt:variant>
      <vt:variant>
        <vt:lpwstr/>
      </vt:variant>
      <vt:variant>
        <vt:i4>6357111</vt:i4>
      </vt:variant>
      <vt:variant>
        <vt:i4>621</vt:i4>
      </vt:variant>
      <vt:variant>
        <vt:i4>0</vt:i4>
      </vt:variant>
      <vt:variant>
        <vt:i4>5</vt:i4>
      </vt:variant>
      <vt:variant>
        <vt:lpwstr>https://www.researchgate.net/publication/370638141</vt:lpwstr>
      </vt:variant>
      <vt:variant>
        <vt:lpwstr/>
      </vt:variant>
      <vt:variant>
        <vt:i4>4063256</vt:i4>
      </vt:variant>
      <vt:variant>
        <vt:i4>618</vt:i4>
      </vt:variant>
      <vt:variant>
        <vt:i4>0</vt:i4>
      </vt:variant>
      <vt:variant>
        <vt:i4>5</vt:i4>
      </vt:variant>
      <vt:variant>
        <vt:lpwstr>https://ceelegalmatters.com/Magazines/Guides/CEELegalMatters_ComparativeGuide_CorporateGovernance2023_Slovenia.pdf</vt:lpwstr>
      </vt:variant>
      <vt:variant>
        <vt:lpwstr/>
      </vt:variant>
      <vt:variant>
        <vt:i4>4128883</vt:i4>
      </vt:variant>
      <vt:variant>
        <vt:i4>615</vt:i4>
      </vt:variant>
      <vt:variant>
        <vt:i4>0</vt:i4>
      </vt:variant>
      <vt:variant>
        <vt:i4>5</vt:i4>
      </vt:variant>
      <vt:variant>
        <vt:lpwstr>https://bcorporation.net/news/today-we-put-forward-policy-agenda-systems-change</vt:lpwstr>
      </vt:variant>
      <vt:variant>
        <vt:lpwstr/>
      </vt:variant>
      <vt:variant>
        <vt:i4>5046280</vt:i4>
      </vt:variant>
      <vt:variant>
        <vt:i4>612</vt:i4>
      </vt:variant>
      <vt:variant>
        <vt:i4>0</vt:i4>
      </vt:variant>
      <vt:variant>
        <vt:i4>5</vt:i4>
      </vt:variant>
      <vt:variant>
        <vt:lpwstr>https://doi.org/10.1016/0304-405X(76)90026-X</vt:lpwstr>
      </vt:variant>
      <vt:variant>
        <vt:lpwstr/>
      </vt:variant>
      <vt:variant>
        <vt:i4>6750317</vt:i4>
      </vt:variant>
      <vt:variant>
        <vt:i4>609</vt:i4>
      </vt:variant>
      <vt:variant>
        <vt:i4>0</vt:i4>
      </vt:variant>
      <vt:variant>
        <vt:i4>5</vt:i4>
      </vt:variant>
      <vt:variant>
        <vt:lpwstr>https://doi.org/10.1093/qje/qjaa038</vt:lpwstr>
      </vt:variant>
      <vt:variant>
        <vt:lpwstr/>
      </vt:variant>
      <vt:variant>
        <vt:i4>5767259</vt:i4>
      </vt:variant>
      <vt:variant>
        <vt:i4>606</vt:i4>
      </vt:variant>
      <vt:variant>
        <vt:i4>0</vt:i4>
      </vt:variant>
      <vt:variant>
        <vt:i4>5</vt:i4>
      </vt:variant>
      <vt:variant>
        <vt:lpwstr>https://scholarship.law.upenn.edu/jbl/vol3/iss3/5</vt:lpwstr>
      </vt:variant>
      <vt:variant>
        <vt:lpwstr/>
      </vt:variant>
      <vt:variant>
        <vt:i4>3801191</vt:i4>
      </vt:variant>
      <vt:variant>
        <vt:i4>603</vt:i4>
      </vt:variant>
      <vt:variant>
        <vt:i4>0</vt:i4>
      </vt:variant>
      <vt:variant>
        <vt:i4>5</vt:i4>
      </vt:variant>
      <vt:variant>
        <vt:lpwstr>https://doi.org/10.1093/cje/ben040</vt:lpwstr>
      </vt:variant>
      <vt:variant>
        <vt:lpwstr/>
      </vt:variant>
      <vt:variant>
        <vt:i4>6946856</vt:i4>
      </vt:variant>
      <vt:variant>
        <vt:i4>600</vt:i4>
      </vt:variant>
      <vt:variant>
        <vt:i4>0</vt:i4>
      </vt:variant>
      <vt:variant>
        <vt:i4>5</vt:i4>
      </vt:variant>
      <vt:variant>
        <vt:lpwstr>https://www.ier.si/</vt:lpwstr>
      </vt:variant>
      <vt:variant>
        <vt:lpwstr/>
      </vt:variant>
      <vt:variant>
        <vt:i4>1441866</vt:i4>
      </vt:variant>
      <vt:variant>
        <vt:i4>597</vt:i4>
      </vt:variant>
      <vt:variant>
        <vt:i4>0</vt:i4>
      </vt:variant>
      <vt:variant>
        <vt:i4>5</vt:i4>
      </vt:variant>
      <vt:variant>
        <vt:lpwstr>https://doi.org/10.54394/FCZB5305</vt:lpwstr>
      </vt:variant>
      <vt:variant>
        <vt:lpwstr/>
      </vt:variant>
      <vt:variant>
        <vt:i4>2752618</vt:i4>
      </vt:variant>
      <vt:variant>
        <vt:i4>594</vt:i4>
      </vt:variant>
      <vt:variant>
        <vt:i4>0</vt:i4>
      </vt:variant>
      <vt:variant>
        <vt:i4>5</vt:i4>
      </vt:variant>
      <vt:variant>
        <vt:lpwstr>https://doi.org/10.2307/3311682</vt:lpwstr>
      </vt:variant>
      <vt:variant>
        <vt:lpwstr/>
      </vt:variant>
      <vt:variant>
        <vt:i4>6684705</vt:i4>
      </vt:variant>
      <vt:variant>
        <vt:i4>591</vt:i4>
      </vt:variant>
      <vt:variant>
        <vt:i4>0</vt:i4>
      </vt:variant>
      <vt:variant>
        <vt:i4>5</vt:i4>
      </vt:variant>
      <vt:variant>
        <vt:lpwstr>https://doi:.org/10.1086/209983</vt:lpwstr>
      </vt:variant>
      <vt:variant>
        <vt:lpwstr/>
      </vt:variant>
      <vt:variant>
        <vt:i4>5505082</vt:i4>
      </vt:variant>
      <vt:variant>
        <vt:i4>588</vt:i4>
      </vt:variant>
      <vt:variant>
        <vt:i4>0</vt:i4>
      </vt:variant>
      <vt:variant>
        <vt:i4>5</vt:i4>
      </vt:variant>
      <vt:variant>
        <vt:lpwstr>https://digitalcommons.law.yale.edu/fss_papers/5037</vt:lpwstr>
      </vt:variant>
      <vt:variant>
        <vt:lpwstr/>
      </vt:variant>
      <vt:variant>
        <vt:i4>7143459</vt:i4>
      </vt:variant>
      <vt:variant>
        <vt:i4>585</vt:i4>
      </vt:variant>
      <vt:variant>
        <vt:i4>0</vt:i4>
      </vt:variant>
      <vt:variant>
        <vt:i4>5</vt:i4>
      </vt:variant>
      <vt:variant>
        <vt:lpwstr>https://generisonline.com/corporate-governance-in-croatia-legal-and-compliance-frameworks/</vt:lpwstr>
      </vt:variant>
      <vt:variant>
        <vt:lpwstr/>
      </vt:variant>
      <vt:variant>
        <vt:i4>7340053</vt:i4>
      </vt:variant>
      <vt:variant>
        <vt:i4>582</vt:i4>
      </vt:variant>
      <vt:variant>
        <vt:i4>0</vt:i4>
      </vt:variant>
      <vt:variant>
        <vt:i4>5</vt:i4>
      </vt:variant>
      <vt:variant>
        <vt:lpwstr>https://www.academia.edu/84821493/%D0%98%D0%B7%D0%B2%D1%80%D1%88%D0%BD%D0%B8_%D0%B4%D0%B8%D1%80%D0%B5%D0%BA%D1%82%D0%BE%D1%80%D0%B8</vt:lpwstr>
      </vt:variant>
      <vt:variant>
        <vt:lpwstr/>
      </vt:variant>
      <vt:variant>
        <vt:i4>5439492</vt:i4>
      </vt:variant>
      <vt:variant>
        <vt:i4>579</vt:i4>
      </vt:variant>
      <vt:variant>
        <vt:i4>0</vt:i4>
      </vt:variant>
      <vt:variant>
        <vt:i4>5</vt:i4>
      </vt:variant>
      <vt:variant>
        <vt:lpwstr>https://www.researchgate.net/profile/Dimitar-Gelev/publication/321772811_DOSADASNJA_ISKUSTVA_U_HARMONIZACI_PRAVA_ZEMALJA_BIVSE_JUGOSLAVIJE_SA_PRAVOM_EVROPSKE_UNIJE/links/5ee03c4a92851cf1386f49d5/DOSADASNJA-ISKUSTVA-U-HARMONIZACI-PRAVA-ZEMALJA-BIVSE-JUGOSLAVIJE-SA-PRAVOM-EVROPSKE-UNIJE.pdf?origin=journalDetail&amp;_tp=eyJwYWdlIjoiam91cm5hbERldGFpbCJ9</vt:lpwstr>
      </vt:variant>
      <vt:variant>
        <vt:lpwstr/>
      </vt:variant>
      <vt:variant>
        <vt:i4>589887</vt:i4>
      </vt:variant>
      <vt:variant>
        <vt:i4>576</vt:i4>
      </vt:variant>
      <vt:variant>
        <vt:i4>0</vt:i4>
      </vt:variant>
      <vt:variant>
        <vt:i4>5</vt:i4>
      </vt:variant>
      <vt:variant>
        <vt:lpwstr>https://broadvoiceproject.eu/wp-content/uploads/2025/01/D3.1_National-Report-Slovenia.pdf</vt:lpwstr>
      </vt:variant>
      <vt:variant>
        <vt:lpwstr/>
      </vt:variant>
      <vt:variant>
        <vt:i4>4390991</vt:i4>
      </vt:variant>
      <vt:variant>
        <vt:i4>573</vt:i4>
      </vt:variant>
      <vt:variant>
        <vt:i4>0</vt:i4>
      </vt:variant>
      <vt:variant>
        <vt:i4>5</vt:i4>
      </vt:variant>
      <vt:variant>
        <vt:lpwstr>https://www.federalreserve.gov/releases/z1/dataviz/dfa/index.html</vt:lpwstr>
      </vt:variant>
      <vt:variant>
        <vt:lpwstr/>
      </vt:variant>
      <vt:variant>
        <vt:i4>5439507</vt:i4>
      </vt:variant>
      <vt:variant>
        <vt:i4>570</vt:i4>
      </vt:variant>
      <vt:variant>
        <vt:i4>0</vt:i4>
      </vt:variant>
      <vt:variant>
        <vt:i4>5</vt:i4>
      </vt:variant>
      <vt:variant>
        <vt:lpwstr>https://doi.org/10.1016/j.jfineco.2005.10.005</vt:lpwstr>
      </vt:variant>
      <vt:variant>
        <vt:lpwstr/>
      </vt:variant>
      <vt:variant>
        <vt:i4>2687012</vt:i4>
      </vt:variant>
      <vt:variant>
        <vt:i4>567</vt:i4>
      </vt:variant>
      <vt:variant>
        <vt:i4>0</vt:i4>
      </vt:variant>
      <vt:variant>
        <vt:i4>5</vt:i4>
      </vt:variant>
      <vt:variant>
        <vt:lpwstr>https://doi.org/10.3386/w24587</vt:lpwstr>
      </vt:variant>
      <vt:variant>
        <vt:lpwstr/>
      </vt:variant>
      <vt:variant>
        <vt:i4>2556010</vt:i4>
      </vt:variant>
      <vt:variant>
        <vt:i4>564</vt:i4>
      </vt:variant>
      <vt:variant>
        <vt:i4>0</vt:i4>
      </vt:variant>
      <vt:variant>
        <vt:i4>5</vt:i4>
      </vt:variant>
      <vt:variant>
        <vt:lpwstr>https://doi.org/10.2806/522792</vt:lpwstr>
      </vt:variant>
      <vt:variant>
        <vt:lpwstr/>
      </vt:variant>
      <vt:variant>
        <vt:i4>2490478</vt:i4>
      </vt:variant>
      <vt:variant>
        <vt:i4>561</vt:i4>
      </vt:variant>
      <vt:variant>
        <vt:i4>0</vt:i4>
      </vt:variant>
      <vt:variant>
        <vt:i4>5</vt:i4>
      </vt:variant>
      <vt:variant>
        <vt:lpwstr>https://doi.org/10.2806/148735</vt:lpwstr>
      </vt:variant>
      <vt:variant>
        <vt:lpwstr/>
      </vt:variant>
      <vt:variant>
        <vt:i4>2031684</vt:i4>
      </vt:variant>
      <vt:variant>
        <vt:i4>558</vt:i4>
      </vt:variant>
      <vt:variant>
        <vt:i4>0</vt:i4>
      </vt:variant>
      <vt:variant>
        <vt:i4>5</vt:i4>
      </vt:variant>
      <vt:variant>
        <vt:lpwstr>https://www.hippocampus.si/ISBN/978-961-7023-31-0.pdf</vt:lpwstr>
      </vt:variant>
      <vt:variant>
        <vt:lpwstr/>
      </vt:variant>
      <vt:variant>
        <vt:i4>3670142</vt:i4>
      </vt:variant>
      <vt:variant>
        <vt:i4>555</vt:i4>
      </vt:variant>
      <vt:variant>
        <vt:i4>0</vt:i4>
      </vt:variant>
      <vt:variant>
        <vt:i4>5</vt:i4>
      </vt:variant>
      <vt:variant>
        <vt:lpwstr>https://www.businessroundtable.org/</vt:lpwstr>
      </vt:variant>
      <vt:variant>
        <vt:lpwstr/>
      </vt:variant>
      <vt:variant>
        <vt:i4>6815779</vt:i4>
      </vt:variant>
      <vt:variant>
        <vt:i4>552</vt:i4>
      </vt:variant>
      <vt:variant>
        <vt:i4>0</vt:i4>
      </vt:variant>
      <vt:variant>
        <vt:i4>5</vt:i4>
      </vt:variant>
      <vt:variant>
        <vt:lpwstr>https://www.bls.gov/news.release/pdf/union2.pdf</vt:lpwstr>
      </vt:variant>
      <vt:variant>
        <vt:lpwstr/>
      </vt:variant>
      <vt:variant>
        <vt:i4>1572882</vt:i4>
      </vt:variant>
      <vt:variant>
        <vt:i4>549</vt:i4>
      </vt:variant>
      <vt:variant>
        <vt:i4>0</vt:i4>
      </vt:variant>
      <vt:variant>
        <vt:i4>5</vt:i4>
      </vt:variant>
      <vt:variant>
        <vt:lpwstr>https://escholarship.org/uc/item/8sb2623g</vt:lpwstr>
      </vt:variant>
      <vt:variant>
        <vt:lpwstr/>
      </vt:variant>
      <vt:variant>
        <vt:i4>2031703</vt:i4>
      </vt:variant>
      <vt:variant>
        <vt:i4>546</vt:i4>
      </vt:variant>
      <vt:variant>
        <vt:i4>0</vt:i4>
      </vt:variant>
      <vt:variant>
        <vt:i4>5</vt:i4>
      </vt:variant>
      <vt:variant>
        <vt:lpwstr>https://doi.org/10.1177/0486613418807286</vt:lpwstr>
      </vt:variant>
      <vt:variant>
        <vt:lpwstr/>
      </vt:variant>
      <vt:variant>
        <vt:i4>3997822</vt:i4>
      </vt:variant>
      <vt:variant>
        <vt:i4>543</vt:i4>
      </vt:variant>
      <vt:variant>
        <vt:i4>0</vt:i4>
      </vt:variant>
      <vt:variant>
        <vt:i4>5</vt:i4>
      </vt:variant>
      <vt:variant>
        <vt:lpwstr>https://doi.org/10.22495/cocv6i4p1</vt:lpwstr>
      </vt:variant>
      <vt:variant>
        <vt:lpwstr/>
      </vt:variant>
      <vt:variant>
        <vt:i4>6094939</vt:i4>
      </vt:variant>
      <vt:variant>
        <vt:i4>540</vt:i4>
      </vt:variant>
      <vt:variant>
        <vt:i4>0</vt:i4>
      </vt:variant>
      <vt:variant>
        <vt:i4>5</vt:i4>
      </vt:variant>
      <vt:variant>
        <vt:lpwstr>https://doi.org/10.1109/emr.1975.4306431</vt:lpwstr>
      </vt:variant>
      <vt:variant>
        <vt:lpwstr/>
      </vt:variant>
      <vt:variant>
        <vt:i4>6226004</vt:i4>
      </vt:variant>
      <vt:variant>
        <vt:i4>537</vt:i4>
      </vt:variant>
      <vt:variant>
        <vt:i4>0</vt:i4>
      </vt:variant>
      <vt:variant>
        <vt:i4>5</vt:i4>
      </vt:variant>
      <vt:variant>
        <vt:lpwstr>https://doi.org/10.1177/0143831X14559784</vt:lpwstr>
      </vt:variant>
      <vt:variant>
        <vt:lpwstr/>
      </vt:variant>
      <vt:variant>
        <vt:i4>1048625</vt:i4>
      </vt:variant>
      <vt:variant>
        <vt:i4>530</vt:i4>
      </vt:variant>
      <vt:variant>
        <vt:i4>0</vt:i4>
      </vt:variant>
      <vt:variant>
        <vt:i4>5</vt:i4>
      </vt:variant>
      <vt:variant>
        <vt:lpwstr/>
      </vt:variant>
      <vt:variant>
        <vt:lpwstr>_Toc223084819</vt:lpwstr>
      </vt:variant>
      <vt:variant>
        <vt:i4>1048625</vt:i4>
      </vt:variant>
      <vt:variant>
        <vt:i4>524</vt:i4>
      </vt:variant>
      <vt:variant>
        <vt:i4>0</vt:i4>
      </vt:variant>
      <vt:variant>
        <vt:i4>5</vt:i4>
      </vt:variant>
      <vt:variant>
        <vt:lpwstr/>
      </vt:variant>
      <vt:variant>
        <vt:lpwstr>_Toc223084818</vt:lpwstr>
      </vt:variant>
      <vt:variant>
        <vt:i4>1048625</vt:i4>
      </vt:variant>
      <vt:variant>
        <vt:i4>518</vt:i4>
      </vt:variant>
      <vt:variant>
        <vt:i4>0</vt:i4>
      </vt:variant>
      <vt:variant>
        <vt:i4>5</vt:i4>
      </vt:variant>
      <vt:variant>
        <vt:lpwstr/>
      </vt:variant>
      <vt:variant>
        <vt:lpwstr>_Toc223084817</vt:lpwstr>
      </vt:variant>
      <vt:variant>
        <vt:i4>1048625</vt:i4>
      </vt:variant>
      <vt:variant>
        <vt:i4>512</vt:i4>
      </vt:variant>
      <vt:variant>
        <vt:i4>0</vt:i4>
      </vt:variant>
      <vt:variant>
        <vt:i4>5</vt:i4>
      </vt:variant>
      <vt:variant>
        <vt:lpwstr/>
      </vt:variant>
      <vt:variant>
        <vt:lpwstr>_Toc223084816</vt:lpwstr>
      </vt:variant>
      <vt:variant>
        <vt:i4>1048625</vt:i4>
      </vt:variant>
      <vt:variant>
        <vt:i4>506</vt:i4>
      </vt:variant>
      <vt:variant>
        <vt:i4>0</vt:i4>
      </vt:variant>
      <vt:variant>
        <vt:i4>5</vt:i4>
      </vt:variant>
      <vt:variant>
        <vt:lpwstr/>
      </vt:variant>
      <vt:variant>
        <vt:lpwstr>_Toc223084815</vt:lpwstr>
      </vt:variant>
      <vt:variant>
        <vt:i4>1048625</vt:i4>
      </vt:variant>
      <vt:variant>
        <vt:i4>500</vt:i4>
      </vt:variant>
      <vt:variant>
        <vt:i4>0</vt:i4>
      </vt:variant>
      <vt:variant>
        <vt:i4>5</vt:i4>
      </vt:variant>
      <vt:variant>
        <vt:lpwstr/>
      </vt:variant>
      <vt:variant>
        <vt:lpwstr>_Toc223084814</vt:lpwstr>
      </vt:variant>
      <vt:variant>
        <vt:i4>1048625</vt:i4>
      </vt:variant>
      <vt:variant>
        <vt:i4>494</vt:i4>
      </vt:variant>
      <vt:variant>
        <vt:i4>0</vt:i4>
      </vt:variant>
      <vt:variant>
        <vt:i4>5</vt:i4>
      </vt:variant>
      <vt:variant>
        <vt:lpwstr/>
      </vt:variant>
      <vt:variant>
        <vt:lpwstr>_Toc223084813</vt:lpwstr>
      </vt:variant>
      <vt:variant>
        <vt:i4>1048625</vt:i4>
      </vt:variant>
      <vt:variant>
        <vt:i4>488</vt:i4>
      </vt:variant>
      <vt:variant>
        <vt:i4>0</vt:i4>
      </vt:variant>
      <vt:variant>
        <vt:i4>5</vt:i4>
      </vt:variant>
      <vt:variant>
        <vt:lpwstr/>
      </vt:variant>
      <vt:variant>
        <vt:lpwstr>_Toc223084812</vt:lpwstr>
      </vt:variant>
      <vt:variant>
        <vt:i4>1048625</vt:i4>
      </vt:variant>
      <vt:variant>
        <vt:i4>482</vt:i4>
      </vt:variant>
      <vt:variant>
        <vt:i4>0</vt:i4>
      </vt:variant>
      <vt:variant>
        <vt:i4>5</vt:i4>
      </vt:variant>
      <vt:variant>
        <vt:lpwstr/>
      </vt:variant>
      <vt:variant>
        <vt:lpwstr>_Toc223084811</vt:lpwstr>
      </vt:variant>
      <vt:variant>
        <vt:i4>1048625</vt:i4>
      </vt:variant>
      <vt:variant>
        <vt:i4>476</vt:i4>
      </vt:variant>
      <vt:variant>
        <vt:i4>0</vt:i4>
      </vt:variant>
      <vt:variant>
        <vt:i4>5</vt:i4>
      </vt:variant>
      <vt:variant>
        <vt:lpwstr/>
      </vt:variant>
      <vt:variant>
        <vt:lpwstr>_Toc223084810</vt:lpwstr>
      </vt:variant>
      <vt:variant>
        <vt:i4>1114161</vt:i4>
      </vt:variant>
      <vt:variant>
        <vt:i4>470</vt:i4>
      </vt:variant>
      <vt:variant>
        <vt:i4>0</vt:i4>
      </vt:variant>
      <vt:variant>
        <vt:i4>5</vt:i4>
      </vt:variant>
      <vt:variant>
        <vt:lpwstr/>
      </vt:variant>
      <vt:variant>
        <vt:lpwstr>_Toc223084809</vt:lpwstr>
      </vt:variant>
      <vt:variant>
        <vt:i4>1114161</vt:i4>
      </vt:variant>
      <vt:variant>
        <vt:i4>464</vt:i4>
      </vt:variant>
      <vt:variant>
        <vt:i4>0</vt:i4>
      </vt:variant>
      <vt:variant>
        <vt:i4>5</vt:i4>
      </vt:variant>
      <vt:variant>
        <vt:lpwstr/>
      </vt:variant>
      <vt:variant>
        <vt:lpwstr>_Toc223084808</vt:lpwstr>
      </vt:variant>
      <vt:variant>
        <vt:i4>1114161</vt:i4>
      </vt:variant>
      <vt:variant>
        <vt:i4>458</vt:i4>
      </vt:variant>
      <vt:variant>
        <vt:i4>0</vt:i4>
      </vt:variant>
      <vt:variant>
        <vt:i4>5</vt:i4>
      </vt:variant>
      <vt:variant>
        <vt:lpwstr/>
      </vt:variant>
      <vt:variant>
        <vt:lpwstr>_Toc223084807</vt:lpwstr>
      </vt:variant>
      <vt:variant>
        <vt:i4>1114161</vt:i4>
      </vt:variant>
      <vt:variant>
        <vt:i4>452</vt:i4>
      </vt:variant>
      <vt:variant>
        <vt:i4>0</vt:i4>
      </vt:variant>
      <vt:variant>
        <vt:i4>5</vt:i4>
      </vt:variant>
      <vt:variant>
        <vt:lpwstr/>
      </vt:variant>
      <vt:variant>
        <vt:lpwstr>_Toc223084806</vt:lpwstr>
      </vt:variant>
      <vt:variant>
        <vt:i4>1114161</vt:i4>
      </vt:variant>
      <vt:variant>
        <vt:i4>446</vt:i4>
      </vt:variant>
      <vt:variant>
        <vt:i4>0</vt:i4>
      </vt:variant>
      <vt:variant>
        <vt:i4>5</vt:i4>
      </vt:variant>
      <vt:variant>
        <vt:lpwstr/>
      </vt:variant>
      <vt:variant>
        <vt:lpwstr>_Toc223084805</vt:lpwstr>
      </vt:variant>
      <vt:variant>
        <vt:i4>1114161</vt:i4>
      </vt:variant>
      <vt:variant>
        <vt:i4>440</vt:i4>
      </vt:variant>
      <vt:variant>
        <vt:i4>0</vt:i4>
      </vt:variant>
      <vt:variant>
        <vt:i4>5</vt:i4>
      </vt:variant>
      <vt:variant>
        <vt:lpwstr/>
      </vt:variant>
      <vt:variant>
        <vt:lpwstr>_Toc223084804</vt:lpwstr>
      </vt:variant>
      <vt:variant>
        <vt:i4>1114161</vt:i4>
      </vt:variant>
      <vt:variant>
        <vt:i4>434</vt:i4>
      </vt:variant>
      <vt:variant>
        <vt:i4>0</vt:i4>
      </vt:variant>
      <vt:variant>
        <vt:i4>5</vt:i4>
      </vt:variant>
      <vt:variant>
        <vt:lpwstr/>
      </vt:variant>
      <vt:variant>
        <vt:lpwstr>_Toc223084803</vt:lpwstr>
      </vt:variant>
      <vt:variant>
        <vt:i4>1114161</vt:i4>
      </vt:variant>
      <vt:variant>
        <vt:i4>428</vt:i4>
      </vt:variant>
      <vt:variant>
        <vt:i4>0</vt:i4>
      </vt:variant>
      <vt:variant>
        <vt:i4>5</vt:i4>
      </vt:variant>
      <vt:variant>
        <vt:lpwstr/>
      </vt:variant>
      <vt:variant>
        <vt:lpwstr>_Toc223084802</vt:lpwstr>
      </vt:variant>
      <vt:variant>
        <vt:i4>1114161</vt:i4>
      </vt:variant>
      <vt:variant>
        <vt:i4>422</vt:i4>
      </vt:variant>
      <vt:variant>
        <vt:i4>0</vt:i4>
      </vt:variant>
      <vt:variant>
        <vt:i4>5</vt:i4>
      </vt:variant>
      <vt:variant>
        <vt:lpwstr/>
      </vt:variant>
      <vt:variant>
        <vt:lpwstr>_Toc223084801</vt:lpwstr>
      </vt:variant>
      <vt:variant>
        <vt:i4>1114161</vt:i4>
      </vt:variant>
      <vt:variant>
        <vt:i4>416</vt:i4>
      </vt:variant>
      <vt:variant>
        <vt:i4>0</vt:i4>
      </vt:variant>
      <vt:variant>
        <vt:i4>5</vt:i4>
      </vt:variant>
      <vt:variant>
        <vt:lpwstr/>
      </vt:variant>
      <vt:variant>
        <vt:lpwstr>_Toc223084800</vt:lpwstr>
      </vt:variant>
      <vt:variant>
        <vt:i4>1572926</vt:i4>
      </vt:variant>
      <vt:variant>
        <vt:i4>410</vt:i4>
      </vt:variant>
      <vt:variant>
        <vt:i4>0</vt:i4>
      </vt:variant>
      <vt:variant>
        <vt:i4>5</vt:i4>
      </vt:variant>
      <vt:variant>
        <vt:lpwstr/>
      </vt:variant>
      <vt:variant>
        <vt:lpwstr>_Toc223084799</vt:lpwstr>
      </vt:variant>
      <vt:variant>
        <vt:i4>1572926</vt:i4>
      </vt:variant>
      <vt:variant>
        <vt:i4>404</vt:i4>
      </vt:variant>
      <vt:variant>
        <vt:i4>0</vt:i4>
      </vt:variant>
      <vt:variant>
        <vt:i4>5</vt:i4>
      </vt:variant>
      <vt:variant>
        <vt:lpwstr/>
      </vt:variant>
      <vt:variant>
        <vt:lpwstr>_Toc223084798</vt:lpwstr>
      </vt:variant>
      <vt:variant>
        <vt:i4>1572926</vt:i4>
      </vt:variant>
      <vt:variant>
        <vt:i4>398</vt:i4>
      </vt:variant>
      <vt:variant>
        <vt:i4>0</vt:i4>
      </vt:variant>
      <vt:variant>
        <vt:i4>5</vt:i4>
      </vt:variant>
      <vt:variant>
        <vt:lpwstr/>
      </vt:variant>
      <vt:variant>
        <vt:lpwstr>_Toc223084797</vt:lpwstr>
      </vt:variant>
      <vt:variant>
        <vt:i4>1572926</vt:i4>
      </vt:variant>
      <vt:variant>
        <vt:i4>392</vt:i4>
      </vt:variant>
      <vt:variant>
        <vt:i4>0</vt:i4>
      </vt:variant>
      <vt:variant>
        <vt:i4>5</vt:i4>
      </vt:variant>
      <vt:variant>
        <vt:lpwstr/>
      </vt:variant>
      <vt:variant>
        <vt:lpwstr>_Toc223084796</vt:lpwstr>
      </vt:variant>
      <vt:variant>
        <vt:i4>1572926</vt:i4>
      </vt:variant>
      <vt:variant>
        <vt:i4>386</vt:i4>
      </vt:variant>
      <vt:variant>
        <vt:i4>0</vt:i4>
      </vt:variant>
      <vt:variant>
        <vt:i4>5</vt:i4>
      </vt:variant>
      <vt:variant>
        <vt:lpwstr/>
      </vt:variant>
      <vt:variant>
        <vt:lpwstr>_Toc223084795</vt:lpwstr>
      </vt:variant>
      <vt:variant>
        <vt:i4>1572926</vt:i4>
      </vt:variant>
      <vt:variant>
        <vt:i4>380</vt:i4>
      </vt:variant>
      <vt:variant>
        <vt:i4>0</vt:i4>
      </vt:variant>
      <vt:variant>
        <vt:i4>5</vt:i4>
      </vt:variant>
      <vt:variant>
        <vt:lpwstr/>
      </vt:variant>
      <vt:variant>
        <vt:lpwstr>_Toc223084794</vt:lpwstr>
      </vt:variant>
      <vt:variant>
        <vt:i4>1572926</vt:i4>
      </vt:variant>
      <vt:variant>
        <vt:i4>374</vt:i4>
      </vt:variant>
      <vt:variant>
        <vt:i4>0</vt:i4>
      </vt:variant>
      <vt:variant>
        <vt:i4>5</vt:i4>
      </vt:variant>
      <vt:variant>
        <vt:lpwstr/>
      </vt:variant>
      <vt:variant>
        <vt:lpwstr>_Toc223084793</vt:lpwstr>
      </vt:variant>
      <vt:variant>
        <vt:i4>1572926</vt:i4>
      </vt:variant>
      <vt:variant>
        <vt:i4>368</vt:i4>
      </vt:variant>
      <vt:variant>
        <vt:i4>0</vt:i4>
      </vt:variant>
      <vt:variant>
        <vt:i4>5</vt:i4>
      </vt:variant>
      <vt:variant>
        <vt:lpwstr/>
      </vt:variant>
      <vt:variant>
        <vt:lpwstr>_Toc223084792</vt:lpwstr>
      </vt:variant>
      <vt:variant>
        <vt:i4>1572926</vt:i4>
      </vt:variant>
      <vt:variant>
        <vt:i4>362</vt:i4>
      </vt:variant>
      <vt:variant>
        <vt:i4>0</vt:i4>
      </vt:variant>
      <vt:variant>
        <vt:i4>5</vt:i4>
      </vt:variant>
      <vt:variant>
        <vt:lpwstr/>
      </vt:variant>
      <vt:variant>
        <vt:lpwstr>_Toc223084791</vt:lpwstr>
      </vt:variant>
      <vt:variant>
        <vt:i4>1572926</vt:i4>
      </vt:variant>
      <vt:variant>
        <vt:i4>356</vt:i4>
      </vt:variant>
      <vt:variant>
        <vt:i4>0</vt:i4>
      </vt:variant>
      <vt:variant>
        <vt:i4>5</vt:i4>
      </vt:variant>
      <vt:variant>
        <vt:lpwstr/>
      </vt:variant>
      <vt:variant>
        <vt:lpwstr>_Toc223084790</vt:lpwstr>
      </vt:variant>
      <vt:variant>
        <vt:i4>1638462</vt:i4>
      </vt:variant>
      <vt:variant>
        <vt:i4>350</vt:i4>
      </vt:variant>
      <vt:variant>
        <vt:i4>0</vt:i4>
      </vt:variant>
      <vt:variant>
        <vt:i4>5</vt:i4>
      </vt:variant>
      <vt:variant>
        <vt:lpwstr/>
      </vt:variant>
      <vt:variant>
        <vt:lpwstr>_Toc223084789</vt:lpwstr>
      </vt:variant>
      <vt:variant>
        <vt:i4>1638462</vt:i4>
      </vt:variant>
      <vt:variant>
        <vt:i4>344</vt:i4>
      </vt:variant>
      <vt:variant>
        <vt:i4>0</vt:i4>
      </vt:variant>
      <vt:variant>
        <vt:i4>5</vt:i4>
      </vt:variant>
      <vt:variant>
        <vt:lpwstr/>
      </vt:variant>
      <vt:variant>
        <vt:lpwstr>_Toc223084788</vt:lpwstr>
      </vt:variant>
      <vt:variant>
        <vt:i4>1638462</vt:i4>
      </vt:variant>
      <vt:variant>
        <vt:i4>338</vt:i4>
      </vt:variant>
      <vt:variant>
        <vt:i4>0</vt:i4>
      </vt:variant>
      <vt:variant>
        <vt:i4>5</vt:i4>
      </vt:variant>
      <vt:variant>
        <vt:lpwstr/>
      </vt:variant>
      <vt:variant>
        <vt:lpwstr>_Toc223084787</vt:lpwstr>
      </vt:variant>
      <vt:variant>
        <vt:i4>1638462</vt:i4>
      </vt:variant>
      <vt:variant>
        <vt:i4>332</vt:i4>
      </vt:variant>
      <vt:variant>
        <vt:i4>0</vt:i4>
      </vt:variant>
      <vt:variant>
        <vt:i4>5</vt:i4>
      </vt:variant>
      <vt:variant>
        <vt:lpwstr/>
      </vt:variant>
      <vt:variant>
        <vt:lpwstr>_Toc223084786</vt:lpwstr>
      </vt:variant>
      <vt:variant>
        <vt:i4>1638462</vt:i4>
      </vt:variant>
      <vt:variant>
        <vt:i4>326</vt:i4>
      </vt:variant>
      <vt:variant>
        <vt:i4>0</vt:i4>
      </vt:variant>
      <vt:variant>
        <vt:i4>5</vt:i4>
      </vt:variant>
      <vt:variant>
        <vt:lpwstr/>
      </vt:variant>
      <vt:variant>
        <vt:lpwstr>_Toc223084785</vt:lpwstr>
      </vt:variant>
      <vt:variant>
        <vt:i4>1638462</vt:i4>
      </vt:variant>
      <vt:variant>
        <vt:i4>320</vt:i4>
      </vt:variant>
      <vt:variant>
        <vt:i4>0</vt:i4>
      </vt:variant>
      <vt:variant>
        <vt:i4>5</vt:i4>
      </vt:variant>
      <vt:variant>
        <vt:lpwstr/>
      </vt:variant>
      <vt:variant>
        <vt:lpwstr>_Toc223084784</vt:lpwstr>
      </vt:variant>
      <vt:variant>
        <vt:i4>1638462</vt:i4>
      </vt:variant>
      <vt:variant>
        <vt:i4>314</vt:i4>
      </vt:variant>
      <vt:variant>
        <vt:i4>0</vt:i4>
      </vt:variant>
      <vt:variant>
        <vt:i4>5</vt:i4>
      </vt:variant>
      <vt:variant>
        <vt:lpwstr/>
      </vt:variant>
      <vt:variant>
        <vt:lpwstr>_Toc223084783</vt:lpwstr>
      </vt:variant>
      <vt:variant>
        <vt:i4>1638462</vt:i4>
      </vt:variant>
      <vt:variant>
        <vt:i4>308</vt:i4>
      </vt:variant>
      <vt:variant>
        <vt:i4>0</vt:i4>
      </vt:variant>
      <vt:variant>
        <vt:i4>5</vt:i4>
      </vt:variant>
      <vt:variant>
        <vt:lpwstr/>
      </vt:variant>
      <vt:variant>
        <vt:lpwstr>_Toc223084782</vt:lpwstr>
      </vt:variant>
      <vt:variant>
        <vt:i4>1638462</vt:i4>
      </vt:variant>
      <vt:variant>
        <vt:i4>302</vt:i4>
      </vt:variant>
      <vt:variant>
        <vt:i4>0</vt:i4>
      </vt:variant>
      <vt:variant>
        <vt:i4>5</vt:i4>
      </vt:variant>
      <vt:variant>
        <vt:lpwstr/>
      </vt:variant>
      <vt:variant>
        <vt:lpwstr>_Toc223084781</vt:lpwstr>
      </vt:variant>
      <vt:variant>
        <vt:i4>1638462</vt:i4>
      </vt:variant>
      <vt:variant>
        <vt:i4>296</vt:i4>
      </vt:variant>
      <vt:variant>
        <vt:i4>0</vt:i4>
      </vt:variant>
      <vt:variant>
        <vt:i4>5</vt:i4>
      </vt:variant>
      <vt:variant>
        <vt:lpwstr/>
      </vt:variant>
      <vt:variant>
        <vt:lpwstr>_Toc223084780</vt:lpwstr>
      </vt:variant>
      <vt:variant>
        <vt:i4>1441854</vt:i4>
      </vt:variant>
      <vt:variant>
        <vt:i4>290</vt:i4>
      </vt:variant>
      <vt:variant>
        <vt:i4>0</vt:i4>
      </vt:variant>
      <vt:variant>
        <vt:i4>5</vt:i4>
      </vt:variant>
      <vt:variant>
        <vt:lpwstr/>
      </vt:variant>
      <vt:variant>
        <vt:lpwstr>_Toc223084779</vt:lpwstr>
      </vt:variant>
      <vt:variant>
        <vt:i4>1441854</vt:i4>
      </vt:variant>
      <vt:variant>
        <vt:i4>284</vt:i4>
      </vt:variant>
      <vt:variant>
        <vt:i4>0</vt:i4>
      </vt:variant>
      <vt:variant>
        <vt:i4>5</vt:i4>
      </vt:variant>
      <vt:variant>
        <vt:lpwstr/>
      </vt:variant>
      <vt:variant>
        <vt:lpwstr>_Toc223084778</vt:lpwstr>
      </vt:variant>
      <vt:variant>
        <vt:i4>1441854</vt:i4>
      </vt:variant>
      <vt:variant>
        <vt:i4>278</vt:i4>
      </vt:variant>
      <vt:variant>
        <vt:i4>0</vt:i4>
      </vt:variant>
      <vt:variant>
        <vt:i4>5</vt:i4>
      </vt:variant>
      <vt:variant>
        <vt:lpwstr/>
      </vt:variant>
      <vt:variant>
        <vt:lpwstr>_Toc223084777</vt:lpwstr>
      </vt:variant>
      <vt:variant>
        <vt:i4>1441854</vt:i4>
      </vt:variant>
      <vt:variant>
        <vt:i4>272</vt:i4>
      </vt:variant>
      <vt:variant>
        <vt:i4>0</vt:i4>
      </vt:variant>
      <vt:variant>
        <vt:i4>5</vt:i4>
      </vt:variant>
      <vt:variant>
        <vt:lpwstr/>
      </vt:variant>
      <vt:variant>
        <vt:lpwstr>_Toc223084776</vt:lpwstr>
      </vt:variant>
      <vt:variant>
        <vt:i4>1441854</vt:i4>
      </vt:variant>
      <vt:variant>
        <vt:i4>266</vt:i4>
      </vt:variant>
      <vt:variant>
        <vt:i4>0</vt:i4>
      </vt:variant>
      <vt:variant>
        <vt:i4>5</vt:i4>
      </vt:variant>
      <vt:variant>
        <vt:lpwstr/>
      </vt:variant>
      <vt:variant>
        <vt:lpwstr>_Toc223084775</vt:lpwstr>
      </vt:variant>
      <vt:variant>
        <vt:i4>1441854</vt:i4>
      </vt:variant>
      <vt:variant>
        <vt:i4>260</vt:i4>
      </vt:variant>
      <vt:variant>
        <vt:i4>0</vt:i4>
      </vt:variant>
      <vt:variant>
        <vt:i4>5</vt:i4>
      </vt:variant>
      <vt:variant>
        <vt:lpwstr/>
      </vt:variant>
      <vt:variant>
        <vt:lpwstr>_Toc223084774</vt:lpwstr>
      </vt:variant>
      <vt:variant>
        <vt:i4>1441854</vt:i4>
      </vt:variant>
      <vt:variant>
        <vt:i4>254</vt:i4>
      </vt:variant>
      <vt:variant>
        <vt:i4>0</vt:i4>
      </vt:variant>
      <vt:variant>
        <vt:i4>5</vt:i4>
      </vt:variant>
      <vt:variant>
        <vt:lpwstr/>
      </vt:variant>
      <vt:variant>
        <vt:lpwstr>_Toc223084773</vt:lpwstr>
      </vt:variant>
      <vt:variant>
        <vt:i4>1441854</vt:i4>
      </vt:variant>
      <vt:variant>
        <vt:i4>248</vt:i4>
      </vt:variant>
      <vt:variant>
        <vt:i4>0</vt:i4>
      </vt:variant>
      <vt:variant>
        <vt:i4>5</vt:i4>
      </vt:variant>
      <vt:variant>
        <vt:lpwstr/>
      </vt:variant>
      <vt:variant>
        <vt:lpwstr>_Toc223084772</vt:lpwstr>
      </vt:variant>
      <vt:variant>
        <vt:i4>1441854</vt:i4>
      </vt:variant>
      <vt:variant>
        <vt:i4>242</vt:i4>
      </vt:variant>
      <vt:variant>
        <vt:i4>0</vt:i4>
      </vt:variant>
      <vt:variant>
        <vt:i4>5</vt:i4>
      </vt:variant>
      <vt:variant>
        <vt:lpwstr/>
      </vt:variant>
      <vt:variant>
        <vt:lpwstr>_Toc223084771</vt:lpwstr>
      </vt:variant>
      <vt:variant>
        <vt:i4>1441854</vt:i4>
      </vt:variant>
      <vt:variant>
        <vt:i4>236</vt:i4>
      </vt:variant>
      <vt:variant>
        <vt:i4>0</vt:i4>
      </vt:variant>
      <vt:variant>
        <vt:i4>5</vt:i4>
      </vt:variant>
      <vt:variant>
        <vt:lpwstr/>
      </vt:variant>
      <vt:variant>
        <vt:lpwstr>_Toc223084770</vt:lpwstr>
      </vt:variant>
      <vt:variant>
        <vt:i4>1507390</vt:i4>
      </vt:variant>
      <vt:variant>
        <vt:i4>230</vt:i4>
      </vt:variant>
      <vt:variant>
        <vt:i4>0</vt:i4>
      </vt:variant>
      <vt:variant>
        <vt:i4>5</vt:i4>
      </vt:variant>
      <vt:variant>
        <vt:lpwstr/>
      </vt:variant>
      <vt:variant>
        <vt:lpwstr>_Toc223084769</vt:lpwstr>
      </vt:variant>
      <vt:variant>
        <vt:i4>1507390</vt:i4>
      </vt:variant>
      <vt:variant>
        <vt:i4>224</vt:i4>
      </vt:variant>
      <vt:variant>
        <vt:i4>0</vt:i4>
      </vt:variant>
      <vt:variant>
        <vt:i4>5</vt:i4>
      </vt:variant>
      <vt:variant>
        <vt:lpwstr/>
      </vt:variant>
      <vt:variant>
        <vt:lpwstr>_Toc223084768</vt:lpwstr>
      </vt:variant>
      <vt:variant>
        <vt:i4>1507390</vt:i4>
      </vt:variant>
      <vt:variant>
        <vt:i4>218</vt:i4>
      </vt:variant>
      <vt:variant>
        <vt:i4>0</vt:i4>
      </vt:variant>
      <vt:variant>
        <vt:i4>5</vt:i4>
      </vt:variant>
      <vt:variant>
        <vt:lpwstr/>
      </vt:variant>
      <vt:variant>
        <vt:lpwstr>_Toc223084767</vt:lpwstr>
      </vt:variant>
      <vt:variant>
        <vt:i4>1507390</vt:i4>
      </vt:variant>
      <vt:variant>
        <vt:i4>212</vt:i4>
      </vt:variant>
      <vt:variant>
        <vt:i4>0</vt:i4>
      </vt:variant>
      <vt:variant>
        <vt:i4>5</vt:i4>
      </vt:variant>
      <vt:variant>
        <vt:lpwstr/>
      </vt:variant>
      <vt:variant>
        <vt:lpwstr>_Toc223084766</vt:lpwstr>
      </vt:variant>
      <vt:variant>
        <vt:i4>1507390</vt:i4>
      </vt:variant>
      <vt:variant>
        <vt:i4>206</vt:i4>
      </vt:variant>
      <vt:variant>
        <vt:i4>0</vt:i4>
      </vt:variant>
      <vt:variant>
        <vt:i4>5</vt:i4>
      </vt:variant>
      <vt:variant>
        <vt:lpwstr/>
      </vt:variant>
      <vt:variant>
        <vt:lpwstr>_Toc223084765</vt:lpwstr>
      </vt:variant>
      <vt:variant>
        <vt:i4>1507390</vt:i4>
      </vt:variant>
      <vt:variant>
        <vt:i4>200</vt:i4>
      </vt:variant>
      <vt:variant>
        <vt:i4>0</vt:i4>
      </vt:variant>
      <vt:variant>
        <vt:i4>5</vt:i4>
      </vt:variant>
      <vt:variant>
        <vt:lpwstr/>
      </vt:variant>
      <vt:variant>
        <vt:lpwstr>_Toc223084764</vt:lpwstr>
      </vt:variant>
      <vt:variant>
        <vt:i4>1507390</vt:i4>
      </vt:variant>
      <vt:variant>
        <vt:i4>194</vt:i4>
      </vt:variant>
      <vt:variant>
        <vt:i4>0</vt:i4>
      </vt:variant>
      <vt:variant>
        <vt:i4>5</vt:i4>
      </vt:variant>
      <vt:variant>
        <vt:lpwstr/>
      </vt:variant>
      <vt:variant>
        <vt:lpwstr>_Toc223084763</vt:lpwstr>
      </vt:variant>
      <vt:variant>
        <vt:i4>1507390</vt:i4>
      </vt:variant>
      <vt:variant>
        <vt:i4>188</vt:i4>
      </vt:variant>
      <vt:variant>
        <vt:i4>0</vt:i4>
      </vt:variant>
      <vt:variant>
        <vt:i4>5</vt:i4>
      </vt:variant>
      <vt:variant>
        <vt:lpwstr/>
      </vt:variant>
      <vt:variant>
        <vt:lpwstr>_Toc223084762</vt:lpwstr>
      </vt:variant>
      <vt:variant>
        <vt:i4>1507390</vt:i4>
      </vt:variant>
      <vt:variant>
        <vt:i4>182</vt:i4>
      </vt:variant>
      <vt:variant>
        <vt:i4>0</vt:i4>
      </vt:variant>
      <vt:variant>
        <vt:i4>5</vt:i4>
      </vt:variant>
      <vt:variant>
        <vt:lpwstr/>
      </vt:variant>
      <vt:variant>
        <vt:lpwstr>_Toc223084761</vt:lpwstr>
      </vt:variant>
      <vt:variant>
        <vt:i4>1507390</vt:i4>
      </vt:variant>
      <vt:variant>
        <vt:i4>176</vt:i4>
      </vt:variant>
      <vt:variant>
        <vt:i4>0</vt:i4>
      </vt:variant>
      <vt:variant>
        <vt:i4>5</vt:i4>
      </vt:variant>
      <vt:variant>
        <vt:lpwstr/>
      </vt:variant>
      <vt:variant>
        <vt:lpwstr>_Toc223084760</vt:lpwstr>
      </vt:variant>
      <vt:variant>
        <vt:i4>1310782</vt:i4>
      </vt:variant>
      <vt:variant>
        <vt:i4>170</vt:i4>
      </vt:variant>
      <vt:variant>
        <vt:i4>0</vt:i4>
      </vt:variant>
      <vt:variant>
        <vt:i4>5</vt:i4>
      </vt:variant>
      <vt:variant>
        <vt:lpwstr/>
      </vt:variant>
      <vt:variant>
        <vt:lpwstr>_Toc223084759</vt:lpwstr>
      </vt:variant>
      <vt:variant>
        <vt:i4>1310782</vt:i4>
      </vt:variant>
      <vt:variant>
        <vt:i4>164</vt:i4>
      </vt:variant>
      <vt:variant>
        <vt:i4>0</vt:i4>
      </vt:variant>
      <vt:variant>
        <vt:i4>5</vt:i4>
      </vt:variant>
      <vt:variant>
        <vt:lpwstr/>
      </vt:variant>
      <vt:variant>
        <vt:lpwstr>_Toc223084758</vt:lpwstr>
      </vt:variant>
      <vt:variant>
        <vt:i4>1310782</vt:i4>
      </vt:variant>
      <vt:variant>
        <vt:i4>158</vt:i4>
      </vt:variant>
      <vt:variant>
        <vt:i4>0</vt:i4>
      </vt:variant>
      <vt:variant>
        <vt:i4>5</vt:i4>
      </vt:variant>
      <vt:variant>
        <vt:lpwstr/>
      </vt:variant>
      <vt:variant>
        <vt:lpwstr>_Toc223084757</vt:lpwstr>
      </vt:variant>
      <vt:variant>
        <vt:i4>1310782</vt:i4>
      </vt:variant>
      <vt:variant>
        <vt:i4>152</vt:i4>
      </vt:variant>
      <vt:variant>
        <vt:i4>0</vt:i4>
      </vt:variant>
      <vt:variant>
        <vt:i4>5</vt:i4>
      </vt:variant>
      <vt:variant>
        <vt:lpwstr/>
      </vt:variant>
      <vt:variant>
        <vt:lpwstr>_Toc223084756</vt:lpwstr>
      </vt:variant>
      <vt:variant>
        <vt:i4>1310782</vt:i4>
      </vt:variant>
      <vt:variant>
        <vt:i4>146</vt:i4>
      </vt:variant>
      <vt:variant>
        <vt:i4>0</vt:i4>
      </vt:variant>
      <vt:variant>
        <vt:i4>5</vt:i4>
      </vt:variant>
      <vt:variant>
        <vt:lpwstr/>
      </vt:variant>
      <vt:variant>
        <vt:lpwstr>_Toc223084755</vt:lpwstr>
      </vt:variant>
      <vt:variant>
        <vt:i4>1310782</vt:i4>
      </vt:variant>
      <vt:variant>
        <vt:i4>140</vt:i4>
      </vt:variant>
      <vt:variant>
        <vt:i4>0</vt:i4>
      </vt:variant>
      <vt:variant>
        <vt:i4>5</vt:i4>
      </vt:variant>
      <vt:variant>
        <vt:lpwstr/>
      </vt:variant>
      <vt:variant>
        <vt:lpwstr>_Toc223084754</vt:lpwstr>
      </vt:variant>
      <vt:variant>
        <vt:i4>1310782</vt:i4>
      </vt:variant>
      <vt:variant>
        <vt:i4>134</vt:i4>
      </vt:variant>
      <vt:variant>
        <vt:i4>0</vt:i4>
      </vt:variant>
      <vt:variant>
        <vt:i4>5</vt:i4>
      </vt:variant>
      <vt:variant>
        <vt:lpwstr/>
      </vt:variant>
      <vt:variant>
        <vt:lpwstr>_Toc223084753</vt:lpwstr>
      </vt:variant>
      <vt:variant>
        <vt:i4>1310782</vt:i4>
      </vt:variant>
      <vt:variant>
        <vt:i4>128</vt:i4>
      </vt:variant>
      <vt:variant>
        <vt:i4>0</vt:i4>
      </vt:variant>
      <vt:variant>
        <vt:i4>5</vt:i4>
      </vt:variant>
      <vt:variant>
        <vt:lpwstr/>
      </vt:variant>
      <vt:variant>
        <vt:lpwstr>_Toc223084752</vt:lpwstr>
      </vt:variant>
      <vt:variant>
        <vt:i4>1310782</vt:i4>
      </vt:variant>
      <vt:variant>
        <vt:i4>122</vt:i4>
      </vt:variant>
      <vt:variant>
        <vt:i4>0</vt:i4>
      </vt:variant>
      <vt:variant>
        <vt:i4>5</vt:i4>
      </vt:variant>
      <vt:variant>
        <vt:lpwstr/>
      </vt:variant>
      <vt:variant>
        <vt:lpwstr>_Toc223084751</vt:lpwstr>
      </vt:variant>
      <vt:variant>
        <vt:i4>1310782</vt:i4>
      </vt:variant>
      <vt:variant>
        <vt:i4>116</vt:i4>
      </vt:variant>
      <vt:variant>
        <vt:i4>0</vt:i4>
      </vt:variant>
      <vt:variant>
        <vt:i4>5</vt:i4>
      </vt:variant>
      <vt:variant>
        <vt:lpwstr/>
      </vt:variant>
      <vt:variant>
        <vt:lpwstr>_Toc223084750</vt:lpwstr>
      </vt:variant>
      <vt:variant>
        <vt:i4>1376318</vt:i4>
      </vt:variant>
      <vt:variant>
        <vt:i4>110</vt:i4>
      </vt:variant>
      <vt:variant>
        <vt:i4>0</vt:i4>
      </vt:variant>
      <vt:variant>
        <vt:i4>5</vt:i4>
      </vt:variant>
      <vt:variant>
        <vt:lpwstr/>
      </vt:variant>
      <vt:variant>
        <vt:lpwstr>_Toc223084749</vt:lpwstr>
      </vt:variant>
      <vt:variant>
        <vt:i4>1376318</vt:i4>
      </vt:variant>
      <vt:variant>
        <vt:i4>104</vt:i4>
      </vt:variant>
      <vt:variant>
        <vt:i4>0</vt:i4>
      </vt:variant>
      <vt:variant>
        <vt:i4>5</vt:i4>
      </vt:variant>
      <vt:variant>
        <vt:lpwstr/>
      </vt:variant>
      <vt:variant>
        <vt:lpwstr>_Toc223084748</vt:lpwstr>
      </vt:variant>
      <vt:variant>
        <vt:i4>1376318</vt:i4>
      </vt:variant>
      <vt:variant>
        <vt:i4>98</vt:i4>
      </vt:variant>
      <vt:variant>
        <vt:i4>0</vt:i4>
      </vt:variant>
      <vt:variant>
        <vt:i4>5</vt:i4>
      </vt:variant>
      <vt:variant>
        <vt:lpwstr/>
      </vt:variant>
      <vt:variant>
        <vt:lpwstr>_Toc223084747</vt:lpwstr>
      </vt:variant>
      <vt:variant>
        <vt:i4>1376318</vt:i4>
      </vt:variant>
      <vt:variant>
        <vt:i4>92</vt:i4>
      </vt:variant>
      <vt:variant>
        <vt:i4>0</vt:i4>
      </vt:variant>
      <vt:variant>
        <vt:i4>5</vt:i4>
      </vt:variant>
      <vt:variant>
        <vt:lpwstr/>
      </vt:variant>
      <vt:variant>
        <vt:lpwstr>_Toc223084746</vt:lpwstr>
      </vt:variant>
      <vt:variant>
        <vt:i4>1376318</vt:i4>
      </vt:variant>
      <vt:variant>
        <vt:i4>86</vt:i4>
      </vt:variant>
      <vt:variant>
        <vt:i4>0</vt:i4>
      </vt:variant>
      <vt:variant>
        <vt:i4>5</vt:i4>
      </vt:variant>
      <vt:variant>
        <vt:lpwstr/>
      </vt:variant>
      <vt:variant>
        <vt:lpwstr>_Toc223084745</vt:lpwstr>
      </vt:variant>
      <vt:variant>
        <vt:i4>1376318</vt:i4>
      </vt:variant>
      <vt:variant>
        <vt:i4>80</vt:i4>
      </vt:variant>
      <vt:variant>
        <vt:i4>0</vt:i4>
      </vt:variant>
      <vt:variant>
        <vt:i4>5</vt:i4>
      </vt:variant>
      <vt:variant>
        <vt:lpwstr/>
      </vt:variant>
      <vt:variant>
        <vt:lpwstr>_Toc223084744</vt:lpwstr>
      </vt:variant>
      <vt:variant>
        <vt:i4>1376318</vt:i4>
      </vt:variant>
      <vt:variant>
        <vt:i4>74</vt:i4>
      </vt:variant>
      <vt:variant>
        <vt:i4>0</vt:i4>
      </vt:variant>
      <vt:variant>
        <vt:i4>5</vt:i4>
      </vt:variant>
      <vt:variant>
        <vt:lpwstr/>
      </vt:variant>
      <vt:variant>
        <vt:lpwstr>_Toc223084743</vt:lpwstr>
      </vt:variant>
      <vt:variant>
        <vt:i4>1376318</vt:i4>
      </vt:variant>
      <vt:variant>
        <vt:i4>68</vt:i4>
      </vt:variant>
      <vt:variant>
        <vt:i4>0</vt:i4>
      </vt:variant>
      <vt:variant>
        <vt:i4>5</vt:i4>
      </vt:variant>
      <vt:variant>
        <vt:lpwstr/>
      </vt:variant>
      <vt:variant>
        <vt:lpwstr>_Toc223084742</vt:lpwstr>
      </vt:variant>
      <vt:variant>
        <vt:i4>1376318</vt:i4>
      </vt:variant>
      <vt:variant>
        <vt:i4>62</vt:i4>
      </vt:variant>
      <vt:variant>
        <vt:i4>0</vt:i4>
      </vt:variant>
      <vt:variant>
        <vt:i4>5</vt:i4>
      </vt:variant>
      <vt:variant>
        <vt:lpwstr/>
      </vt:variant>
      <vt:variant>
        <vt:lpwstr>_Toc223084741</vt:lpwstr>
      </vt:variant>
      <vt:variant>
        <vt:i4>1376318</vt:i4>
      </vt:variant>
      <vt:variant>
        <vt:i4>56</vt:i4>
      </vt:variant>
      <vt:variant>
        <vt:i4>0</vt:i4>
      </vt:variant>
      <vt:variant>
        <vt:i4>5</vt:i4>
      </vt:variant>
      <vt:variant>
        <vt:lpwstr/>
      </vt:variant>
      <vt:variant>
        <vt:lpwstr>_Toc223084740</vt:lpwstr>
      </vt:variant>
      <vt:variant>
        <vt:i4>1179710</vt:i4>
      </vt:variant>
      <vt:variant>
        <vt:i4>50</vt:i4>
      </vt:variant>
      <vt:variant>
        <vt:i4>0</vt:i4>
      </vt:variant>
      <vt:variant>
        <vt:i4>5</vt:i4>
      </vt:variant>
      <vt:variant>
        <vt:lpwstr/>
      </vt:variant>
      <vt:variant>
        <vt:lpwstr>_Toc223084739</vt:lpwstr>
      </vt:variant>
      <vt:variant>
        <vt:i4>1179710</vt:i4>
      </vt:variant>
      <vt:variant>
        <vt:i4>44</vt:i4>
      </vt:variant>
      <vt:variant>
        <vt:i4>0</vt:i4>
      </vt:variant>
      <vt:variant>
        <vt:i4>5</vt:i4>
      </vt:variant>
      <vt:variant>
        <vt:lpwstr/>
      </vt:variant>
      <vt:variant>
        <vt:lpwstr>_Toc223084738</vt:lpwstr>
      </vt:variant>
      <vt:variant>
        <vt:i4>1179710</vt:i4>
      </vt:variant>
      <vt:variant>
        <vt:i4>38</vt:i4>
      </vt:variant>
      <vt:variant>
        <vt:i4>0</vt:i4>
      </vt:variant>
      <vt:variant>
        <vt:i4>5</vt:i4>
      </vt:variant>
      <vt:variant>
        <vt:lpwstr/>
      </vt:variant>
      <vt:variant>
        <vt:lpwstr>_Toc223084737</vt:lpwstr>
      </vt:variant>
      <vt:variant>
        <vt:i4>1179710</vt:i4>
      </vt:variant>
      <vt:variant>
        <vt:i4>32</vt:i4>
      </vt:variant>
      <vt:variant>
        <vt:i4>0</vt:i4>
      </vt:variant>
      <vt:variant>
        <vt:i4>5</vt:i4>
      </vt:variant>
      <vt:variant>
        <vt:lpwstr/>
      </vt:variant>
      <vt:variant>
        <vt:lpwstr>_Toc223084736</vt:lpwstr>
      </vt:variant>
      <vt:variant>
        <vt:i4>1179710</vt:i4>
      </vt:variant>
      <vt:variant>
        <vt:i4>26</vt:i4>
      </vt:variant>
      <vt:variant>
        <vt:i4>0</vt:i4>
      </vt:variant>
      <vt:variant>
        <vt:i4>5</vt:i4>
      </vt:variant>
      <vt:variant>
        <vt:lpwstr/>
      </vt:variant>
      <vt:variant>
        <vt:lpwstr>_Toc223084735</vt:lpwstr>
      </vt:variant>
      <vt:variant>
        <vt:i4>1179710</vt:i4>
      </vt:variant>
      <vt:variant>
        <vt:i4>20</vt:i4>
      </vt:variant>
      <vt:variant>
        <vt:i4>0</vt:i4>
      </vt:variant>
      <vt:variant>
        <vt:i4>5</vt:i4>
      </vt:variant>
      <vt:variant>
        <vt:lpwstr/>
      </vt:variant>
      <vt:variant>
        <vt:lpwstr>_Toc223084734</vt:lpwstr>
      </vt:variant>
      <vt:variant>
        <vt:i4>1179710</vt:i4>
      </vt:variant>
      <vt:variant>
        <vt:i4>14</vt:i4>
      </vt:variant>
      <vt:variant>
        <vt:i4>0</vt:i4>
      </vt:variant>
      <vt:variant>
        <vt:i4>5</vt:i4>
      </vt:variant>
      <vt:variant>
        <vt:lpwstr/>
      </vt:variant>
      <vt:variant>
        <vt:lpwstr>_Toc223084733</vt:lpwstr>
      </vt:variant>
      <vt:variant>
        <vt:i4>1179710</vt:i4>
      </vt:variant>
      <vt:variant>
        <vt:i4>8</vt:i4>
      </vt:variant>
      <vt:variant>
        <vt:i4>0</vt:i4>
      </vt:variant>
      <vt:variant>
        <vt:i4>5</vt:i4>
      </vt:variant>
      <vt:variant>
        <vt:lpwstr/>
      </vt:variant>
      <vt:variant>
        <vt:lpwstr>_Toc223084732</vt:lpwstr>
      </vt:variant>
      <vt:variant>
        <vt:i4>1179710</vt:i4>
      </vt:variant>
      <vt:variant>
        <vt:i4>2</vt:i4>
      </vt:variant>
      <vt:variant>
        <vt:i4>0</vt:i4>
      </vt:variant>
      <vt:variant>
        <vt:i4>5</vt:i4>
      </vt:variant>
      <vt:variant>
        <vt:lpwstr/>
      </vt:variant>
      <vt:variant>
        <vt:lpwstr>_Toc223084731</vt:lpwstr>
      </vt:variant>
      <vt:variant>
        <vt:i4>7405622</vt:i4>
      </vt:variant>
      <vt:variant>
        <vt:i4>411</vt:i4>
      </vt:variant>
      <vt:variant>
        <vt:i4>0</vt:i4>
      </vt:variant>
      <vt:variant>
        <vt:i4>5</vt:i4>
      </vt:variant>
      <vt:variant>
        <vt:lpwstr>https://media.frc.org.uk/documents/The_Wates_Corporate_Governance_Principles_for_Large_Private_Companies.pdf</vt:lpwstr>
      </vt:variant>
      <vt:variant>
        <vt:lpwstr/>
      </vt:variant>
      <vt:variant>
        <vt:i4>6750297</vt:i4>
      </vt:variant>
      <vt:variant>
        <vt:i4>408</vt:i4>
      </vt:variant>
      <vt:variant>
        <vt:i4>0</vt:i4>
      </vt:variant>
      <vt:variant>
        <vt:i4>5</vt:i4>
      </vt:variant>
      <vt:variant>
        <vt:lpwstr>https://media.frc.org.uk/documents/UK_Corporate_Governance_Code_2024_a2hmQmY.pdf</vt:lpwstr>
      </vt:variant>
      <vt:variant>
        <vt:lpwstr/>
      </vt:variant>
      <vt:variant>
        <vt:i4>1441866</vt:i4>
      </vt:variant>
      <vt:variant>
        <vt:i4>405</vt:i4>
      </vt:variant>
      <vt:variant>
        <vt:i4>0</vt:i4>
      </vt:variant>
      <vt:variant>
        <vt:i4>5</vt:i4>
      </vt:variant>
      <vt:variant>
        <vt:lpwstr>https://doi.org/10.54394/FCZB5305</vt:lpwstr>
      </vt:variant>
      <vt:variant>
        <vt:lpwstr/>
      </vt:variant>
      <vt:variant>
        <vt:i4>6619236</vt:i4>
      </vt:variant>
      <vt:variant>
        <vt:i4>402</vt:i4>
      </vt:variant>
      <vt:variant>
        <vt:i4>0</vt:i4>
      </vt:variant>
      <vt:variant>
        <vt:i4>5</vt:i4>
      </vt:variant>
      <vt:variant>
        <vt:lpwstr>https://www.theguardian.com/news/2025/dec/10/visual-breakdown-worlds-wealthiest-people?CMP=fb_gu&amp;utm_medium=Social&amp;utm_source=Facebook&amp;fbclid=Iwb21leAOm2RpjbGNrA6bZFWV4dG4DYWVtAjExAHNydGMGYXBwX2lkDDM1MDY4NTUzMTcyOAABHhv1rhZN6gR_NsNhZts77YxHRGIwMz25-nTX57hXB4W1J5Y-qBEBL8-ir_bW_aem_vldV1SqNoOyn1a2aUTur2g</vt:lpwstr>
      </vt:variant>
      <vt:variant>
        <vt:lpwstr/>
      </vt:variant>
      <vt:variant>
        <vt:i4>6225950</vt:i4>
      </vt:variant>
      <vt:variant>
        <vt:i4>399</vt:i4>
      </vt:variant>
      <vt:variant>
        <vt:i4>0</vt:i4>
      </vt:variant>
      <vt:variant>
        <vt:i4>5</vt:i4>
      </vt:variant>
      <vt:variant>
        <vt:lpwstr>https://www.theguardian.com/inequality/2025/dec/10/just-0001-hold-three-times-the-wealth-of-poorest-half-of-humanity-report-finds</vt:lpwstr>
      </vt:variant>
      <vt:variant>
        <vt:lpwstr/>
      </vt:variant>
      <vt:variant>
        <vt:i4>4390991</vt:i4>
      </vt:variant>
      <vt:variant>
        <vt:i4>396</vt:i4>
      </vt:variant>
      <vt:variant>
        <vt:i4>0</vt:i4>
      </vt:variant>
      <vt:variant>
        <vt:i4>5</vt:i4>
      </vt:variant>
      <vt:variant>
        <vt:lpwstr>https://www.federalreserve.gov/releases/z1/dataviz/dfa/index.html</vt:lpwstr>
      </vt:variant>
      <vt:variant>
        <vt:lpwstr/>
      </vt:variant>
      <vt:variant>
        <vt:i4>589887</vt:i4>
      </vt:variant>
      <vt:variant>
        <vt:i4>393</vt:i4>
      </vt:variant>
      <vt:variant>
        <vt:i4>0</vt:i4>
      </vt:variant>
      <vt:variant>
        <vt:i4>5</vt:i4>
      </vt:variant>
      <vt:variant>
        <vt:lpwstr>https://broadvoiceproject.eu/wp-content/uploads/2025/01/D3.1_National-Report-Slovenia.pdf</vt:lpwstr>
      </vt:variant>
      <vt:variant>
        <vt:lpwstr/>
      </vt:variant>
      <vt:variant>
        <vt:i4>6946856</vt:i4>
      </vt:variant>
      <vt:variant>
        <vt:i4>390</vt:i4>
      </vt:variant>
      <vt:variant>
        <vt:i4>0</vt:i4>
      </vt:variant>
      <vt:variant>
        <vt:i4>5</vt:i4>
      </vt:variant>
      <vt:variant>
        <vt:lpwstr>https://www.ier.si/</vt:lpwstr>
      </vt:variant>
      <vt:variant>
        <vt:lpwstr/>
      </vt:variant>
      <vt:variant>
        <vt:i4>2031684</vt:i4>
      </vt:variant>
      <vt:variant>
        <vt:i4>387</vt:i4>
      </vt:variant>
      <vt:variant>
        <vt:i4>0</vt:i4>
      </vt:variant>
      <vt:variant>
        <vt:i4>5</vt:i4>
      </vt:variant>
      <vt:variant>
        <vt:lpwstr>https://www.hippocampus.si/ISBN/978-961-7023-31-0.pdf</vt:lpwstr>
      </vt:variant>
      <vt:variant>
        <vt:lpwstr/>
      </vt:variant>
      <vt:variant>
        <vt:i4>3997717</vt:i4>
      </vt:variant>
      <vt:variant>
        <vt:i4>384</vt:i4>
      </vt:variant>
      <vt:variant>
        <vt:i4>0</vt:i4>
      </vt:variant>
      <vt:variant>
        <vt:i4>5</vt:i4>
      </vt:variant>
      <vt:variant>
        <vt:lpwstr>https://ljse.si/media/5021/slovenian_corporate_governance_code_for_listed_companies_2021.pdf</vt:lpwstr>
      </vt:variant>
      <vt:variant>
        <vt:lpwstr/>
      </vt:variant>
      <vt:variant>
        <vt:i4>1769496</vt:i4>
      </vt:variant>
      <vt:variant>
        <vt:i4>381</vt:i4>
      </vt:variant>
      <vt:variant>
        <vt:i4>0</vt:i4>
      </vt:variant>
      <vt:variant>
        <vt:i4>5</vt:i4>
      </vt:variant>
      <vt:variant>
        <vt:lpwstr>https://www.ljse.si/</vt:lpwstr>
      </vt:variant>
      <vt:variant>
        <vt:lpwstr/>
      </vt:variant>
      <vt:variant>
        <vt:i4>2556010</vt:i4>
      </vt:variant>
      <vt:variant>
        <vt:i4>378</vt:i4>
      </vt:variant>
      <vt:variant>
        <vt:i4>0</vt:i4>
      </vt:variant>
      <vt:variant>
        <vt:i4>5</vt:i4>
      </vt:variant>
      <vt:variant>
        <vt:lpwstr>https://doi.org/10.2806/522792</vt:lpwstr>
      </vt:variant>
      <vt:variant>
        <vt:lpwstr/>
      </vt:variant>
      <vt:variant>
        <vt:i4>2490478</vt:i4>
      </vt:variant>
      <vt:variant>
        <vt:i4>375</vt:i4>
      </vt:variant>
      <vt:variant>
        <vt:i4>0</vt:i4>
      </vt:variant>
      <vt:variant>
        <vt:i4>5</vt:i4>
      </vt:variant>
      <vt:variant>
        <vt:lpwstr>https://doi.org/10.2806/148735</vt:lpwstr>
      </vt:variant>
      <vt:variant>
        <vt:lpwstr/>
      </vt:variant>
      <vt:variant>
        <vt:i4>6357024</vt:i4>
      </vt:variant>
      <vt:variant>
        <vt:i4>372</vt:i4>
      </vt:variant>
      <vt:variant>
        <vt:i4>0</vt:i4>
      </vt:variant>
      <vt:variant>
        <vt:i4>5</vt:i4>
      </vt:variant>
      <vt:variant>
        <vt:lpwstr>https://www.anr.si/</vt:lpwstr>
      </vt:variant>
      <vt:variant>
        <vt:lpwstr/>
      </vt:variant>
      <vt:variant>
        <vt:i4>4063256</vt:i4>
      </vt:variant>
      <vt:variant>
        <vt:i4>369</vt:i4>
      </vt:variant>
      <vt:variant>
        <vt:i4>0</vt:i4>
      </vt:variant>
      <vt:variant>
        <vt:i4>5</vt:i4>
      </vt:variant>
      <vt:variant>
        <vt:lpwstr>https://ceelegalmatters.com/Magazines/Guides/CEELegalMatters_ComparativeGuide_CorporateGovernance2023_Slovenia.pdf</vt:lpwstr>
      </vt:variant>
      <vt:variant>
        <vt:lpwstr/>
      </vt:variant>
      <vt:variant>
        <vt:i4>4325400</vt:i4>
      </vt:variant>
      <vt:variant>
        <vt:i4>366</vt:i4>
      </vt:variant>
      <vt:variant>
        <vt:i4>0</vt:i4>
      </vt:variant>
      <vt:variant>
        <vt:i4>5</vt:i4>
      </vt:variant>
      <vt:variant>
        <vt:lpwstr>https://ljse.si/</vt:lpwstr>
      </vt:variant>
      <vt:variant>
        <vt:lpwstr/>
      </vt:variant>
      <vt:variant>
        <vt:i4>1769505</vt:i4>
      </vt:variant>
      <vt:variant>
        <vt:i4>363</vt:i4>
      </vt:variant>
      <vt:variant>
        <vt:i4>0</vt:i4>
      </vt:variant>
      <vt:variant>
        <vt:i4>5</vt:i4>
      </vt:variant>
      <vt:variant>
        <vt:lpwstr>https://doi.org/10.22495/cgobr_v3_i2_p4</vt:lpwstr>
      </vt:variant>
      <vt:variant>
        <vt:lpwstr/>
      </vt:variant>
      <vt:variant>
        <vt:i4>786504</vt:i4>
      </vt:variant>
      <vt:variant>
        <vt:i4>360</vt:i4>
      </vt:variant>
      <vt:variant>
        <vt:i4>0</vt:i4>
      </vt:variant>
      <vt:variant>
        <vt:i4>5</vt:i4>
      </vt:variant>
      <vt:variant>
        <vt:lpwstr>https://doi.org/10.18421/IJQR12.02-07</vt:lpwstr>
      </vt:variant>
      <vt:variant>
        <vt:lpwstr/>
      </vt:variant>
      <vt:variant>
        <vt:i4>8126567</vt:i4>
      </vt:variant>
      <vt:variant>
        <vt:i4>357</vt:i4>
      </vt:variant>
      <vt:variant>
        <vt:i4>0</vt:i4>
      </vt:variant>
      <vt:variant>
        <vt:i4>5</vt:i4>
      </vt:variant>
      <vt:variant>
        <vt:lpwstr>https://hrcak.srce.hr/33835</vt:lpwstr>
      </vt:variant>
      <vt:variant>
        <vt:lpwstr/>
      </vt:variant>
      <vt:variant>
        <vt:i4>458778</vt:i4>
      </vt:variant>
      <vt:variant>
        <vt:i4>354</vt:i4>
      </vt:variant>
      <vt:variant>
        <vt:i4>0</vt:i4>
      </vt:variant>
      <vt:variant>
        <vt:i4>5</vt:i4>
      </vt:variant>
      <vt:variant>
        <vt:lpwstr>https://www.hina.hr/</vt:lpwstr>
      </vt:variant>
      <vt:variant>
        <vt:lpwstr/>
      </vt:variant>
      <vt:variant>
        <vt:i4>2556029</vt:i4>
      </vt:variant>
      <vt:variant>
        <vt:i4>351</vt:i4>
      </vt:variant>
      <vt:variant>
        <vt:i4>0</vt:i4>
      </vt:variant>
      <vt:variant>
        <vt:i4>5</vt:i4>
      </vt:variant>
      <vt:variant>
        <vt:lpwstr>https://www.kinstellar.com/</vt:lpwstr>
      </vt:variant>
      <vt:variant>
        <vt:lpwstr/>
      </vt:variant>
      <vt:variant>
        <vt:i4>3997816</vt:i4>
      </vt:variant>
      <vt:variant>
        <vt:i4>348</vt:i4>
      </vt:variant>
      <vt:variant>
        <vt:i4>0</vt:i4>
      </vt:variant>
      <vt:variant>
        <vt:i4>5</vt:i4>
      </vt:variant>
      <vt:variant>
        <vt:lpwstr>https://www.wolftheiss.com/</vt:lpwstr>
      </vt:variant>
      <vt:variant>
        <vt:lpwstr/>
      </vt:variant>
      <vt:variant>
        <vt:i4>6160401</vt:i4>
      </vt:variant>
      <vt:variant>
        <vt:i4>345</vt:i4>
      </vt:variant>
      <vt:variant>
        <vt:i4>0</vt:i4>
      </vt:variant>
      <vt:variant>
        <vt:i4>5</vt:i4>
      </vt:variant>
      <vt:variant>
        <vt:lpwstr>https://cms.law/en/int/expert-guides/expert-guide-for-directors-of-companies/croatia</vt:lpwstr>
      </vt:variant>
      <vt:variant>
        <vt:lpwstr/>
      </vt:variant>
      <vt:variant>
        <vt:i4>8126502</vt:i4>
      </vt:variant>
      <vt:variant>
        <vt:i4>342</vt:i4>
      </vt:variant>
      <vt:variant>
        <vt:i4>0</vt:i4>
      </vt:variant>
      <vt:variant>
        <vt:i4>5</vt:i4>
      </vt:variant>
      <vt:variant>
        <vt:lpwstr>https://doi.org/10.18045/zbefri.2020.2.521</vt:lpwstr>
      </vt:variant>
      <vt:variant>
        <vt:lpwstr/>
      </vt:variant>
      <vt:variant>
        <vt:i4>2687012</vt:i4>
      </vt:variant>
      <vt:variant>
        <vt:i4>339</vt:i4>
      </vt:variant>
      <vt:variant>
        <vt:i4>0</vt:i4>
      </vt:variant>
      <vt:variant>
        <vt:i4>5</vt:i4>
      </vt:variant>
      <vt:variant>
        <vt:lpwstr>https://odvjetnik-bistrovic.hr/en/practice-areas/corporate-law/</vt:lpwstr>
      </vt:variant>
      <vt:variant>
        <vt:lpwstr/>
      </vt:variant>
      <vt:variant>
        <vt:i4>7143459</vt:i4>
      </vt:variant>
      <vt:variant>
        <vt:i4>336</vt:i4>
      </vt:variant>
      <vt:variant>
        <vt:i4>0</vt:i4>
      </vt:variant>
      <vt:variant>
        <vt:i4>5</vt:i4>
      </vt:variant>
      <vt:variant>
        <vt:lpwstr>https://generisonline.com/corporate-governance-in-croatia-legal-and-compliance-frameworks/</vt:lpwstr>
      </vt:variant>
      <vt:variant>
        <vt:lpwstr/>
      </vt:variant>
      <vt:variant>
        <vt:i4>6357111</vt:i4>
      </vt:variant>
      <vt:variant>
        <vt:i4>333</vt:i4>
      </vt:variant>
      <vt:variant>
        <vt:i4>0</vt:i4>
      </vt:variant>
      <vt:variant>
        <vt:i4>5</vt:i4>
      </vt:variant>
      <vt:variant>
        <vt:lpwstr>https://www.researchgate.net/publication/370638141</vt:lpwstr>
      </vt:variant>
      <vt:variant>
        <vt:lpwstr/>
      </vt:variant>
      <vt:variant>
        <vt:i4>7995496</vt:i4>
      </vt:variant>
      <vt:variant>
        <vt:i4>330</vt:i4>
      </vt:variant>
      <vt:variant>
        <vt:i4>0</vt:i4>
      </vt:variant>
      <vt:variant>
        <vt:i4>5</vt:i4>
      </vt:variant>
      <vt:variant>
        <vt:lpwstr>https://doi.org/10.5937/spz65-33361</vt:lpwstr>
      </vt:variant>
      <vt:variant>
        <vt:lpwstr/>
      </vt:variant>
      <vt:variant>
        <vt:i4>7929962</vt:i4>
      </vt:variant>
      <vt:variant>
        <vt:i4>327</vt:i4>
      </vt:variant>
      <vt:variant>
        <vt:i4>0</vt:i4>
      </vt:variant>
      <vt:variant>
        <vt:i4>5</vt:i4>
      </vt:variant>
      <vt:variant>
        <vt:lpwstr>https://doi.org/10.5937/Rev1885071V</vt:lpwstr>
      </vt:variant>
      <vt:variant>
        <vt:lpwstr/>
      </vt:variant>
      <vt:variant>
        <vt:i4>6029365</vt:i4>
      </vt:variant>
      <vt:variant>
        <vt:i4>324</vt:i4>
      </vt:variant>
      <vt:variant>
        <vt:i4>0</vt:i4>
      </vt:variant>
      <vt:variant>
        <vt:i4>5</vt:i4>
      </vt:variant>
      <vt:variant>
        <vt:lpwstr>https://doi.org/10.56461/SPZ_24202KJ</vt:lpwstr>
      </vt:variant>
      <vt:variant>
        <vt:lpwstr/>
      </vt:variant>
      <vt:variant>
        <vt:i4>3407943</vt:i4>
      </vt:variant>
      <vt:variant>
        <vt:i4>321</vt:i4>
      </vt:variant>
      <vt:variant>
        <vt:i4>0</vt:i4>
      </vt:variant>
      <vt:variant>
        <vt:i4>5</vt:i4>
      </vt:variant>
      <vt:variant>
        <vt:lpwstr>https://doi.org/10.55836/PiP_22404A</vt:lpwstr>
      </vt:variant>
      <vt:variant>
        <vt:lpwstr/>
      </vt:variant>
      <vt:variant>
        <vt:i4>7405672</vt:i4>
      </vt:variant>
      <vt:variant>
        <vt:i4>318</vt:i4>
      </vt:variant>
      <vt:variant>
        <vt:i4>0</vt:i4>
      </vt:variant>
      <vt:variant>
        <vt:i4>5</vt:i4>
      </vt:variant>
      <vt:variant>
        <vt:lpwstr>https://doi.org/10.5937/Rev1885059M</vt:lpwstr>
      </vt:variant>
      <vt:variant>
        <vt:lpwstr/>
      </vt:variant>
      <vt:variant>
        <vt:i4>6946868</vt:i4>
      </vt:variant>
      <vt:variant>
        <vt:i4>315</vt:i4>
      </vt:variant>
      <vt:variant>
        <vt:i4>0</vt:i4>
      </vt:variant>
      <vt:variant>
        <vt:i4>5</vt:i4>
      </vt:variant>
      <vt:variant>
        <vt:lpwstr>https://milosevic-law.rs/nemo-postojanje-akcionarskih-drustava-u-srbiji</vt:lpwstr>
      </vt:variant>
      <vt:variant>
        <vt:lpwstr/>
      </vt:variant>
      <vt:variant>
        <vt:i4>524367</vt:i4>
      </vt:variant>
      <vt:variant>
        <vt:i4>312</vt:i4>
      </vt:variant>
      <vt:variant>
        <vt:i4>0</vt:i4>
      </vt:variant>
      <vt:variant>
        <vt:i4>5</vt:i4>
      </vt:variant>
      <vt:variant>
        <vt:lpwstr>https://www.crhov.rs/</vt:lpwstr>
      </vt:variant>
      <vt:variant>
        <vt:lpwstr/>
      </vt:variant>
      <vt:variant>
        <vt:i4>2359422</vt:i4>
      </vt:variant>
      <vt:variant>
        <vt:i4>309</vt:i4>
      </vt:variant>
      <vt:variant>
        <vt:i4>0</vt:i4>
      </vt:variant>
      <vt:variant>
        <vt:i4>5</vt:i4>
      </vt:variant>
      <vt:variant>
        <vt:lpwstr>https://ir.nis.rs/akcije-i-dividenda/akcije-i-vlasnicka-struktura/</vt:lpwstr>
      </vt:variant>
      <vt:variant>
        <vt:lpwstr/>
      </vt:variant>
      <vt:variant>
        <vt:i4>524367</vt:i4>
      </vt:variant>
      <vt:variant>
        <vt:i4>306</vt:i4>
      </vt:variant>
      <vt:variant>
        <vt:i4>0</vt:i4>
      </vt:variant>
      <vt:variant>
        <vt:i4>5</vt:i4>
      </vt:variant>
      <vt:variant>
        <vt:lpwstr>https://www.crhov.rs/</vt:lpwstr>
      </vt:variant>
      <vt:variant>
        <vt:lpwstr/>
      </vt:variant>
      <vt:variant>
        <vt:i4>458832</vt:i4>
      </vt:variant>
      <vt:variant>
        <vt:i4>303</vt:i4>
      </vt:variant>
      <vt:variant>
        <vt:i4>0</vt:i4>
      </vt:variant>
      <vt:variant>
        <vt:i4>5</vt:i4>
      </vt:variant>
      <vt:variant>
        <vt:lpwstr>https://lawyersserbia.com/serbian-trade-register/</vt:lpwstr>
      </vt:variant>
      <vt:variant>
        <vt:lpwstr/>
      </vt:variant>
      <vt:variant>
        <vt:i4>1441917</vt:i4>
      </vt:variant>
      <vt:variant>
        <vt:i4>300</vt:i4>
      </vt:variant>
      <vt:variant>
        <vt:i4>0</vt:i4>
      </vt:variant>
      <vt:variant>
        <vt:i4>5</vt:i4>
      </vt:variant>
      <vt:variant>
        <vt:lpwstr>https://www.stat.mk/media/ou0nchu2/makedonija-vo-brojki-2025-en-web.pdf?utm_source=chatgpt.com</vt:lpwstr>
      </vt:variant>
      <vt:variant>
        <vt:lpwstr/>
      </vt:variant>
      <vt:variant>
        <vt:i4>4653158</vt:i4>
      </vt:variant>
      <vt:variant>
        <vt:i4>297</vt:i4>
      </vt:variant>
      <vt:variant>
        <vt:i4>0</vt:i4>
      </vt:variant>
      <vt:variant>
        <vt:i4>5</vt:i4>
      </vt:variant>
      <vt:variant>
        <vt:lpwstr>https://www.sec.gov.mk/Mesecni-izvestai/izvestaj74?utm_source=chatgpt.com</vt:lpwstr>
      </vt:variant>
      <vt:variant>
        <vt:lpwstr/>
      </vt:variant>
      <vt:variant>
        <vt:i4>6946868</vt:i4>
      </vt:variant>
      <vt:variant>
        <vt:i4>294</vt:i4>
      </vt:variant>
      <vt:variant>
        <vt:i4>0</vt:i4>
      </vt:variant>
      <vt:variant>
        <vt:i4>5</vt:i4>
      </vt:variant>
      <vt:variant>
        <vt:lpwstr>https://milosevic-law.rs/nemo-postojanje-akcionarskih-drustava-u-srbiji</vt:lpwstr>
      </vt:variant>
      <vt:variant>
        <vt:lpwstr/>
      </vt:variant>
      <vt:variant>
        <vt:i4>1441880</vt:i4>
      </vt:variant>
      <vt:variant>
        <vt:i4>291</vt:i4>
      </vt:variant>
      <vt:variant>
        <vt:i4>0</vt:i4>
      </vt:variant>
      <vt:variant>
        <vt:i4>5</vt:i4>
      </vt:variant>
      <vt:variant>
        <vt:lpwstr>https://northmacedonia.un.org/mk/sdgs</vt:lpwstr>
      </vt:variant>
      <vt:variant>
        <vt:lpwstr/>
      </vt:variant>
      <vt:variant>
        <vt:i4>6094879</vt:i4>
      </vt:variant>
      <vt:variant>
        <vt:i4>288</vt:i4>
      </vt:variant>
      <vt:variant>
        <vt:i4>0</vt:i4>
      </vt:variant>
      <vt:variant>
        <vt:i4>5</vt:i4>
      </vt:variant>
      <vt:variant>
        <vt:lpwstr>https://unstats.un.org/sdgs/report/2025/</vt:lpwstr>
      </vt:variant>
      <vt:variant>
        <vt:lpwstr/>
      </vt:variant>
      <vt:variant>
        <vt:i4>196634</vt:i4>
      </vt:variant>
      <vt:variant>
        <vt:i4>285</vt:i4>
      </vt:variant>
      <vt:variant>
        <vt:i4>0</vt:i4>
      </vt:variant>
      <vt:variant>
        <vt:i4>5</vt:i4>
      </vt:variant>
      <vt:variant>
        <vt:lpwstr>https://sdgs.un.org/goals</vt:lpwstr>
      </vt:variant>
      <vt:variant>
        <vt:lpwstr/>
      </vt:variant>
      <vt:variant>
        <vt:i4>3014759</vt:i4>
      </vt:variant>
      <vt:variant>
        <vt:i4>282</vt:i4>
      </vt:variant>
      <vt:variant>
        <vt:i4>0</vt:i4>
      </vt:variant>
      <vt:variant>
        <vt:i4>5</vt:i4>
      </vt:variant>
      <vt:variant>
        <vt:lpwstr>https://unstats.un.org/sdgs/indicators/indicators-list/</vt:lpwstr>
      </vt:variant>
      <vt:variant>
        <vt:lpwstr/>
      </vt:variant>
      <vt:variant>
        <vt:i4>7798856</vt:i4>
      </vt:variant>
      <vt:variant>
        <vt:i4>279</vt:i4>
      </vt:variant>
      <vt:variant>
        <vt:i4>0</vt:i4>
      </vt:variant>
      <vt:variant>
        <vt:i4>5</vt:i4>
      </vt:variant>
      <vt:variant>
        <vt:lpwstr>https://www.ohchr.org/sites/default/files/Documents/Publications/GuidingPrinciplesBusinessHR_EN.pdf</vt:lpwstr>
      </vt:variant>
      <vt:variant>
        <vt:lpwstr/>
      </vt:variant>
      <vt:variant>
        <vt:i4>7798856</vt:i4>
      </vt:variant>
      <vt:variant>
        <vt:i4>276</vt:i4>
      </vt:variant>
      <vt:variant>
        <vt:i4>0</vt:i4>
      </vt:variant>
      <vt:variant>
        <vt:i4>5</vt:i4>
      </vt:variant>
      <vt:variant>
        <vt:lpwstr>https://www.ohchr.org/sites/default/files/Documents/Publications/GuidingPrinciplesBusinessHR_EN.pdf</vt:lpwstr>
      </vt:variant>
      <vt:variant>
        <vt:lpwstr/>
      </vt:variant>
      <vt:variant>
        <vt:i4>7798856</vt:i4>
      </vt:variant>
      <vt:variant>
        <vt:i4>273</vt:i4>
      </vt:variant>
      <vt:variant>
        <vt:i4>0</vt:i4>
      </vt:variant>
      <vt:variant>
        <vt:i4>5</vt:i4>
      </vt:variant>
      <vt:variant>
        <vt:lpwstr>https://www.ohchr.org/sites/default/files/Documents/Publications/GuidingPrinciplesBusinessHR_EN.pdf</vt:lpwstr>
      </vt:variant>
      <vt:variant>
        <vt:lpwstr/>
      </vt:variant>
      <vt:variant>
        <vt:i4>7078008</vt:i4>
      </vt:variant>
      <vt:variant>
        <vt:i4>270</vt:i4>
      </vt:variant>
      <vt:variant>
        <vt:i4>0</vt:i4>
      </vt:variant>
      <vt:variant>
        <vt:i4>5</vt:i4>
      </vt:variant>
      <vt:variant>
        <vt:lpwstr>https://business4goals.org/en/development-challenge/relevance-with-the-sdgs/</vt:lpwstr>
      </vt:variant>
      <vt:variant>
        <vt:lpwstr>:~:text=The%20SDGs%20offer%20an%20inspiring,of%20all%20sectors%20for%20sustainability.</vt:lpwstr>
      </vt:variant>
      <vt:variant>
        <vt:i4>7929958</vt:i4>
      </vt:variant>
      <vt:variant>
        <vt:i4>267</vt:i4>
      </vt:variant>
      <vt:variant>
        <vt:i4>0</vt:i4>
      </vt:variant>
      <vt:variant>
        <vt:i4>5</vt:i4>
      </vt:variant>
      <vt:variant>
        <vt:lpwstr>https://eur-lex.europa.eu/eli/dir/2022/2381/oj/eng</vt:lpwstr>
      </vt:variant>
      <vt:variant>
        <vt:lpwstr/>
      </vt:variant>
      <vt:variant>
        <vt:i4>7798884</vt:i4>
      </vt:variant>
      <vt:variant>
        <vt:i4>264</vt:i4>
      </vt:variant>
      <vt:variant>
        <vt:i4>0</vt:i4>
      </vt:variant>
      <vt:variant>
        <vt:i4>5</vt:i4>
      </vt:variant>
      <vt:variant>
        <vt:lpwstr>https://eur-lex.europa.eu/eli/dir/2022/2464/oj/eng</vt:lpwstr>
      </vt:variant>
      <vt:variant>
        <vt:lpwstr/>
      </vt:variant>
      <vt:variant>
        <vt:i4>7340159</vt:i4>
      </vt:variant>
      <vt:variant>
        <vt:i4>261</vt:i4>
      </vt:variant>
      <vt:variant>
        <vt:i4>0</vt:i4>
      </vt:variant>
      <vt:variant>
        <vt:i4>5</vt:i4>
      </vt:variant>
      <vt:variant>
        <vt:lpwstr>https://eur-lex.europa.eu/legal-content/EN/TXT/?uri=celex%3A32014L0095</vt:lpwstr>
      </vt:variant>
      <vt:variant>
        <vt:lpwstr/>
      </vt:variant>
      <vt:variant>
        <vt:i4>4259923</vt:i4>
      </vt:variant>
      <vt:variant>
        <vt:i4>258</vt:i4>
      </vt:variant>
      <vt:variant>
        <vt:i4>0</vt:i4>
      </vt:variant>
      <vt:variant>
        <vt:i4>5</vt:i4>
      </vt:variant>
      <vt:variant>
        <vt:lpwstr>https://eur-lex.europa.eu/eli/dir/2013/34/oj/eng</vt:lpwstr>
      </vt:variant>
      <vt:variant>
        <vt:lpwstr/>
      </vt:variant>
      <vt:variant>
        <vt:i4>7405676</vt:i4>
      </vt:variant>
      <vt:variant>
        <vt:i4>255</vt:i4>
      </vt:variant>
      <vt:variant>
        <vt:i4>0</vt:i4>
      </vt:variant>
      <vt:variant>
        <vt:i4>5</vt:i4>
      </vt:variant>
      <vt:variant>
        <vt:lpwstr>https://eur-lex.europa.eu/legal-content/en/ALL/?uri=CELEX%3A32009L0038</vt:lpwstr>
      </vt:variant>
      <vt:variant>
        <vt:lpwstr/>
      </vt:variant>
      <vt:variant>
        <vt:i4>4522068</vt:i4>
      </vt:variant>
      <vt:variant>
        <vt:i4>252</vt:i4>
      </vt:variant>
      <vt:variant>
        <vt:i4>0</vt:i4>
      </vt:variant>
      <vt:variant>
        <vt:i4>5</vt:i4>
      </vt:variant>
      <vt:variant>
        <vt:lpwstr>https://eur-lex.europa.eu/eli/dir/2003/72/oj/eng</vt:lpwstr>
      </vt:variant>
      <vt:variant>
        <vt:lpwstr/>
      </vt:variant>
      <vt:variant>
        <vt:i4>1376320</vt:i4>
      </vt:variant>
      <vt:variant>
        <vt:i4>249</vt:i4>
      </vt:variant>
      <vt:variant>
        <vt:i4>0</vt:i4>
      </vt:variant>
      <vt:variant>
        <vt:i4>5</vt:i4>
      </vt:variant>
      <vt:variant>
        <vt:lpwstr>https://eur-lex.europa.eu/legal-content/EN/TXT/?uri=celex:32003R1435</vt:lpwstr>
      </vt:variant>
      <vt:variant>
        <vt:lpwstr/>
      </vt:variant>
      <vt:variant>
        <vt:i4>4325458</vt:i4>
      </vt:variant>
      <vt:variant>
        <vt:i4>246</vt:i4>
      </vt:variant>
      <vt:variant>
        <vt:i4>0</vt:i4>
      </vt:variant>
      <vt:variant>
        <vt:i4>5</vt:i4>
      </vt:variant>
      <vt:variant>
        <vt:lpwstr>https://eur-lex.europa.eu/eli/dir/2002/14/oj/eng</vt:lpwstr>
      </vt:variant>
      <vt:variant>
        <vt:lpwstr/>
      </vt:variant>
      <vt:variant>
        <vt:i4>4718672</vt:i4>
      </vt:variant>
      <vt:variant>
        <vt:i4>243</vt:i4>
      </vt:variant>
      <vt:variant>
        <vt:i4>0</vt:i4>
      </vt:variant>
      <vt:variant>
        <vt:i4>5</vt:i4>
      </vt:variant>
      <vt:variant>
        <vt:lpwstr>https://eur-lex.europa.eu/eli/dir/2001/86/oj/eng</vt:lpwstr>
      </vt:variant>
      <vt:variant>
        <vt:lpwstr/>
      </vt:variant>
      <vt:variant>
        <vt:i4>8061027</vt:i4>
      </vt:variant>
      <vt:variant>
        <vt:i4>240</vt:i4>
      </vt:variant>
      <vt:variant>
        <vt:i4>0</vt:i4>
      </vt:variant>
      <vt:variant>
        <vt:i4>5</vt:i4>
      </vt:variant>
      <vt:variant>
        <vt:lpwstr>https://eur-lex.europa.eu/eli/reg/2001/2157/oj/eng</vt:lpwstr>
      </vt:variant>
      <vt:variant>
        <vt:lpwstr/>
      </vt:variant>
      <vt:variant>
        <vt:i4>4325461</vt:i4>
      </vt:variant>
      <vt:variant>
        <vt:i4>237</vt:i4>
      </vt:variant>
      <vt:variant>
        <vt:i4>0</vt:i4>
      </vt:variant>
      <vt:variant>
        <vt:i4>5</vt:i4>
      </vt:variant>
      <vt:variant>
        <vt:lpwstr>https://eur-lex.europa.eu/eli/dir/2001/23/oj/eng</vt:lpwstr>
      </vt:variant>
      <vt:variant>
        <vt:lpwstr/>
      </vt:variant>
      <vt:variant>
        <vt:i4>7995490</vt:i4>
      </vt:variant>
      <vt:variant>
        <vt:i4>234</vt:i4>
      </vt:variant>
      <vt:variant>
        <vt:i4>0</vt:i4>
      </vt:variant>
      <vt:variant>
        <vt:i4>5</vt:i4>
      </vt:variant>
      <vt:variant>
        <vt:lpwstr>https://eur-lex.europa.eu/legal-content/EN/ALL/?uri=CELEX%3A31998L0059</vt:lpwstr>
      </vt:variant>
      <vt:variant>
        <vt:lpwstr/>
      </vt:variant>
      <vt:variant>
        <vt:i4>5242952</vt:i4>
      </vt:variant>
      <vt:variant>
        <vt:i4>231</vt:i4>
      </vt:variant>
      <vt:variant>
        <vt:i4>0</vt:i4>
      </vt:variant>
      <vt:variant>
        <vt:i4>5</vt:i4>
      </vt:variant>
      <vt:variant>
        <vt:lpwstr>https://rm.coe.int/rap-rcha-mkd-8-2021/1680a2b0b0</vt:lpwstr>
      </vt:variant>
      <vt:variant>
        <vt:lpwstr/>
      </vt:variant>
      <vt:variant>
        <vt:i4>2424940</vt:i4>
      </vt:variant>
      <vt:variant>
        <vt:i4>228</vt:i4>
      </vt:variant>
      <vt:variant>
        <vt:i4>0</vt:i4>
      </vt:variant>
      <vt:variant>
        <vt:i4>5</vt:i4>
      </vt:variant>
      <vt:variant>
        <vt:lpwstr>https://www.rolplatform.org/%D0%B8%D0%B7%D0%B2%D1%80%D1%88%D1%83%D0%B2%D0%B0%D1%9A%D0%B5-%D0%BD%D0%B0-%D0%BF%D1%80%D0%B5%D1%81%D1%83%D0%B4%D0%B8%D1%82%D0%B5-%D0%BD%D0%B0-%D0%B5%D1%81%D1%87%D0%BF-%D0%B2%D0%BE-%D1%81%D0%B5%D0%B2/</vt:lpwstr>
      </vt:variant>
      <vt:variant>
        <vt:lpwstr/>
      </vt:variant>
      <vt:variant>
        <vt:i4>5570562</vt:i4>
      </vt:variant>
      <vt:variant>
        <vt:i4>225</vt:i4>
      </vt:variant>
      <vt:variant>
        <vt:i4>0</vt:i4>
      </vt:variant>
      <vt:variant>
        <vt:i4>5</vt:i4>
      </vt:variant>
      <vt:variant>
        <vt:lpwstr>https://rm.coe.int/north-macedonia-20220630-deliverable-2/1680a8c31f</vt:lpwstr>
      </vt:variant>
      <vt:variant>
        <vt:lpwstr/>
      </vt:variant>
      <vt:variant>
        <vt:i4>5898266</vt:i4>
      </vt:variant>
      <vt:variant>
        <vt:i4>222</vt:i4>
      </vt:variant>
      <vt:variant>
        <vt:i4>0</vt:i4>
      </vt:variant>
      <vt:variant>
        <vt:i4>5</vt:i4>
      </vt:variant>
      <vt:variant>
        <vt:lpwstr>https://epi.org.mk/post/17691</vt:lpwstr>
      </vt:variant>
      <vt:variant>
        <vt:lpwstr/>
      </vt:variant>
      <vt:variant>
        <vt:i4>5570562</vt:i4>
      </vt:variant>
      <vt:variant>
        <vt:i4>219</vt:i4>
      </vt:variant>
      <vt:variant>
        <vt:i4>0</vt:i4>
      </vt:variant>
      <vt:variant>
        <vt:i4>5</vt:i4>
      </vt:variant>
      <vt:variant>
        <vt:lpwstr>https://rm.coe.int/north-macedonia-20220630-deliverable-2/1680a8c31f</vt:lpwstr>
      </vt:variant>
      <vt:variant>
        <vt:lpwstr/>
      </vt:variant>
      <vt:variant>
        <vt:i4>2818152</vt:i4>
      </vt:variant>
      <vt:variant>
        <vt:i4>216</vt:i4>
      </vt:variant>
      <vt:variant>
        <vt:i4>0</vt:i4>
      </vt:variant>
      <vt:variant>
        <vt:i4>5</vt:i4>
      </vt:variant>
      <vt:variant>
        <vt:lpwstr>https://www.coe.int/en/web/european-social-charter/european-committee-of-social-rights</vt:lpwstr>
      </vt:variant>
      <vt:variant>
        <vt:lpwstr/>
      </vt:variant>
      <vt:variant>
        <vt:i4>4259908</vt:i4>
      </vt:variant>
      <vt:variant>
        <vt:i4>213</vt:i4>
      </vt:variant>
      <vt:variant>
        <vt:i4>0</vt:i4>
      </vt:variant>
      <vt:variant>
        <vt:i4>5</vt:i4>
      </vt:variant>
      <vt:variant>
        <vt:lpwstr>https://www.coe.int/en/web/european-social-charter/conclusions-decisions-questionnaires-ecsr</vt:lpwstr>
      </vt:variant>
      <vt:variant>
        <vt:lpwstr/>
      </vt:variant>
      <vt:variant>
        <vt:i4>5177393</vt:i4>
      </vt:variant>
      <vt:variant>
        <vt:i4>210</vt:i4>
      </vt:variant>
      <vt:variant>
        <vt:i4>0</vt:i4>
      </vt:variant>
      <vt:variant>
        <vt:i4>5</vt:i4>
      </vt:variant>
      <vt:variant>
        <vt:lpwstr>https://ks.echr.coe.int/documents/d/echr-ks/guide_art_11_eng</vt:lpwstr>
      </vt:variant>
      <vt:variant>
        <vt:lpwstr/>
      </vt:variant>
      <vt:variant>
        <vt:i4>2818147</vt:i4>
      </vt:variant>
      <vt:variant>
        <vt:i4>207</vt:i4>
      </vt:variant>
      <vt:variant>
        <vt:i4>0</vt:i4>
      </vt:variant>
      <vt:variant>
        <vt:i4>5</vt:i4>
      </vt:variant>
      <vt:variant>
        <vt:lpwstr>https://hudoc.echr.coe.int/eng</vt:lpwstr>
      </vt:variant>
      <vt:variant>
        <vt:lpwstr>{%22itemid%22:[%22001-92266%22]}</vt:lpwstr>
      </vt:variant>
      <vt:variant>
        <vt:i4>1835027</vt:i4>
      </vt:variant>
      <vt:variant>
        <vt:i4>204</vt:i4>
      </vt:variant>
      <vt:variant>
        <vt:i4>0</vt:i4>
      </vt:variant>
      <vt:variant>
        <vt:i4>5</vt:i4>
      </vt:variant>
      <vt:variant>
        <vt:lpwstr>https://hudoc.echr.coe.int/eng</vt:lpwstr>
      </vt:variant>
      <vt:variant>
        <vt:lpwstr>{%22itemid%22:[%22001-122763%22]}</vt:lpwstr>
      </vt:variant>
      <vt:variant>
        <vt:i4>1835044</vt:i4>
      </vt:variant>
      <vt:variant>
        <vt:i4>201</vt:i4>
      </vt:variant>
      <vt:variant>
        <vt:i4>0</vt:i4>
      </vt:variant>
      <vt:variant>
        <vt:i4>5</vt:i4>
      </vt:variant>
      <vt:variant>
        <vt:lpwstr>https://ks.echr.coe.int/documents/d/echr-ks/guide_art_14_art_1_protocol_12_eng</vt:lpwstr>
      </vt:variant>
      <vt:variant>
        <vt:lpwstr/>
      </vt:variant>
      <vt:variant>
        <vt:i4>1835044</vt:i4>
      </vt:variant>
      <vt:variant>
        <vt:i4>198</vt:i4>
      </vt:variant>
      <vt:variant>
        <vt:i4>0</vt:i4>
      </vt:variant>
      <vt:variant>
        <vt:i4>5</vt:i4>
      </vt:variant>
      <vt:variant>
        <vt:lpwstr>https://ks.echr.coe.int/documents/d/echr-ks/guide_art_14_art_1_protocol_12_eng</vt:lpwstr>
      </vt:variant>
      <vt:variant>
        <vt:lpwstr/>
      </vt:variant>
      <vt:variant>
        <vt:i4>5177393</vt:i4>
      </vt:variant>
      <vt:variant>
        <vt:i4>195</vt:i4>
      </vt:variant>
      <vt:variant>
        <vt:i4>0</vt:i4>
      </vt:variant>
      <vt:variant>
        <vt:i4>5</vt:i4>
      </vt:variant>
      <vt:variant>
        <vt:lpwstr>https://ks.echr.coe.int/documents/d/echr-ks/guide_art_11_eng</vt:lpwstr>
      </vt:variant>
      <vt:variant>
        <vt:lpwstr/>
      </vt:variant>
      <vt:variant>
        <vt:i4>524363</vt:i4>
      </vt:variant>
      <vt:variant>
        <vt:i4>192</vt:i4>
      </vt:variant>
      <vt:variant>
        <vt:i4>0</vt:i4>
      </vt:variant>
      <vt:variant>
        <vt:i4>5</vt:i4>
      </vt:variant>
      <vt:variant>
        <vt:lpwstr>https://rm.coe.int/1680700aaf</vt:lpwstr>
      </vt:variant>
      <vt:variant>
        <vt:lpwstr/>
      </vt:variant>
      <vt:variant>
        <vt:i4>524363</vt:i4>
      </vt:variant>
      <vt:variant>
        <vt:i4>189</vt:i4>
      </vt:variant>
      <vt:variant>
        <vt:i4>0</vt:i4>
      </vt:variant>
      <vt:variant>
        <vt:i4>5</vt:i4>
      </vt:variant>
      <vt:variant>
        <vt:lpwstr>https://rm.coe.int/1680700aaf</vt:lpwstr>
      </vt:variant>
      <vt:variant>
        <vt:lpwstr/>
      </vt:variant>
      <vt:variant>
        <vt:i4>2359420</vt:i4>
      </vt:variant>
      <vt:variant>
        <vt:i4>186</vt:i4>
      </vt:variant>
      <vt:variant>
        <vt:i4>0</vt:i4>
      </vt:variant>
      <vt:variant>
        <vt:i4>5</vt:i4>
      </vt:variant>
      <vt:variant>
        <vt:lpwstr>https://www.coe.int/en/web/centre-of-expertise-for-multilevel-governance/12-principles</vt:lpwstr>
      </vt:variant>
      <vt:variant>
        <vt:lpwstr/>
      </vt:variant>
      <vt:variant>
        <vt:i4>6094916</vt:i4>
      </vt:variant>
      <vt:variant>
        <vt:i4>183</vt:i4>
      </vt:variant>
      <vt:variant>
        <vt:i4>0</vt:i4>
      </vt:variant>
      <vt:variant>
        <vt:i4>5</vt:i4>
      </vt:variant>
      <vt:variant>
        <vt:lpwstr>https://www.mse.mk/Repository/%D0%9A%D0%BE%D0%B4%D0%B5%D0%BA%D1%81/KKU final - Copy 1.pdf</vt:lpwstr>
      </vt:variant>
      <vt:variant>
        <vt:lpwstr/>
      </vt:variant>
      <vt:variant>
        <vt:i4>6029389</vt:i4>
      </vt:variant>
      <vt:variant>
        <vt:i4>180</vt:i4>
      </vt:variant>
      <vt:variant>
        <vt:i4>0</vt:i4>
      </vt:variant>
      <vt:variant>
        <vt:i4>5</vt:i4>
      </vt:variant>
      <vt:variant>
        <vt:lpwstr>https://www.legislation.gov.uk/ukpga/2006/46/section/172</vt:lpwstr>
      </vt:variant>
      <vt:variant>
        <vt:lpwstr/>
      </vt:variant>
      <vt:variant>
        <vt:i4>8192038</vt:i4>
      </vt:variant>
      <vt:variant>
        <vt:i4>177</vt:i4>
      </vt:variant>
      <vt:variant>
        <vt:i4>0</vt:i4>
      </vt:variant>
      <vt:variant>
        <vt:i4>5</vt:i4>
      </vt:variant>
      <vt:variant>
        <vt:lpwstr>https://doi.org/10.1787/ed750b30-en</vt:lpwstr>
      </vt:variant>
      <vt:variant>
        <vt:lpwstr/>
      </vt:variant>
      <vt:variant>
        <vt:i4>3211352</vt:i4>
      </vt:variant>
      <vt:variant>
        <vt:i4>174</vt:i4>
      </vt:variant>
      <vt:variant>
        <vt:i4>0</vt:i4>
      </vt:variant>
      <vt:variant>
        <vt:i4>5</vt:i4>
      </vt:variant>
      <vt:variant>
        <vt:lpwstr>https://www.oecd.org/content/dam/oecd/en/publications/reports/2023/09/g20-oecd-principles-of-corporate-governance-2023_60836fcb/ed750b30-en.pdf</vt:lpwstr>
      </vt:variant>
      <vt:variant>
        <vt:lpwstr/>
      </vt:variant>
      <vt:variant>
        <vt:i4>3211352</vt:i4>
      </vt:variant>
      <vt:variant>
        <vt:i4>171</vt:i4>
      </vt:variant>
      <vt:variant>
        <vt:i4>0</vt:i4>
      </vt:variant>
      <vt:variant>
        <vt:i4>5</vt:i4>
      </vt:variant>
      <vt:variant>
        <vt:lpwstr>https://www.oecd.org/content/dam/oecd/en/publications/reports/2023/09/g20-oecd-principles-of-corporate-governance-2023_60836fcb/ed750b30-en.pdf</vt:lpwstr>
      </vt:variant>
      <vt:variant>
        <vt:lpwstr/>
      </vt:variant>
      <vt:variant>
        <vt:i4>589949</vt:i4>
      </vt:variant>
      <vt:variant>
        <vt:i4>168</vt:i4>
      </vt:variant>
      <vt:variant>
        <vt:i4>0</vt:i4>
      </vt:variant>
      <vt:variant>
        <vt:i4>5</vt:i4>
      </vt:variant>
      <vt:variant>
        <vt:lpwstr>https://enlargement.ec.europa.eu/system/files/2023-11/SWD_2023_693 North Macedonia report.pdf?utm_source=chatgpt.com</vt:lpwstr>
      </vt:variant>
      <vt:variant>
        <vt:lpwstr/>
      </vt:variant>
      <vt:variant>
        <vt:i4>7929950</vt:i4>
      </vt:variant>
      <vt:variant>
        <vt:i4>165</vt:i4>
      </vt:variant>
      <vt:variant>
        <vt:i4>0</vt:i4>
      </vt:variant>
      <vt:variant>
        <vt:i4>5</vt:i4>
      </vt:variant>
      <vt:variant>
        <vt:lpwstr>https://mtsp.gov.mk/content/pdf/trud_2017/2024/CollectiveAgreements 13.03.2024.pdf</vt:lpwstr>
      </vt:variant>
      <vt:variant>
        <vt:lpwstr/>
      </vt:variant>
      <vt:variant>
        <vt:i4>6094885</vt:i4>
      </vt:variant>
      <vt:variant>
        <vt:i4>162</vt:i4>
      </vt:variant>
      <vt:variant>
        <vt:i4>0</vt:i4>
      </vt:variant>
      <vt:variant>
        <vt:i4>5</vt:i4>
      </vt:variant>
      <vt:variant>
        <vt:lpwstr>https://macedonia2025.com/wp-content/uploads/2024/07/PERHOUSE-National-Report-Macedonia.pdf?utm_source=chatgpt.com</vt:lpwstr>
      </vt:variant>
      <vt:variant>
        <vt:lpwstr/>
      </vt:variant>
      <vt:variant>
        <vt:i4>2293800</vt:i4>
      </vt:variant>
      <vt:variant>
        <vt:i4>159</vt:i4>
      </vt:variant>
      <vt:variant>
        <vt:i4>0</vt:i4>
      </vt:variant>
      <vt:variant>
        <vt:i4>5</vt:i4>
      </vt:variant>
      <vt:variant>
        <vt:lpwstr>https://www.oecd.org/en/publications/membership-of-unions-and-employers-organisations-and-bargaining-coverage_fe47107c-en/full-report.html?utm_source=chatgpt.com</vt:lpwstr>
      </vt:variant>
      <vt:variant>
        <vt:lpwstr/>
      </vt:variant>
      <vt:variant>
        <vt:i4>589951</vt:i4>
      </vt:variant>
      <vt:variant>
        <vt:i4>156</vt:i4>
      </vt:variant>
      <vt:variant>
        <vt:i4>0</vt:i4>
      </vt:variant>
      <vt:variant>
        <vt:i4>5</vt:i4>
      </vt:variant>
      <vt:variant>
        <vt:lpwstr>https://api.fairwear.org/wp-content/uploads/2021/04/North-Macedonia-Country-Study-2021.pdf?utm_source=chatgpt.com</vt:lpwstr>
      </vt:variant>
      <vt:variant>
        <vt:lpwstr/>
      </vt:variant>
      <vt:variant>
        <vt:i4>6094885</vt:i4>
      </vt:variant>
      <vt:variant>
        <vt:i4>153</vt:i4>
      </vt:variant>
      <vt:variant>
        <vt:i4>0</vt:i4>
      </vt:variant>
      <vt:variant>
        <vt:i4>5</vt:i4>
      </vt:variant>
      <vt:variant>
        <vt:lpwstr>https://macedonia2025.com/wp-content/uploads/2024/07/PERHOUSE-National-Report-Macedonia.pdf?utm_source=chatgpt.com</vt:lpwstr>
      </vt:variant>
      <vt:variant>
        <vt:lpwstr/>
      </vt:variant>
      <vt:variant>
        <vt:i4>3538971</vt:i4>
      </vt:variant>
      <vt:variant>
        <vt:i4>150</vt:i4>
      </vt:variant>
      <vt:variant>
        <vt:i4>0</vt:i4>
      </vt:variant>
      <vt:variant>
        <vt:i4>5</vt:i4>
      </vt:variant>
      <vt:variant>
        <vt:lpwstr>https://www.mtsp.gov.mk/registri-ns_article-registar-na-sindikati-1.nspx</vt:lpwstr>
      </vt:variant>
      <vt:variant>
        <vt:lpwstr/>
      </vt:variant>
      <vt:variant>
        <vt:i4>2752612</vt:i4>
      </vt:variant>
      <vt:variant>
        <vt:i4>147</vt:i4>
      </vt:variant>
      <vt:variant>
        <vt:i4>0</vt:i4>
      </vt:variant>
      <vt:variant>
        <vt:i4>5</vt:i4>
      </vt:variant>
      <vt:variant>
        <vt:lpwstr>https://www.ilo.org/regions-and-countries/europe-and-central-asia/north-macedonia-republic</vt:lpwstr>
      </vt:variant>
      <vt:variant>
        <vt:lpwstr/>
      </vt:variant>
      <vt:variant>
        <vt:i4>7209058</vt:i4>
      </vt:variant>
      <vt:variant>
        <vt:i4>144</vt:i4>
      </vt:variant>
      <vt:variant>
        <vt:i4>0</vt:i4>
      </vt:variant>
      <vt:variant>
        <vt:i4>5</vt:i4>
      </vt:variant>
      <vt:variant>
        <vt:lpwstr>https://www.ilo.org/international-labour-standards</vt:lpwstr>
      </vt:variant>
      <vt:variant>
        <vt:lpwstr/>
      </vt:variant>
      <vt:variant>
        <vt:i4>393270</vt:i4>
      </vt:variant>
      <vt:variant>
        <vt:i4>141</vt:i4>
      </vt:variant>
      <vt:variant>
        <vt:i4>0</vt:i4>
      </vt:variant>
      <vt:variant>
        <vt:i4>5</vt:i4>
      </vt:variant>
      <vt:variant>
        <vt:lpwstr>https://normlex.ilo.org/dyn/nrmlx_en/f?p=NORMLEXPUB:12100:0::NO:12100:P12100_INSTRUMENT_ID:312432:NO</vt:lpwstr>
      </vt:variant>
      <vt:variant>
        <vt:lpwstr/>
      </vt:variant>
      <vt:variant>
        <vt:i4>6881375</vt:i4>
      </vt:variant>
      <vt:variant>
        <vt:i4>138</vt:i4>
      </vt:variant>
      <vt:variant>
        <vt:i4>0</vt:i4>
      </vt:variant>
      <vt:variant>
        <vt:i4>5</vt:i4>
      </vt:variant>
      <vt:variant>
        <vt:lpwstr>https://normlex.ilo.org/dyn/nrmlx_en/f?p=NORMLEXPUB:12100:0::NO::P12100_ILO_CODE:R163</vt:lpwstr>
      </vt:variant>
      <vt:variant>
        <vt:lpwstr/>
      </vt:variant>
      <vt:variant>
        <vt:i4>3014725</vt:i4>
      </vt:variant>
      <vt:variant>
        <vt:i4>135</vt:i4>
      </vt:variant>
      <vt:variant>
        <vt:i4>0</vt:i4>
      </vt:variant>
      <vt:variant>
        <vt:i4>5</vt:i4>
      </vt:variant>
      <vt:variant>
        <vt:lpwstr>https://www.ssm.org.mk/sites/default/files/files/dokumenti/2016/06/konvencija_br._154_za_kolektivno_dogovaranje.pdf</vt:lpwstr>
      </vt:variant>
      <vt:variant>
        <vt:lpwstr/>
      </vt:variant>
      <vt:variant>
        <vt:i4>655420</vt:i4>
      </vt:variant>
      <vt:variant>
        <vt:i4>132</vt:i4>
      </vt:variant>
      <vt:variant>
        <vt:i4>0</vt:i4>
      </vt:variant>
      <vt:variant>
        <vt:i4>5</vt:i4>
      </vt:variant>
      <vt:variant>
        <vt:lpwstr>https://normlex.ilo.org/dyn/nrmlx_en/f?p=NORMLEXPUB:12100:0::NO::P12100_INSTRUMENT_ID:312280</vt:lpwstr>
      </vt:variant>
      <vt:variant>
        <vt:lpwstr/>
      </vt:variant>
      <vt:variant>
        <vt:i4>655420</vt:i4>
      </vt:variant>
      <vt:variant>
        <vt:i4>129</vt:i4>
      </vt:variant>
      <vt:variant>
        <vt:i4>0</vt:i4>
      </vt:variant>
      <vt:variant>
        <vt:i4>5</vt:i4>
      </vt:variant>
      <vt:variant>
        <vt:lpwstr>https://normlex.ilo.org/dyn/nrmlx_en/f?p=NORMLEXPUB:12100:0::NO::P12100_INSTRUMENT_ID:312280</vt:lpwstr>
      </vt:variant>
      <vt:variant>
        <vt:lpwstr/>
      </vt:variant>
      <vt:variant>
        <vt:i4>39</vt:i4>
      </vt:variant>
      <vt:variant>
        <vt:i4>126</vt:i4>
      </vt:variant>
      <vt:variant>
        <vt:i4>0</vt:i4>
      </vt:variant>
      <vt:variant>
        <vt:i4>5</vt:i4>
      </vt:variant>
      <vt:variant>
        <vt:lpwstr>https://normlex.ilo.org/dyn/nrmlx_en/f?p=1000:11200:::::P11200_INSTRUMENT_SORT:4</vt:lpwstr>
      </vt:variant>
      <vt:variant>
        <vt:lpwstr/>
      </vt:variant>
      <vt:variant>
        <vt:i4>3014685</vt:i4>
      </vt:variant>
      <vt:variant>
        <vt:i4>123</vt:i4>
      </vt:variant>
      <vt:variant>
        <vt:i4>0</vt:i4>
      </vt:variant>
      <vt:variant>
        <vt:i4>5</vt:i4>
      </vt:variant>
      <vt:variant>
        <vt:lpwstr>https://crpm.org.mk/wp-content/uploads/2021/07/CRPM_EWCNationalReport.pdf</vt:lpwstr>
      </vt:variant>
      <vt:variant>
        <vt:lpwstr/>
      </vt:variant>
      <vt:variant>
        <vt:i4>6881389</vt:i4>
      </vt:variant>
      <vt:variant>
        <vt:i4>120</vt:i4>
      </vt:variant>
      <vt:variant>
        <vt:i4>0</vt:i4>
      </vt:variant>
      <vt:variant>
        <vt:i4>5</vt:i4>
      </vt:variant>
      <vt:variant>
        <vt:lpwstr>https://www.cnbc.com/2025/07/25/congress-employee-stock-grant-bill.html</vt:lpwstr>
      </vt:variant>
      <vt:variant>
        <vt:lpwstr/>
      </vt:variant>
      <vt:variant>
        <vt:i4>1769568</vt:i4>
      </vt:variant>
      <vt:variant>
        <vt:i4>117</vt:i4>
      </vt:variant>
      <vt:variant>
        <vt:i4>0</vt:i4>
      </vt:variant>
      <vt:variant>
        <vt:i4>5</vt:i4>
      </vt:variant>
      <vt:variant>
        <vt:lpwstr>https://www.wfd.org/sites/default/files/2024-05/Mladi na popis_so finalen tekst_02_so korekcii.pdf</vt:lpwstr>
      </vt:variant>
      <vt:variant>
        <vt:lpwstr/>
      </vt:variant>
      <vt:variant>
        <vt:i4>3080234</vt:i4>
      </vt:variant>
      <vt:variant>
        <vt:i4>114</vt:i4>
      </vt:variant>
      <vt:variant>
        <vt:i4>0</vt:i4>
      </vt:variant>
      <vt:variant>
        <vt:i4>5</vt:i4>
      </vt:variant>
      <vt:variant>
        <vt:lpwstr>https://s27147.pcdn.co/wp-content/uploads/Comments-USDOL-Joint-Employer-Status-FLSA.pdf</vt:lpwstr>
      </vt:variant>
      <vt:variant>
        <vt:lpwstr/>
      </vt:variant>
      <vt:variant>
        <vt:i4>2752618</vt:i4>
      </vt:variant>
      <vt:variant>
        <vt:i4>111</vt:i4>
      </vt:variant>
      <vt:variant>
        <vt:i4>0</vt:i4>
      </vt:variant>
      <vt:variant>
        <vt:i4>5</vt:i4>
      </vt:variant>
      <vt:variant>
        <vt:lpwstr>https://doi.org/10.2307/3311682</vt:lpwstr>
      </vt:variant>
      <vt:variant>
        <vt:lpwstr/>
      </vt:variant>
      <vt:variant>
        <vt:i4>3276827</vt:i4>
      </vt:variant>
      <vt:variant>
        <vt:i4>108</vt:i4>
      </vt:variant>
      <vt:variant>
        <vt:i4>0</vt:i4>
      </vt:variant>
      <vt:variant>
        <vt:i4>5</vt:i4>
      </vt:variant>
      <vt:variant>
        <vt:lpwstr>https://www.ineteconomics.org/uploads/papers/WP_111-Lazonick-Penrose-Neoclassical-Fallacy.pdf</vt:lpwstr>
      </vt:variant>
      <vt:variant>
        <vt:lpwstr/>
      </vt:variant>
      <vt:variant>
        <vt:i4>3211326</vt:i4>
      </vt:variant>
      <vt:variant>
        <vt:i4>105</vt:i4>
      </vt:variant>
      <vt:variant>
        <vt:i4>0</vt:i4>
      </vt:variant>
      <vt:variant>
        <vt:i4>5</vt:i4>
      </vt:variant>
      <vt:variant>
        <vt:lpwstr>https://www.britannica.com/event/Enron-scandal</vt:lpwstr>
      </vt:variant>
      <vt:variant>
        <vt:lpwstr/>
      </vt:variant>
      <vt:variant>
        <vt:i4>6094939</vt:i4>
      </vt:variant>
      <vt:variant>
        <vt:i4>102</vt:i4>
      </vt:variant>
      <vt:variant>
        <vt:i4>0</vt:i4>
      </vt:variant>
      <vt:variant>
        <vt:i4>5</vt:i4>
      </vt:variant>
      <vt:variant>
        <vt:lpwstr>https://doi.org/10.1109/emr.1975.4306431</vt:lpwstr>
      </vt:variant>
      <vt:variant>
        <vt:lpwstr/>
      </vt:variant>
      <vt:variant>
        <vt:i4>6619252</vt:i4>
      </vt:variant>
      <vt:variant>
        <vt:i4>99</vt:i4>
      </vt:variant>
      <vt:variant>
        <vt:i4>0</vt:i4>
      </vt:variant>
      <vt:variant>
        <vt:i4>5</vt:i4>
      </vt:variant>
      <vt:variant>
        <vt:lpwstr>https://www.johnlewispartnership.co.uk/</vt:lpwstr>
      </vt:variant>
      <vt:variant>
        <vt:lpwstr/>
      </vt:variant>
      <vt:variant>
        <vt:i4>4849742</vt:i4>
      </vt:variant>
      <vt:variant>
        <vt:i4>96</vt:i4>
      </vt:variant>
      <vt:variant>
        <vt:i4>0</vt:i4>
      </vt:variant>
      <vt:variant>
        <vt:i4>5</vt:i4>
      </vt:variant>
      <vt:variant>
        <vt:lpwstr>https://www.forbes.com/sites/maryjosephs/2014/11/05/millionaire-grocery-clerks-the-amazing-winco-foods-story/</vt:lpwstr>
      </vt:variant>
      <vt:variant>
        <vt:lpwstr/>
      </vt:variant>
      <vt:variant>
        <vt:i4>4980759</vt:i4>
      </vt:variant>
      <vt:variant>
        <vt:i4>93</vt:i4>
      </vt:variant>
      <vt:variant>
        <vt:i4>0</vt:i4>
      </vt:variant>
      <vt:variant>
        <vt:i4>5</vt:i4>
      </vt:variant>
      <vt:variant>
        <vt:lpwstr>https://www.nceo.org/</vt:lpwstr>
      </vt:variant>
      <vt:variant>
        <vt:lpwstr/>
      </vt:variant>
      <vt:variant>
        <vt:i4>6684705</vt:i4>
      </vt:variant>
      <vt:variant>
        <vt:i4>90</vt:i4>
      </vt:variant>
      <vt:variant>
        <vt:i4>0</vt:i4>
      </vt:variant>
      <vt:variant>
        <vt:i4>5</vt:i4>
      </vt:variant>
      <vt:variant>
        <vt:lpwstr>https://doi:.org/10.1086/209983</vt:lpwstr>
      </vt:variant>
      <vt:variant>
        <vt:lpwstr/>
      </vt:variant>
      <vt:variant>
        <vt:i4>4849749</vt:i4>
      </vt:variant>
      <vt:variant>
        <vt:i4>87</vt:i4>
      </vt:variant>
      <vt:variant>
        <vt:i4>0</vt:i4>
      </vt:variant>
      <vt:variant>
        <vt:i4>5</vt:i4>
      </vt:variant>
      <vt:variant>
        <vt:lpwstr>https://berniesanders.com/issues/corporate-accountability-and-democracy/,</vt:lpwstr>
      </vt:variant>
      <vt:variant>
        <vt:lpwstr/>
      </vt:variant>
      <vt:variant>
        <vt:i4>6815791</vt:i4>
      </vt:variant>
      <vt:variant>
        <vt:i4>84</vt:i4>
      </vt:variant>
      <vt:variant>
        <vt:i4>0</vt:i4>
      </vt:variant>
      <vt:variant>
        <vt:i4>5</vt:i4>
      </vt:variant>
      <vt:variant>
        <vt:lpwstr>https://www.congress.gov/bill/115th-congress/senate-bill/3348/text</vt:lpwstr>
      </vt:variant>
      <vt:variant>
        <vt:lpwstr/>
      </vt:variant>
      <vt:variant>
        <vt:i4>7143463</vt:i4>
      </vt:variant>
      <vt:variant>
        <vt:i4>81</vt:i4>
      </vt:variant>
      <vt:variant>
        <vt:i4>0</vt:i4>
      </vt:variant>
      <vt:variant>
        <vt:i4>5</vt:i4>
      </vt:variant>
      <vt:variant>
        <vt:lpwstr>https://www.congress.gov/bill/115th-congress/senate-bill/2605/text</vt:lpwstr>
      </vt:variant>
      <vt:variant>
        <vt:lpwstr/>
      </vt:variant>
      <vt:variant>
        <vt:i4>4325390</vt:i4>
      </vt:variant>
      <vt:variant>
        <vt:i4>78</vt:i4>
      </vt:variant>
      <vt:variant>
        <vt:i4>0</vt:i4>
      </vt:variant>
      <vt:variant>
        <vt:i4>5</vt:i4>
      </vt:variant>
      <vt:variant>
        <vt:lpwstr>https://www.epi.org/unequalpower/publications/codetermination-and-power-in-the-workplace/</vt:lpwstr>
      </vt:variant>
      <vt:variant>
        <vt:lpwstr/>
      </vt:variant>
      <vt:variant>
        <vt:i4>983112</vt:i4>
      </vt:variant>
      <vt:variant>
        <vt:i4>75</vt:i4>
      </vt:variant>
      <vt:variant>
        <vt:i4>0</vt:i4>
      </vt:variant>
      <vt:variant>
        <vt:i4>5</vt:i4>
      </vt:variant>
      <vt:variant>
        <vt:lpwstr>https://heinonline.org/HOL/LandingPage?handle=hein.journals/hlpron12&amp;div=3&amp;id=&amp;page=</vt:lpwstr>
      </vt:variant>
      <vt:variant>
        <vt:lpwstr/>
      </vt:variant>
      <vt:variant>
        <vt:i4>3670142</vt:i4>
      </vt:variant>
      <vt:variant>
        <vt:i4>72</vt:i4>
      </vt:variant>
      <vt:variant>
        <vt:i4>0</vt:i4>
      </vt:variant>
      <vt:variant>
        <vt:i4>5</vt:i4>
      </vt:variant>
      <vt:variant>
        <vt:lpwstr>https://www.businessroundtable.org/</vt:lpwstr>
      </vt:variant>
      <vt:variant>
        <vt:lpwstr/>
      </vt:variant>
      <vt:variant>
        <vt:i4>6226004</vt:i4>
      </vt:variant>
      <vt:variant>
        <vt:i4>69</vt:i4>
      </vt:variant>
      <vt:variant>
        <vt:i4>0</vt:i4>
      </vt:variant>
      <vt:variant>
        <vt:i4>5</vt:i4>
      </vt:variant>
      <vt:variant>
        <vt:lpwstr>https://doi.org/10.1177/0143831X14559784</vt:lpwstr>
      </vt:variant>
      <vt:variant>
        <vt:lpwstr/>
      </vt:variant>
      <vt:variant>
        <vt:i4>2031696</vt:i4>
      </vt:variant>
      <vt:variant>
        <vt:i4>66</vt:i4>
      </vt:variant>
      <vt:variant>
        <vt:i4>0</vt:i4>
      </vt:variant>
      <vt:variant>
        <vt:i4>5</vt:i4>
      </vt:variant>
      <vt:variant>
        <vt:lpwstr>https://www.mondaq.com/germany/contract-of-employment/27245/the-one-third-participation-act supercedes-the-labor-management-relations-act-of-1952</vt:lpwstr>
      </vt:variant>
      <vt:variant>
        <vt:lpwstr/>
      </vt:variant>
      <vt:variant>
        <vt:i4>5505082</vt:i4>
      </vt:variant>
      <vt:variant>
        <vt:i4>63</vt:i4>
      </vt:variant>
      <vt:variant>
        <vt:i4>0</vt:i4>
      </vt:variant>
      <vt:variant>
        <vt:i4>5</vt:i4>
      </vt:variant>
      <vt:variant>
        <vt:lpwstr>https://digitalcommons.law.yale.edu/fss_papers/5037</vt:lpwstr>
      </vt:variant>
      <vt:variant>
        <vt:lpwstr/>
      </vt:variant>
      <vt:variant>
        <vt:i4>3342410</vt:i4>
      </vt:variant>
      <vt:variant>
        <vt:i4>60</vt:i4>
      </vt:variant>
      <vt:variant>
        <vt:i4>0</vt:i4>
      </vt:variant>
      <vt:variant>
        <vt:i4>5</vt:i4>
      </vt:variant>
      <vt:variant>
        <vt:lpwstr>https://papers.ssrn.com/sol3/papers.cfm?abstract_id=3667152</vt:lpwstr>
      </vt:variant>
      <vt:variant>
        <vt:lpwstr/>
      </vt:variant>
      <vt:variant>
        <vt:i4>6226004</vt:i4>
      </vt:variant>
      <vt:variant>
        <vt:i4>57</vt:i4>
      </vt:variant>
      <vt:variant>
        <vt:i4>0</vt:i4>
      </vt:variant>
      <vt:variant>
        <vt:i4>5</vt:i4>
      </vt:variant>
      <vt:variant>
        <vt:lpwstr>https://doi.org/10.1093/cje/24.4.393</vt:lpwstr>
      </vt:variant>
      <vt:variant>
        <vt:lpwstr/>
      </vt:variant>
      <vt:variant>
        <vt:i4>3801191</vt:i4>
      </vt:variant>
      <vt:variant>
        <vt:i4>54</vt:i4>
      </vt:variant>
      <vt:variant>
        <vt:i4>0</vt:i4>
      </vt:variant>
      <vt:variant>
        <vt:i4>5</vt:i4>
      </vt:variant>
      <vt:variant>
        <vt:lpwstr>https://doi.org/10.1093/cje/ben040</vt:lpwstr>
      </vt:variant>
      <vt:variant>
        <vt:lpwstr/>
      </vt:variant>
      <vt:variant>
        <vt:i4>4128883</vt:i4>
      </vt:variant>
      <vt:variant>
        <vt:i4>51</vt:i4>
      </vt:variant>
      <vt:variant>
        <vt:i4>0</vt:i4>
      </vt:variant>
      <vt:variant>
        <vt:i4>5</vt:i4>
      </vt:variant>
      <vt:variant>
        <vt:lpwstr>https://bcorporation.net/news/today-we-put-forward-policy-agenda-systems-change</vt:lpwstr>
      </vt:variant>
      <vt:variant>
        <vt:lpwstr/>
      </vt:variant>
      <vt:variant>
        <vt:i4>5046280</vt:i4>
      </vt:variant>
      <vt:variant>
        <vt:i4>48</vt:i4>
      </vt:variant>
      <vt:variant>
        <vt:i4>0</vt:i4>
      </vt:variant>
      <vt:variant>
        <vt:i4>5</vt:i4>
      </vt:variant>
      <vt:variant>
        <vt:lpwstr>https://doi.org/10.1016/0304-405X(76)90026-X</vt:lpwstr>
      </vt:variant>
      <vt:variant>
        <vt:lpwstr/>
      </vt:variant>
      <vt:variant>
        <vt:i4>1572882</vt:i4>
      </vt:variant>
      <vt:variant>
        <vt:i4>45</vt:i4>
      </vt:variant>
      <vt:variant>
        <vt:i4>0</vt:i4>
      </vt:variant>
      <vt:variant>
        <vt:i4>5</vt:i4>
      </vt:variant>
      <vt:variant>
        <vt:lpwstr>https://escholarship.org/uc/item/8sb2623g</vt:lpwstr>
      </vt:variant>
      <vt:variant>
        <vt:lpwstr/>
      </vt:variant>
      <vt:variant>
        <vt:i4>2490472</vt:i4>
      </vt:variant>
      <vt:variant>
        <vt:i4>42</vt:i4>
      </vt:variant>
      <vt:variant>
        <vt:i4>0</vt:i4>
      </vt:variant>
      <vt:variant>
        <vt:i4>5</vt:i4>
      </vt:variant>
      <vt:variant>
        <vt:lpwstr>https://doi.org/10.1080/030851400360541</vt:lpwstr>
      </vt:variant>
      <vt:variant>
        <vt:lpwstr/>
      </vt:variant>
      <vt:variant>
        <vt:i4>5439507</vt:i4>
      </vt:variant>
      <vt:variant>
        <vt:i4>39</vt:i4>
      </vt:variant>
      <vt:variant>
        <vt:i4>0</vt:i4>
      </vt:variant>
      <vt:variant>
        <vt:i4>5</vt:i4>
      </vt:variant>
      <vt:variant>
        <vt:lpwstr>https://doi.org/10.1016/j.jfineco.2005.10.005</vt:lpwstr>
      </vt:variant>
      <vt:variant>
        <vt:lpwstr/>
      </vt:variant>
      <vt:variant>
        <vt:i4>6815779</vt:i4>
      </vt:variant>
      <vt:variant>
        <vt:i4>36</vt:i4>
      </vt:variant>
      <vt:variant>
        <vt:i4>0</vt:i4>
      </vt:variant>
      <vt:variant>
        <vt:i4>5</vt:i4>
      </vt:variant>
      <vt:variant>
        <vt:lpwstr>https://www.bls.gov/news.release/pdf/union2.pdf</vt:lpwstr>
      </vt:variant>
      <vt:variant>
        <vt:lpwstr/>
      </vt:variant>
      <vt:variant>
        <vt:i4>7340053</vt:i4>
      </vt:variant>
      <vt:variant>
        <vt:i4>33</vt:i4>
      </vt:variant>
      <vt:variant>
        <vt:i4>0</vt:i4>
      </vt:variant>
      <vt:variant>
        <vt:i4>5</vt:i4>
      </vt:variant>
      <vt:variant>
        <vt:lpwstr>https://www.academia.edu/84821493/%D0%98%D0%B7%D0%B2%D1%80%D1%88%D0%BD%D0%B8_%D0%B4%D0%B8%D1%80%D0%B5%D0%BA%D1%82%D0%BE%D1%80%D0%B8</vt:lpwstr>
      </vt:variant>
      <vt:variant>
        <vt:lpwstr/>
      </vt:variant>
      <vt:variant>
        <vt:i4>5374032</vt:i4>
      </vt:variant>
      <vt:variant>
        <vt:i4>30</vt:i4>
      </vt:variant>
      <vt:variant>
        <vt:i4>0</vt:i4>
      </vt:variant>
      <vt:variant>
        <vt:i4>5</vt:i4>
      </vt:variant>
      <vt:variant>
        <vt:lpwstr>https://www.reuters.com/sustainability/sustainable-finance-reporting/tesla-blocks-stockholders-with-less-than-3-shares-suing-officers-its-behalf-2025-05-17/</vt:lpwstr>
      </vt:variant>
      <vt:variant>
        <vt:lpwstr>:~:text=The%20amendment%20on%20Thursday%20to,to%20limit%20abusive%20shareholder%20litigation.%22</vt:lpwstr>
      </vt:variant>
      <vt:variant>
        <vt:i4>1179736</vt:i4>
      </vt:variant>
      <vt:variant>
        <vt:i4>27</vt:i4>
      </vt:variant>
      <vt:variant>
        <vt:i4>0</vt:i4>
      </vt:variant>
      <vt:variant>
        <vt:i4>5</vt:i4>
      </vt:variant>
      <vt:variant>
        <vt:lpwstr>https://doi.org/10.1177/1024529420934641</vt:lpwstr>
      </vt:variant>
      <vt:variant>
        <vt:lpwstr/>
      </vt:variant>
      <vt:variant>
        <vt:i4>3997822</vt:i4>
      </vt:variant>
      <vt:variant>
        <vt:i4>24</vt:i4>
      </vt:variant>
      <vt:variant>
        <vt:i4>0</vt:i4>
      </vt:variant>
      <vt:variant>
        <vt:i4>5</vt:i4>
      </vt:variant>
      <vt:variant>
        <vt:lpwstr>https://doi.org/10.22495/cocv6i4p1</vt:lpwstr>
      </vt:variant>
      <vt:variant>
        <vt:lpwstr/>
      </vt:variant>
      <vt:variant>
        <vt:i4>8060979</vt:i4>
      </vt:variant>
      <vt:variant>
        <vt:i4>21</vt:i4>
      </vt:variant>
      <vt:variant>
        <vt:i4>0</vt:i4>
      </vt:variant>
      <vt:variant>
        <vt:i4>5</vt:i4>
      </vt:variant>
      <vt:variant>
        <vt:lpwstr>https://hbr.org/2014/09/profits-without-prosperity</vt:lpwstr>
      </vt:variant>
      <vt:variant>
        <vt:lpwstr/>
      </vt:variant>
      <vt:variant>
        <vt:i4>6750317</vt:i4>
      </vt:variant>
      <vt:variant>
        <vt:i4>18</vt:i4>
      </vt:variant>
      <vt:variant>
        <vt:i4>0</vt:i4>
      </vt:variant>
      <vt:variant>
        <vt:i4>5</vt:i4>
      </vt:variant>
      <vt:variant>
        <vt:lpwstr>https://doi.org/10.1093/qje/qjaa038</vt:lpwstr>
      </vt:variant>
      <vt:variant>
        <vt:lpwstr/>
      </vt:variant>
      <vt:variant>
        <vt:i4>196680</vt:i4>
      </vt:variant>
      <vt:variant>
        <vt:i4>15</vt:i4>
      </vt:variant>
      <vt:variant>
        <vt:i4>0</vt:i4>
      </vt:variant>
      <vt:variant>
        <vt:i4>5</vt:i4>
      </vt:variant>
      <vt:variant>
        <vt:lpwstr>https://doi.org/10.2139/ssrn.2380661</vt:lpwstr>
      </vt:variant>
      <vt:variant>
        <vt:lpwstr/>
      </vt:variant>
      <vt:variant>
        <vt:i4>6225928</vt:i4>
      </vt:variant>
      <vt:variant>
        <vt:i4>12</vt:i4>
      </vt:variant>
      <vt:variant>
        <vt:i4>0</vt:i4>
      </vt:variant>
      <vt:variant>
        <vt:i4>5</vt:i4>
      </vt:variant>
      <vt:variant>
        <vt:lpwstr>https://eimf.eu/balancing-shareholder-and-stakeholder-interests-in-corporate-governance/</vt:lpwstr>
      </vt:variant>
      <vt:variant>
        <vt:lpwstr/>
      </vt:variant>
      <vt:variant>
        <vt:i4>5767252</vt:i4>
      </vt:variant>
      <vt:variant>
        <vt:i4>9</vt:i4>
      </vt:variant>
      <vt:variant>
        <vt:i4>0</vt:i4>
      </vt:variant>
      <vt:variant>
        <vt:i4>5</vt:i4>
      </vt:variant>
      <vt:variant>
        <vt:lpwstr>https://onezero.medium.com/prop-22-where-do-gig-workers-go-from-here-e6eaa3ee2324</vt:lpwstr>
      </vt:variant>
      <vt:variant>
        <vt:lpwstr/>
      </vt:variant>
      <vt:variant>
        <vt:i4>2687012</vt:i4>
      </vt:variant>
      <vt:variant>
        <vt:i4>6</vt:i4>
      </vt:variant>
      <vt:variant>
        <vt:i4>0</vt:i4>
      </vt:variant>
      <vt:variant>
        <vt:i4>5</vt:i4>
      </vt:variant>
      <vt:variant>
        <vt:lpwstr>https://doi.org/10.3386/w24587</vt:lpwstr>
      </vt:variant>
      <vt:variant>
        <vt:lpwstr/>
      </vt:variant>
      <vt:variant>
        <vt:i4>6488106</vt:i4>
      </vt:variant>
      <vt:variant>
        <vt:i4>3</vt:i4>
      </vt:variant>
      <vt:variant>
        <vt:i4>0</vt:i4>
      </vt:variant>
      <vt:variant>
        <vt:i4>5</vt:i4>
      </vt:variant>
      <vt:variant>
        <vt:lpwstr>https://doi:.org/10.1086/669499</vt:lpwstr>
      </vt:variant>
      <vt:variant>
        <vt:lpwstr/>
      </vt:variant>
      <vt:variant>
        <vt:i4>5439492</vt:i4>
      </vt:variant>
      <vt:variant>
        <vt:i4>0</vt:i4>
      </vt:variant>
      <vt:variant>
        <vt:i4>0</vt:i4>
      </vt:variant>
      <vt:variant>
        <vt:i4>5</vt:i4>
      </vt:variant>
      <vt:variant>
        <vt:lpwstr>https://www.researchgate.net/profile/Dimitar-Gelev/publication/321772811_DOSADASNJA_ISKUSTVA_U_HARMONIZACI_PRAVA_ZEMALJA_BIVSE_JUGOSLAVIJE_SA_PRAVOM_EVROPSKE_UNIJE/links/5ee03c4a92851cf1386f49d5/DOSADASNJA-ISKUSTVA-U-HARMONIZACI-PRAVA-ZEMALJA-BIVSE-JUGOSLAVIJE-SA-PRAVOM-EVROPSKE-UNIJE.pdf?origin=journalDetail&amp;_tp=eyJwYWdlIjoiam91cm5hbERldGFpbCJ9</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Vildan Drpljanin</dc:creator>
  <cp:keywords/>
  <dc:description/>
  <cp:lastModifiedBy>Vildan DRPLJANIN</cp:lastModifiedBy>
  <cp:revision>5889</cp:revision>
  <cp:lastPrinted>2026-05-24T12:10:00Z</cp:lastPrinted>
  <dcterms:created xsi:type="dcterms:W3CDTF">2024-12-17T09:15:00Z</dcterms:created>
  <dcterms:modified xsi:type="dcterms:W3CDTF">2026-05-24T12:11:00Z</dcterms:modified>
</cp:coreProperties>
</file>